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D7E14FE-4727-4D18-A75F-CB5C21F6FC39" style="width:450.75pt;height:410.8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color w:val="000000" w:themeColor="text1"/>
        </w:rPr>
        <w:lastRenderedPageBreak/>
        <w:t xml:space="preserve">ANNEX </w:t>
      </w:r>
      <w:r>
        <w:rPr>
          <w:noProof/>
        </w:rPr>
        <w:t>1</w:t>
      </w:r>
    </w:p>
    <w:p>
      <w:pPr>
        <w:pStyle w:val="ManualHeading1"/>
        <w:rPr>
          <w:noProof/>
        </w:rPr>
      </w:pPr>
      <w:r>
        <w:rPr>
          <w:noProof/>
        </w:rPr>
        <w:t>Amendments to the Customs Convention on the International Transport of goods under cover of TIR carnets (TIR Convention 1975)</w:t>
      </w:r>
    </w:p>
    <w:p>
      <w:pPr>
        <w:pStyle w:val="Text1"/>
        <w:rPr>
          <w:noProof/>
        </w:rPr>
      </w:pPr>
    </w:p>
    <w:p>
      <w:pPr>
        <w:pStyle w:val="ManualHeading2"/>
        <w:tabs>
          <w:tab w:val="clear" w:pos="850"/>
          <w:tab w:val="left" w:pos="284"/>
        </w:tabs>
        <w:ind w:left="284" w:hanging="284"/>
        <w:rPr>
          <w:noProof/>
          <w:szCs w:val="24"/>
        </w:rPr>
      </w:pPr>
      <w:r>
        <w:rPr>
          <w:noProof/>
          <w:szCs w:val="24"/>
        </w:rPr>
        <w:t>I Amendments to the main body of the TIR Convention, subject to the amendment procedure of Article 59:</w:t>
      </w:r>
    </w:p>
    <w:p>
      <w:pPr>
        <w:pStyle w:val="Default"/>
        <w:rPr>
          <w:noProof/>
        </w:rPr>
      </w:pPr>
    </w:p>
    <w:p>
      <w:pPr>
        <w:pStyle w:val="Default"/>
        <w:jc w:val="both"/>
        <w:rPr>
          <w:b/>
          <w:bCs/>
          <w:i/>
          <w:noProof/>
        </w:rPr>
      </w:pPr>
      <w:r>
        <w:rPr>
          <w:b/>
          <w:bCs/>
          <w:i/>
          <w:noProof/>
        </w:rPr>
        <w:t>Article 6, paragraph 1</w:t>
      </w:r>
    </w:p>
    <w:p>
      <w:pPr>
        <w:pStyle w:val="Default"/>
        <w:jc w:val="both"/>
        <w:rPr>
          <w:b/>
          <w:bCs/>
          <w:i/>
          <w:noProof/>
        </w:rPr>
      </w:pPr>
    </w:p>
    <w:p>
      <w:pPr>
        <w:pStyle w:val="Default"/>
        <w:ind w:left="720"/>
        <w:jc w:val="both"/>
        <w:rPr>
          <w:noProof/>
        </w:rPr>
      </w:pPr>
      <w:r>
        <w:rPr>
          <w:i/>
          <w:iCs/>
          <w:noProof/>
        </w:rPr>
        <w:t xml:space="preserve">For </w:t>
      </w:r>
      <w:r>
        <w:rPr>
          <w:noProof/>
        </w:rPr>
        <w:t xml:space="preserve">Each </w:t>
      </w:r>
      <w:r>
        <w:rPr>
          <w:i/>
          <w:iCs/>
          <w:noProof/>
        </w:rPr>
        <w:t xml:space="preserve">substitute </w:t>
      </w:r>
      <w:r>
        <w:rPr>
          <w:noProof/>
        </w:rPr>
        <w:t xml:space="preserve">The customs authorities or other competent authorities of a </w:t>
      </w:r>
    </w:p>
    <w:p>
      <w:pPr>
        <w:pStyle w:val="Default"/>
        <w:jc w:val="both"/>
        <w:rPr>
          <w:noProof/>
        </w:rPr>
      </w:pPr>
    </w:p>
    <w:p>
      <w:pPr>
        <w:pStyle w:val="Default"/>
        <w:jc w:val="both"/>
        <w:rPr>
          <w:noProof/>
        </w:rPr>
      </w:pPr>
    </w:p>
    <w:p>
      <w:pPr>
        <w:pStyle w:val="Default"/>
        <w:jc w:val="both"/>
        <w:rPr>
          <w:b/>
          <w:bCs/>
          <w:i/>
          <w:noProof/>
        </w:rPr>
      </w:pPr>
      <w:r>
        <w:rPr>
          <w:b/>
          <w:bCs/>
          <w:i/>
          <w:noProof/>
        </w:rPr>
        <w:t>Article 18, line 3</w:t>
      </w:r>
    </w:p>
    <w:p>
      <w:pPr>
        <w:pStyle w:val="Default"/>
        <w:jc w:val="both"/>
        <w:rPr>
          <w:i/>
          <w:noProof/>
        </w:rPr>
      </w:pPr>
    </w:p>
    <w:p>
      <w:pPr>
        <w:pStyle w:val="Default"/>
        <w:ind w:left="720"/>
        <w:jc w:val="both"/>
        <w:rPr>
          <w:noProof/>
        </w:rPr>
      </w:pPr>
      <w:r>
        <w:rPr>
          <w:i/>
          <w:iCs/>
          <w:noProof/>
        </w:rPr>
        <w:t xml:space="preserve">For </w:t>
      </w:r>
      <w:r>
        <w:rPr>
          <w:noProof/>
        </w:rPr>
        <w:t xml:space="preserve">four </w:t>
      </w:r>
      <w:r>
        <w:rPr>
          <w:i/>
          <w:iCs/>
          <w:noProof/>
        </w:rPr>
        <w:t xml:space="preserve">substitute </w:t>
      </w:r>
      <w:r>
        <w:rPr>
          <w:noProof/>
        </w:rPr>
        <w:t>eight</w:t>
      </w:r>
    </w:p>
    <w:p>
      <w:pPr>
        <w:pStyle w:val="ManualHeading2"/>
        <w:tabs>
          <w:tab w:val="clear" w:pos="850"/>
          <w:tab w:val="left" w:pos="0"/>
        </w:tabs>
        <w:ind w:left="720" w:firstLine="0"/>
        <w:jc w:val="left"/>
        <w:rPr>
          <w:b w:val="0"/>
          <w:noProof/>
          <w:szCs w:val="24"/>
        </w:rPr>
      </w:pPr>
      <w:r>
        <w:rPr>
          <w:b w:val="0"/>
          <w:i/>
          <w:iCs/>
          <w:noProof/>
          <w:szCs w:val="24"/>
        </w:rPr>
        <w:t xml:space="preserve">Add </w:t>
      </w:r>
      <w:r>
        <w:rPr>
          <w:b w:val="0"/>
          <w:noProof/>
          <w:szCs w:val="24"/>
        </w:rPr>
        <w:t xml:space="preserve">a new paragraph </w:t>
      </w:r>
      <w:r>
        <w:rPr>
          <w:b w:val="0"/>
          <w:i/>
          <w:iCs/>
          <w:noProof/>
          <w:szCs w:val="24"/>
        </w:rPr>
        <w:t xml:space="preserve">to read </w:t>
      </w:r>
      <w:r>
        <w:rPr>
          <w:b w:val="0"/>
          <w:noProof/>
          <w:szCs w:val="24"/>
        </w:rPr>
        <w:t>Customs authorities may limit the maximum number of customs offices of departure (or destination) on their territory to less than seven but not less than three.</w:t>
      </w:r>
    </w:p>
    <w:p>
      <w:pPr>
        <w:pStyle w:val="Text1"/>
        <w:rPr>
          <w:noProof/>
        </w:rPr>
      </w:pPr>
    </w:p>
    <w:p>
      <w:pPr>
        <w:pStyle w:val="ManualHeading2"/>
        <w:tabs>
          <w:tab w:val="clear" w:pos="850"/>
          <w:tab w:val="left" w:pos="284"/>
        </w:tabs>
        <w:ind w:left="284" w:hanging="284"/>
        <w:rPr>
          <w:noProof/>
          <w:szCs w:val="24"/>
        </w:rPr>
      </w:pPr>
      <w:r>
        <w:rPr>
          <w:noProof/>
          <w:szCs w:val="24"/>
        </w:rPr>
        <w:t>II Amendments to the Annexes of the TIR Convention, subject to the amendment procedure of Article 60:</w:t>
      </w:r>
    </w:p>
    <w:p>
      <w:pPr>
        <w:pStyle w:val="Default"/>
        <w:jc w:val="both"/>
        <w:rPr>
          <w:noProof/>
        </w:rPr>
      </w:pPr>
    </w:p>
    <w:p>
      <w:pPr>
        <w:pStyle w:val="Default"/>
        <w:jc w:val="both"/>
        <w:rPr>
          <w:i/>
          <w:noProof/>
        </w:rPr>
      </w:pPr>
      <w:r>
        <w:rPr>
          <w:b/>
          <w:bCs/>
          <w:i/>
          <w:noProof/>
        </w:rPr>
        <w:t>Annex 6, Explanatory Note to Article 6, paragraph 2</w:t>
      </w:r>
    </w:p>
    <w:p>
      <w:pPr>
        <w:pStyle w:val="Default"/>
        <w:ind w:left="720"/>
        <w:jc w:val="both"/>
        <w:rPr>
          <w:i/>
          <w:noProof/>
        </w:rPr>
      </w:pPr>
    </w:p>
    <w:p>
      <w:pPr>
        <w:pStyle w:val="Default"/>
        <w:ind w:left="720"/>
        <w:jc w:val="both"/>
        <w:rPr>
          <w:noProof/>
        </w:rPr>
      </w:pPr>
      <w:r>
        <w:rPr>
          <w:i/>
          <w:iCs/>
          <w:noProof/>
        </w:rPr>
        <w:t xml:space="preserve">For </w:t>
      </w:r>
      <w:r>
        <w:rPr>
          <w:noProof/>
        </w:rPr>
        <w:t xml:space="preserve">country may approve </w:t>
      </w:r>
      <w:r>
        <w:rPr>
          <w:i/>
          <w:iCs/>
          <w:noProof/>
        </w:rPr>
        <w:t xml:space="preserve">substitute </w:t>
      </w:r>
      <w:r>
        <w:rPr>
          <w:noProof/>
        </w:rPr>
        <w:t>Contracting Party may authorize</w:t>
      </w:r>
    </w:p>
    <w:p>
      <w:pPr>
        <w:pStyle w:val="Default"/>
        <w:jc w:val="both"/>
        <w:rPr>
          <w:noProof/>
        </w:rPr>
      </w:pPr>
    </w:p>
    <w:p>
      <w:pPr>
        <w:pStyle w:val="Default"/>
        <w:jc w:val="both"/>
        <w:rPr>
          <w:b/>
          <w:bCs/>
          <w:i/>
          <w:noProof/>
        </w:rPr>
      </w:pPr>
      <w:r>
        <w:rPr>
          <w:b/>
          <w:bCs/>
          <w:i/>
          <w:noProof/>
        </w:rPr>
        <w:t>Annex 6, new Explanatory Note to Article 18</w:t>
      </w:r>
    </w:p>
    <w:p>
      <w:pPr>
        <w:pStyle w:val="Default"/>
        <w:ind w:left="720"/>
        <w:jc w:val="both"/>
        <w:rPr>
          <w:b/>
          <w:bCs/>
          <w:i/>
          <w:noProof/>
        </w:rPr>
      </w:pPr>
    </w:p>
    <w:p>
      <w:pPr>
        <w:pStyle w:val="Default"/>
        <w:ind w:left="1440" w:hanging="720"/>
        <w:jc w:val="both"/>
        <w:rPr>
          <w:noProof/>
        </w:rPr>
      </w:pPr>
      <w:r>
        <w:rPr>
          <w:noProof/>
        </w:rPr>
        <w:t>0.18.3 Contracting Parties shall make information on such limitations publicly available and inform the TIR Executive Board, including by means of the proper use of electronic applications developed to this end by the TIR secretariat under the supervision of the TIR Executive Board.</w:t>
      </w:r>
    </w:p>
    <w:p>
      <w:pPr>
        <w:pStyle w:val="Default"/>
        <w:jc w:val="both"/>
        <w:rPr>
          <w:noProof/>
        </w:rPr>
      </w:pPr>
    </w:p>
    <w:p>
      <w:pPr>
        <w:pStyle w:val="Default"/>
        <w:jc w:val="both"/>
        <w:rPr>
          <w:b/>
          <w:bCs/>
          <w:i/>
          <w:noProof/>
        </w:rPr>
      </w:pPr>
      <w:r>
        <w:rPr>
          <w:b/>
          <w:bCs/>
          <w:i/>
          <w:noProof/>
        </w:rPr>
        <w:t>Annex 9, Part I, paragraph 1</w:t>
      </w:r>
    </w:p>
    <w:p>
      <w:pPr>
        <w:pStyle w:val="Default"/>
        <w:ind w:left="720"/>
        <w:jc w:val="both"/>
        <w:rPr>
          <w:b/>
          <w:bCs/>
          <w:i/>
          <w:noProof/>
        </w:rPr>
      </w:pPr>
    </w:p>
    <w:p>
      <w:pPr>
        <w:pStyle w:val="Default"/>
        <w:ind w:left="720"/>
        <w:jc w:val="both"/>
        <w:rPr>
          <w:noProof/>
        </w:rPr>
      </w:pPr>
      <w:r>
        <w:rPr>
          <w:i/>
          <w:iCs/>
          <w:noProof/>
        </w:rPr>
        <w:t xml:space="preserve">For </w:t>
      </w:r>
      <w:r>
        <w:rPr>
          <w:noProof/>
        </w:rPr>
        <w:t>Contracting Parties</w:t>
      </w:r>
      <w:r>
        <w:rPr>
          <w:i/>
          <w:iCs/>
          <w:noProof/>
        </w:rPr>
        <w:t xml:space="preserve"> substitute </w:t>
      </w:r>
      <w:r>
        <w:rPr>
          <w:noProof/>
        </w:rPr>
        <w:t>customs authorities or other competent authorities of a Contracting Party</w:t>
      </w:r>
    </w:p>
    <w:sectPr>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FC32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F2FE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3031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246D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703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D4BA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8E9402"/>
    <w:lvl w:ilvl="0">
      <w:start w:val="1"/>
      <w:numFmt w:val="decimal"/>
      <w:pStyle w:val="ListNumber"/>
      <w:lvlText w:val="%1."/>
      <w:lvlJc w:val="left"/>
      <w:pPr>
        <w:tabs>
          <w:tab w:val="num" w:pos="360"/>
        </w:tabs>
        <w:ind w:left="360" w:hanging="360"/>
      </w:pPr>
    </w:lvl>
  </w:abstractNum>
  <w:abstractNum w:abstractNumId="7">
    <w:nsid w:val="FFFFFF89"/>
    <w:multiLevelType w:val="singleLevel"/>
    <w:tmpl w:val="885498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5 10:21: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13"/>
    <w:docVar w:name="DQCResult_UnknownFonts" w:val="0;0"/>
    <w:docVar w:name="DQCResult_UnknownStyles" w:val="0;21"/>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9D7E14FE-4727-4D18-A75F-CB5C21F6FC39"/>
    <w:docVar w:name="LW_COVERPAGE_TYPE" w:val="1"/>
    <w:docVar w:name="LW_CROSSREFERENCE" w:val="&lt;UNUSED&gt;"/>
    <w:docVar w:name="LW_DocType" w:val="ANNEX"/>
    <w:docVar w:name="LW_EMISSION" w:val="11.3.2019"/>
    <w:docVar w:name="LW_EMISSION_ISODATE" w:val="2019-03-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Administrative Committee for the TIR Convention as regards the proposal to amend the Customs Convention on the international transport of goods under cover of TIR carnets_x000b_"/>
    <w:docVar w:name="LW_OBJETACTEPRINCIPAL.CP" w:val="on the position to be taken on behalf of the European Union within the Administrative Committee for the TIR Convention as regards the proposal to amend the Customs Convention on the international transport of goods under cover of TIR carnets_x000b_"/>
    <w:docVar w:name="LW_PART_NBR" w:val="1"/>
    <w:docVar w:name="LW_PART_NBR_TOTAL" w:val="1"/>
    <w:docVar w:name="LW_REF.INST.NEW" w:val="COM"/>
    <w:docVar w:name="LW_REF.INST.NEW_ADOPTED" w:val="final"/>
    <w:docVar w:name="LW_REF.INST.NEW_TEXT" w:val="(2019) 1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Pages>
  <Words>203</Words>
  <Characters>1075</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GATTEGNO Valerie (TAXUD)</dc:creator>
  <cp:lastModifiedBy>WES PDFC Administrator</cp:lastModifiedBy>
  <cp:revision>8</cp:revision>
  <cp:lastPrinted>2017-06-09T16:28:00Z</cp:lastPrinted>
  <dcterms:created xsi:type="dcterms:W3CDTF">2019-02-01T12:41:00Z</dcterms:created>
  <dcterms:modified xsi:type="dcterms:W3CDTF">2019-03-05T09:21:00Z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