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E1F2CB2-0064-4CEE-B84A-1A7D45E3B06E" style="width:450.75pt;height:36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rFonts w:eastAsia="Calibri"/>
          <w:noProof/>
        </w:rPr>
      </w:pPr>
      <w:r>
        <w:rPr>
          <w:noProof/>
        </w:rPr>
        <w:t xml:space="preserve">Съветът упълномощи Европейската комисия да договори от името на Европейския съюз ново споразумение между Европейския съюз и Република Гамбия, както и протокол за определяне на възможностите за риболов и финансовото участие. Съответното споразумение и протоколът бяха парафирани от преговарящите на 19 октомври 2018 г. след приключването на преговорите. Новото споразумение отменя и заменя съществуващото споразумение, влязло в сила на 2 юни 1987 г.; то обхваща период от шест години, считано от датата на временното му прилагане, и се подновява автоматично. Новият протокол обхваща период от шест години, считано от датата на временното прилагане, определена в член 13, а именно датата на подписването му от страните. 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spacing w:before="0" w:after="0"/>
        <w:rPr>
          <w:rFonts w:eastAsia="Calibri"/>
          <w:noProof/>
        </w:rPr>
      </w:pPr>
      <w:r>
        <w:rPr>
          <w:noProof/>
        </w:rPr>
        <w:t>Основната цел на новото споразумение е да се осигури актуализирана рамка, която отчита приоритетите на реформираната обща политика в областта на рибарството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на нейното външно измерение, с оглед установяването на стратегическо партньорство в областта на рибарството между Европейския съюз и Република Гамбия.</w:t>
      </w:r>
    </w:p>
    <w:p>
      <w:pPr>
        <w:rPr>
          <w:rFonts w:eastAsia="Calibri"/>
          <w:noProof/>
        </w:rPr>
      </w:pPr>
      <w:r>
        <w:rPr>
          <w:noProof/>
        </w:rPr>
        <w:t>Целта на протокола е да се предоставят възможности за риболов на корабите на Европейския съюз във водите на Гамбия в рамките на наличния излишък, като се вземат предвид както най-актуалните налични научни оценки — и по-специално тези на Комитета по риболова в централната източна част на Атлантическия океан (CECAF), така и най-добрите съществуващи научни становища и препоръките на Международната комисия за опазване на рибата тон в Атлантическия океан (ICCAT). Наред с останалите фактори позицията на Комисията се основава на резултатите от извършената от външни експерти прогнозна оценка на възможността за сключване на ново споразумение и протокол. Целта е също така да се стимулира сътрудничеството между Европейския съюз и Република Гамбия, насочено към насърчаване на политиката на устойчиво рибарство и отговорно използване на рибните ресурси в риболовната зона на Гамбия, което е в интерес и на двете страни.</w:t>
      </w:r>
    </w:p>
    <w:p>
      <w:pPr>
        <w:rPr>
          <w:rFonts w:eastAsia="Calibri"/>
          <w:noProof/>
        </w:rPr>
      </w:pPr>
      <w:r>
        <w:rPr>
          <w:noProof/>
        </w:rPr>
        <w:t>Протоколът предвижда възможности за риболов в следните категории:</w:t>
      </w:r>
    </w:p>
    <w:p>
      <w:pPr>
        <w:rPr>
          <w:rFonts w:eastAsia="Calibri"/>
          <w:noProof/>
        </w:rPr>
      </w:pPr>
      <w:r>
        <w:rPr>
          <w:noProof/>
        </w:rPr>
        <w:t>—</w:t>
      </w:r>
      <w:r>
        <w:rPr>
          <w:noProof/>
        </w:rPr>
        <w:tab/>
        <w:t>28 кораба с мрежи гъргър за улов на риба тон,</w:t>
      </w:r>
    </w:p>
    <w:p>
      <w:pPr>
        <w:rPr>
          <w:rFonts w:eastAsia="Calibri"/>
          <w:noProof/>
        </w:rPr>
      </w:pPr>
      <w:r>
        <w:rPr>
          <w:noProof/>
        </w:rPr>
        <w:t>—</w:t>
      </w:r>
      <w:r>
        <w:rPr>
          <w:noProof/>
        </w:rPr>
        <w:tab/>
        <w:t>10 кораба, съоръжени с въдици,</w:t>
      </w:r>
    </w:p>
    <w:p>
      <w:pPr>
        <w:rPr>
          <w:rFonts w:eastAsia="Calibri"/>
          <w:noProof/>
        </w:rPr>
      </w:pPr>
      <w:r>
        <w:rPr>
          <w:noProof/>
        </w:rPr>
        <w:t>—</w:t>
      </w:r>
      <w:r>
        <w:rPr>
          <w:noProof/>
        </w:rPr>
        <w:tab/>
        <w:t>3 траулера (за улов на черна мерлуза, която е дънен дълбоководен вид).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spacing w:before="0" w:after="240"/>
        <w:rPr>
          <w:noProof/>
        </w:rPr>
      </w:pPr>
      <w:r>
        <w:rPr>
          <w:noProof/>
        </w:rPr>
        <w:t xml:space="preserve">Преговорите за ново споразумение за партньорство в областта на рибарството с Гамбия се вписват в рамките на външната дейност на Съюза по отношение на държавите от АКТБ и с тях се вземат предвид по-специално целите на ЕС в областта на спазването на демократичните принципи и правата на човека.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bdr w:val="none" w:sz="0" w:space="0" w:color="auto" w:frame="1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 xml:space="preserve">Избраното правно основание е Договорът за функционирането на Европейския съюз, където в член 43, параграф 2 се определя общата политика в областта на рибарството, а в член 218, параграф 6, буква а), подточка v) се определя съответният етап от процедурата за водене на преговори и сключване на споразумения между Съюза и трети държави. </w:t>
      </w:r>
    </w:p>
    <w:p>
      <w:pPr>
        <w:pStyle w:val="ManualHeading2"/>
        <w:rPr>
          <w:rFonts w:eastAsia="Arial Unicode MS"/>
          <w:noProof/>
          <w:bdr w:val="none" w:sz="0" w:space="0" w:color="auto" w:frame="1"/>
        </w:rPr>
      </w:pPr>
      <w:r>
        <w:rPr>
          <w:noProof/>
        </w:rPr>
        <w:t>•</w:t>
      </w:r>
      <w:r>
        <w:rPr>
          <w:noProof/>
        </w:rPr>
        <w:tab/>
        <w:t>Субсидиарност (при неизключителна компетентност)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попада в обхвата на изключителната компетентност на Европейския съюз.</w:t>
      </w:r>
    </w:p>
    <w:p>
      <w:pPr>
        <w:pStyle w:val="ManualHeading2"/>
        <w:rPr>
          <w:rFonts w:eastAsia="Arial Unicode MS"/>
          <w:noProof/>
          <w:bdr w:val="none" w:sz="0" w:space="0" w:color="auto" w:frame="1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Предложението е пропорционално на целта за осигуряване на правна, екологична, икономическа и социална рамка за управление на риболовните дейности, извършвани от корабите на Съюза във водите на трети държави, която е определена в член 31 от Регламента за общата политика в областта на рибарството. Предложението е в съответствие с посочените разпоредби и с определените в член 32 от същия регламент разпоредби относно финансовата помощ за трети държави. </w:t>
      </w:r>
    </w:p>
    <w:p>
      <w:pPr>
        <w:pStyle w:val="ManualHeading1"/>
        <w:rPr>
          <w:noProof/>
        </w:rPr>
      </w:pPr>
      <w:r>
        <w:rPr>
          <w:noProof/>
        </w:rPr>
        <w:t xml:space="preserve"> 3.</w:t>
      </w:r>
      <w:r>
        <w:rPr>
          <w:noProof/>
        </w:rPr>
        <w:tab/>
        <w:t>ОТРАЖЕНИЕ ВЪРХУ БЮДЖЕТА</w:t>
      </w:r>
    </w:p>
    <w:p>
      <w:pPr>
        <w:rPr>
          <w:rFonts w:eastAsia="Calibri"/>
          <w:noProof/>
        </w:rPr>
      </w:pPr>
      <w:r>
        <w:rPr>
          <w:noProof/>
        </w:rPr>
        <w:t>Годишното финансово участие възлиза на 550 000 EUR и е въз основа на:</w:t>
      </w:r>
    </w:p>
    <w:p>
      <w:pPr>
        <w:rPr>
          <w:rFonts w:eastAsia="Calibri"/>
          <w:noProof/>
        </w:rPr>
      </w:pPr>
      <w:r>
        <w:rPr>
          <w:noProof/>
        </w:rPr>
        <w:t xml:space="preserve">a) годишна сума в размер на 275 000 EUR за достъп до рибните ресурси в риболовната зона на Гамбия, като тази сума съответства на референтен тонаж от 3300 тона годишно за далекомигриращи видове;  </w:t>
      </w:r>
    </w:p>
    <w:p>
      <w:pPr>
        <w:rPr>
          <w:rFonts w:eastAsia="Calibri"/>
          <w:noProof/>
        </w:rPr>
      </w:pPr>
      <w:r>
        <w:rPr>
          <w:noProof/>
        </w:rPr>
        <w:t>б) подкрепа за развитието на секторната политика в областта на рибарството на Гамбия в размер на 275 000 EUR годишно. Тази подкрепа отговаря на целите на националната политика на Гамбия в областта на устойчивото управление на сладководните и морските рибни ресурси.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bdr w:val="none" w:sz="0" w:space="0" w:color="auto" w:frame="1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наблюдение, оценка и докладване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Механизмът за наблюдение е предвиден в протокола, включен в новото споразумение за партньорство.</w:t>
      </w:r>
    </w:p>
    <w:p>
      <w:pPr>
        <w:rPr>
          <w:rFonts w:eastAsia="Calibri"/>
          <w:noProof/>
        </w:rPr>
      </w:pP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2019/0076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Споразумението за партньорство в областта на устойчивото рибарство между Европейския съюз и Република Гамбия и на протокола за неговото прилагане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2 във връзка с член 218, параграф 6, буква а), подточка v) и член 218, параграф 7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ind w:left="709" w:hanging="709"/>
        <w:rPr>
          <w:rFonts w:eastAsia="Calibri"/>
          <w:noProof/>
        </w:rPr>
      </w:pPr>
      <w:r>
        <w:rPr>
          <w:noProof/>
        </w:rPr>
        <w:t>(1)</w:t>
      </w:r>
      <w:r>
        <w:rPr>
          <w:noProof/>
        </w:rPr>
        <w:tab/>
        <w:t>От името на Европейския съюз Комисията проведе преговори за ново Споразумение за партньорство в областта на устойчивото рибарство между Европейския съюз и Република Гамбия (наричано по-нататък „споразумението за партньорство“) и нов протокол за неговото прилагане (наричан по-нататък „протоколът“).</w:t>
      </w:r>
    </w:p>
    <w:p>
      <w:pPr>
        <w:ind w:left="709" w:hanging="709"/>
        <w:rPr>
          <w:rFonts w:eastAsia="Calibri"/>
          <w:noProof/>
        </w:rPr>
      </w:pPr>
      <w:r>
        <w:rPr>
          <w:noProof/>
        </w:rPr>
        <w:t>(2)</w:t>
      </w:r>
      <w:r>
        <w:rPr>
          <w:noProof/>
        </w:rPr>
        <w:tab/>
        <w:t>Споразумението за партньорство и протоколът бяха парафирани в края на тези преговори — на 19 октомври 2018 г.</w:t>
      </w:r>
    </w:p>
    <w:p>
      <w:pPr>
        <w:ind w:left="709" w:hanging="709"/>
        <w:rPr>
          <w:rFonts w:eastAsia="Calibri"/>
          <w:noProof/>
        </w:rPr>
      </w:pPr>
      <w:r>
        <w:rPr>
          <w:noProof/>
        </w:rPr>
        <w:t>(3)</w:t>
      </w:r>
      <w:r>
        <w:rPr>
          <w:noProof/>
        </w:rPr>
        <w:tab/>
        <w:t>Споразумението за партньорство отменя предишното Споразумение между Европейската икономическа общност и правителството на Република Гамбия относно риболова в открито море край бреговете на Гамбия, което влезе в сила на 2 юни 1987 г.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В съответствие с Решение 2018/.../ЕС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новото споразумение за партньорство и протоколът бяха подписани на... [</w:t>
      </w:r>
      <w:r>
        <w:rPr>
          <w:i/>
          <w:noProof/>
        </w:rPr>
        <w:t>да се въведе датата на подписване</w:t>
      </w:r>
      <w:r>
        <w:rPr>
          <w:noProof/>
        </w:rPr>
        <w:t>].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Споразумението за партньорство и протоколът се прилагат временно от датата на тяхното подписване. </w:t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Споразумението за партньорство и протоколът следва да бъдат одобрени от името на Европейския съюз.</w:t>
      </w:r>
    </w:p>
    <w:p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По силата на член 9 от Споразумението за партньорство се създава Съвместен комитет, който наблюдава прилагането на споразумението. Наред с това, в съответствие с членове 5, 6 и 8 от протокола, Съвместният комитет може да одобрява някои изменения в протокола. За да се улесни одобряването на такива изменения, е целесъобразно на Комисията да се дадат правомощия, при спазване на определени условия, да одобрява измененията по опростена процедура,</w:t>
      </w:r>
    </w:p>
    <w:p>
      <w:pPr>
        <w:pStyle w:val="ManualConsidrant"/>
        <w:rPr>
          <w:noProof/>
        </w:rPr>
      </w:pPr>
    </w:p>
    <w:p>
      <w:pPr>
        <w:ind w:left="709" w:hanging="709"/>
        <w:rPr>
          <w:rFonts w:eastAsia="Calibri"/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за партньорство в областта на устойчивото рибарство между Европейския съюз и Република Гамбия (наричано по-нататък „споразумението за партньорство“) и протоколът за неговото прилагане (наричан по-нататък „протоколът“) се одобряват от името на Съюза.</w:t>
      </w:r>
    </w:p>
    <w:p>
      <w:pPr>
        <w:rPr>
          <w:noProof/>
        </w:rPr>
      </w:pPr>
      <w:r>
        <w:rPr>
          <w:noProof/>
        </w:rPr>
        <w:t xml:space="preserve">Текстовете на споразумението за партньорство и на протокола се съдържат в приложение I към настоящото решение.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В съответствие с разпоредбите и условията, посочени в приложение ІІ към настоящото решение, Комисията се оправомощава да одобрява от името на Съюза измененията на протокола, които са приети от Съвместния комитет, създаден по силата на член 9 от споразумението за партньорство.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Председателят на Съвета посочва лицето, упълномощено да извърши от името на Европейския съюз уведомяването, предвидено в член 18 от споразумението за партньорство и в член 18 от протокола, за да се изрази съгласието на Европейския съюз да бъде обвързан с тези актове. 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354, 28.12.2013 г., стр. 22.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</w:r>
    </w:p>
  </w:footnote>
  <w:footnote w:id="3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ОВ L [...], [...] г., стр. [...].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59AF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8260E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EC044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A026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7260D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FE04E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CEAED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D72C6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5 13:33:0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2E1F2CB2-0064-4CEE-B84A-1A7D45E3B06E"/>
    <w:docVar w:name="LW_COVERPAGE_TYPE" w:val="1"/>
    <w:docVar w:name="LW_CROSSREFERENCE" w:val="&lt;UNUSED&gt;"/>
    <w:docVar w:name="LW_DocType" w:val="COM"/>
    <w:docVar w:name="LW_EMISSION" w:val="12.3.2019"/>
    <w:docVar w:name="LW_EMISSION_ISODATE" w:val="2019-03-1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76"/>
    <w:docVar w:name="LW_REF.II.NEW.CP_YEAR" w:val="2019"/>
    <w:docVar w:name="LW_REF.INST.NEW" w:val="COM"/>
    <w:docVar w:name="LW_REF.INST.NEW_ADOPTED" w:val="final"/>
    <w:docVar w:name="LW_REF.INST.NEW_TEXT" w:val="(2019) 1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56?\u1077?\u1087?\u1091?\u1073?\u1083?\u1080?\u1082?\u1072? \u1043?\u1072?\u1084?\u1073?\u1080?\u1103? \u1080? \u1085?\u1072? \u1087?\u1088?\u1086?\u1090?\u1086?\u1082?\u1086?\u1083?\u1072? \u1079?\u1072? \u1085?\u1077?\u1075?\u1086?\u1074?\u1086?\u1090?\u1086? \u1087?\u1088?\u1080?\u1083?\u1072?\u1075?\u1072?\u1085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pPr>
      <w:spacing w:after="0"/>
    </w:pPr>
    <w:rPr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pPr>
      <w:spacing w:after="0"/>
    </w:pPr>
    <w:rPr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1125</Words>
  <Characters>6493</Characters>
  <Application>Microsoft Office Word</Application>
  <DocSecurity>0</DocSecurity>
  <Lines>141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cp:lastPrinted>2018-12-06T14:17:00Z</cp:lastPrinted>
  <dcterms:created xsi:type="dcterms:W3CDTF">2019-02-20T13:42:00Z</dcterms:created>
  <dcterms:modified xsi:type="dcterms:W3CDTF">2019-03-05T12:33:00Z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