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B9" w:rsidRDefault="0009162B">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3848F68-3B29-40A6-AE70-2A8C5F5C050A" style="width:450.75pt;height:306.75pt">
            <v:imagedata r:id="rId8" o:title=""/>
          </v:shape>
        </w:pict>
      </w:r>
    </w:p>
    <w:bookmarkEnd w:id="0"/>
    <w:p w:rsidR="002817B9" w:rsidRDefault="002817B9">
      <w:pPr>
        <w:rPr>
          <w:noProof/>
          <w:lang w:val="bg-BG"/>
        </w:rPr>
        <w:sectPr w:rsidR="002817B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rsidR="002817B9" w:rsidRDefault="0009162B">
      <w:pPr>
        <w:pStyle w:val="ListParagraph"/>
        <w:numPr>
          <w:ilvl w:val="0"/>
          <w:numId w:val="2"/>
        </w:numPr>
        <w:jc w:val="both"/>
        <w:rPr>
          <w:rFonts w:ascii="Times New Roman" w:hAnsi="Times New Roman"/>
          <w:b/>
          <w:noProof/>
          <w:sz w:val="24"/>
          <w:szCs w:val="24"/>
          <w:lang w:val="bg-BG"/>
        </w:rPr>
      </w:pPr>
      <w:r>
        <w:rPr>
          <w:rFonts w:ascii="Times New Roman" w:hAnsi="Times New Roman"/>
          <w:b/>
          <w:noProof/>
          <w:sz w:val="24"/>
          <w:lang w:val="bg-BG"/>
        </w:rPr>
        <w:lastRenderedPageBreak/>
        <w:t>ВЪВЕДЕНИЕ</w:t>
      </w:r>
    </w:p>
    <w:p w:rsidR="002817B9" w:rsidRDefault="002817B9">
      <w:pPr>
        <w:jc w:val="both"/>
        <w:rPr>
          <w:rFonts w:ascii="Times New Roman" w:hAnsi="Times New Roman"/>
          <w:b/>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През последните четири години се наблюдават безпрецедентни усилия от страна на ЕС за справяне с предизвикателството на миграцията, </w:t>
      </w:r>
      <w:r>
        <w:rPr>
          <w:rFonts w:ascii="Times New Roman" w:hAnsi="Times New Roman"/>
          <w:noProof/>
          <w:color w:val="000000"/>
          <w:sz w:val="24"/>
          <w:lang w:val="bg-BG"/>
        </w:rPr>
        <w:t>допринесли за намаляване на броя на незаконно пристигащите до най-ниското равнище от 5 години насам. ЕС предложи закрила и помощ на милиони, допринесе за спасяването на живота на хора в морето и подобри условията на живот и средствата за препитание на мигр</w:t>
      </w:r>
      <w:r>
        <w:rPr>
          <w:rFonts w:ascii="Times New Roman" w:hAnsi="Times New Roman"/>
          <w:noProof/>
          <w:color w:val="000000"/>
          <w:sz w:val="24"/>
          <w:lang w:val="bg-BG"/>
        </w:rPr>
        <w:t>антите. Съюзът оказа помощ на държавите членки по външните граници за справяне с големия брой на пристигащите и финансира множество проекти в целия ЕС в подкрепа на интеграцията на бежанци и други законно пребиваващи граждани на трети държави</w:t>
      </w:r>
      <w:r>
        <w:rPr>
          <w:rFonts w:ascii="Times New Roman" w:hAnsi="Times New Roman"/>
          <w:noProof/>
          <w:sz w:val="24"/>
          <w:lang w:val="bg-BG"/>
        </w:rPr>
        <w:t>. Той допринес</w:t>
      </w:r>
      <w:r>
        <w:rPr>
          <w:rFonts w:ascii="Times New Roman" w:hAnsi="Times New Roman"/>
          <w:noProof/>
          <w:sz w:val="24"/>
          <w:lang w:val="bg-BG"/>
        </w:rPr>
        <w:t>е за предотвратяването на незаконна миграция, включително чрез борба с мрежи за контрабанда и трафик на хора. ЕС работи с партньори от цял свят за преодоляване на първопричините за миграцията и за насърчаване на нейното организирано управление, в това числ</w:t>
      </w:r>
      <w:r>
        <w:rPr>
          <w:rFonts w:ascii="Times New Roman" w:hAnsi="Times New Roman"/>
          <w:noProof/>
          <w:sz w:val="24"/>
          <w:lang w:val="bg-BG"/>
        </w:rPr>
        <w:t>о обратното приемане на мигранти, пребиваващи незаконно в ЕС.</w:t>
      </w:r>
      <w:r>
        <w:rPr>
          <w:rFonts w:ascii="Times New Roman" w:hAnsi="Times New Roman"/>
          <w:noProof/>
          <w:color w:val="000000"/>
          <w:sz w:val="24"/>
          <w:lang w:val="bg-BG"/>
        </w:rPr>
        <w:t xml:space="preserve"> Той работи за създаването на законни пътища за миграция като алтернатива на опасните маршрути за контрабанда на хора. В това отношение, като се подхождаше цялостно, беше осъществен напредък по в</w:t>
      </w:r>
      <w:r>
        <w:rPr>
          <w:rFonts w:ascii="Times New Roman" w:hAnsi="Times New Roman"/>
          <w:noProof/>
          <w:color w:val="000000"/>
          <w:sz w:val="24"/>
          <w:lang w:val="bg-BG"/>
        </w:rPr>
        <w:t>сички направления на Европейската програма за миграцията от 2015 г.</w:t>
      </w:r>
      <w:r>
        <w:rPr>
          <w:rStyle w:val="FootnoteReference"/>
          <w:rFonts w:ascii="Times New Roman" w:hAnsi="Times New Roman"/>
          <w:noProof/>
          <w:color w:val="000000"/>
          <w:sz w:val="24"/>
          <w:lang w:val="bg-BG"/>
        </w:rPr>
        <w:footnoteReference w:id="2"/>
      </w:r>
    </w:p>
    <w:p w:rsidR="002817B9" w:rsidRDefault="002817B9">
      <w:pPr>
        <w:jc w:val="both"/>
        <w:rPr>
          <w:rFonts w:ascii="Times New Roman" w:hAnsi="Times New Roman"/>
          <w:noProof/>
          <w:color w:val="000000"/>
          <w:sz w:val="24"/>
          <w:szCs w:val="24"/>
          <w:lang w:val="bg-BG"/>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6"/>
      </w:tblGrid>
      <w:tr w:rsidR="002817B9" w:rsidRPr="0009162B">
        <w:tc>
          <w:tcPr>
            <w:tcW w:w="9286" w:type="dxa"/>
          </w:tcPr>
          <w:p w:rsidR="002817B9" w:rsidRDefault="0009162B">
            <w:pPr>
              <w:pBdr>
                <w:top w:val="single" w:sz="4" w:space="1" w:color="auto"/>
                <w:left w:val="single" w:sz="4" w:space="4" w:color="auto"/>
                <w:bottom w:val="single" w:sz="4" w:space="1" w:color="auto"/>
                <w:right w:val="single" w:sz="4" w:space="4" w:color="auto"/>
              </w:pBdr>
              <w:shd w:val="clear" w:color="auto" w:fill="1F497D" w:themeFill="text2"/>
              <w:jc w:val="center"/>
              <w:rPr>
                <w:rFonts w:ascii="Times New Roman" w:hAnsi="Times New Roman"/>
                <w:b/>
                <w:noProof/>
                <w:color w:val="FFFFFF" w:themeColor="background1"/>
                <w:sz w:val="24"/>
                <w:szCs w:val="24"/>
                <w:lang w:val="bg-BG"/>
              </w:rPr>
            </w:pPr>
            <w:r>
              <w:rPr>
                <w:rFonts w:ascii="Times New Roman" w:hAnsi="Times New Roman"/>
                <w:b/>
                <w:noProof/>
                <w:color w:val="FFFFFF" w:themeColor="background1"/>
                <w:sz w:val="24"/>
                <w:lang w:val="bg-BG"/>
              </w:rPr>
              <w:t>Основен напредък по Европейската програма за миграцията</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lang w:val="bg-BG"/>
              </w:rPr>
            </w:pPr>
            <w:r>
              <w:rPr>
                <w:rFonts w:ascii="Times New Roman" w:hAnsi="Times New Roman"/>
                <w:noProof/>
                <w:color w:val="000000"/>
                <w:sz w:val="24"/>
                <w:lang w:val="bg-BG"/>
              </w:rPr>
              <w:t>През 2018 г. бяха отчетени приблизително 150 000 незаконно пристигнали общо по външните граници на ЕС, което е намаление с 25 % в сравнение с 2017 г. Това е най-ниското равнище за последните пет години и с повече от 90 % под числата за 2015 г. — пиковата г</w:t>
            </w:r>
            <w:r>
              <w:rPr>
                <w:rFonts w:ascii="Times New Roman" w:hAnsi="Times New Roman"/>
                <w:noProof/>
                <w:color w:val="000000"/>
                <w:sz w:val="24"/>
                <w:lang w:val="bg-BG"/>
              </w:rPr>
              <w:t xml:space="preserve">одина на миграционната криза. </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lang w:val="bg-BG"/>
              </w:rPr>
            </w:pPr>
            <w:r>
              <w:rPr>
                <w:rFonts w:ascii="Times New Roman" w:hAnsi="Times New Roman"/>
                <w:noProof/>
                <w:color w:val="000000"/>
                <w:sz w:val="24"/>
                <w:lang w:val="bg-BG"/>
              </w:rPr>
              <w:t>Действията на ЕС допринесоха за спасяването на почти 730 000 души в открито море от 2015 г. насам.</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lang w:val="bg-BG"/>
              </w:rPr>
            </w:pPr>
            <w:r>
              <w:rPr>
                <w:rFonts w:ascii="Times New Roman" w:hAnsi="Times New Roman"/>
                <w:noProof/>
                <w:color w:val="000000"/>
                <w:sz w:val="24"/>
                <w:lang w:val="bg-BG"/>
              </w:rPr>
              <w:t>Милиони търсещи убежище, бежанци и разселени лица се възползваха от програмите, финансирани от Извънредния доверителен фонд на</w:t>
            </w:r>
            <w:r>
              <w:rPr>
                <w:rFonts w:ascii="Times New Roman" w:hAnsi="Times New Roman"/>
                <w:noProof/>
                <w:color w:val="000000"/>
                <w:sz w:val="24"/>
                <w:lang w:val="bg-BG"/>
              </w:rPr>
              <w:t xml:space="preserve"> ЕС за Африка</w:t>
            </w:r>
            <w:r>
              <w:rPr>
                <w:rStyle w:val="FootnoteReference"/>
                <w:rFonts w:ascii="Times New Roman" w:hAnsi="Times New Roman"/>
                <w:noProof/>
                <w:color w:val="000000"/>
                <w:sz w:val="24"/>
                <w:lang w:val="bg-BG"/>
              </w:rPr>
              <w:footnoteReference w:id="3"/>
            </w:r>
            <w:r>
              <w:rPr>
                <w:rFonts w:ascii="Times New Roman" w:hAnsi="Times New Roman"/>
                <w:noProof/>
                <w:color w:val="000000"/>
                <w:sz w:val="24"/>
                <w:lang w:val="bg-BG"/>
              </w:rPr>
              <w:t xml:space="preserve"> — над 5,3 милиона уязвими лица получиха основна подкрепа, почти един милион бяха достигнати от комуникационни кампании, а над 60 000 бяха подпомогнати при реинтеграцията след завръщане.</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lang w:val="bg-BG"/>
              </w:rPr>
            </w:pPr>
            <w:r>
              <w:rPr>
                <w:rFonts w:ascii="Times New Roman" w:hAnsi="Times New Roman"/>
                <w:noProof/>
                <w:sz w:val="24"/>
                <w:lang w:val="bg-BG"/>
              </w:rPr>
              <w:t>Доверителният фонд на ЕС за Африка също беше от ключово</w:t>
            </w:r>
            <w:r>
              <w:rPr>
                <w:rFonts w:ascii="Times New Roman" w:hAnsi="Times New Roman"/>
                <w:noProof/>
                <w:sz w:val="24"/>
                <w:lang w:val="bg-BG"/>
              </w:rPr>
              <w:t xml:space="preserve"> значение за доброволното връщане на над 37 000 мигранти в уязвимо положение от Либия в техните страни на произход от началото на 2017 г. насам. </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lang w:val="bg-BG"/>
              </w:rPr>
            </w:pPr>
            <w:r>
              <w:rPr>
                <w:rFonts w:ascii="Times New Roman" w:hAnsi="Times New Roman"/>
                <w:noProof/>
                <w:color w:val="000000"/>
                <w:sz w:val="24"/>
                <w:lang w:val="bg-BG"/>
              </w:rPr>
              <w:t>Предприети бяха действия срещу престъпни мрежи за контрабанда на мигранти: само през 2018 г. Европейският цент</w:t>
            </w:r>
            <w:r>
              <w:rPr>
                <w:rFonts w:ascii="Times New Roman" w:hAnsi="Times New Roman"/>
                <w:noProof/>
                <w:color w:val="000000"/>
                <w:sz w:val="24"/>
                <w:lang w:val="bg-BG"/>
              </w:rPr>
              <w:t>ър за борба с контрабандата на мигранти имаше ключова роля в над сто случая на контрабанда от голяма значимост. Съвместни екипи за разследване водят борба с контрабандата в държави, като например Нигер.</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lang w:val="bg-BG"/>
              </w:rPr>
            </w:pPr>
            <w:r>
              <w:rPr>
                <w:rFonts w:ascii="Times New Roman" w:hAnsi="Times New Roman"/>
                <w:noProof/>
                <w:color w:val="000000"/>
                <w:sz w:val="24"/>
                <w:lang w:val="bg-BG"/>
              </w:rPr>
              <w:t>34 710 души, нуждаещи се от международна закрила, бях</w:t>
            </w:r>
            <w:r>
              <w:rPr>
                <w:rFonts w:ascii="Times New Roman" w:hAnsi="Times New Roman"/>
                <w:noProof/>
                <w:color w:val="000000"/>
                <w:sz w:val="24"/>
                <w:lang w:val="bg-BG"/>
              </w:rPr>
              <w:t>а преместени от Италия и Гърция.</w:t>
            </w:r>
            <w:r>
              <w:rPr>
                <w:rFonts w:ascii="Times New Roman" w:hAnsi="Times New Roman"/>
                <w:noProof/>
                <w:color w:val="000000"/>
                <w:sz w:val="24"/>
                <w:highlight w:val="yellow"/>
                <w:lang w:val="bg-BG"/>
              </w:rPr>
              <w:t xml:space="preserve"> </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От 2015 г. насам повече от 50 000 души, нуждаещи се от международна закрила, </w:t>
            </w:r>
            <w:r>
              <w:rPr>
                <w:rFonts w:ascii="Times New Roman" w:hAnsi="Times New Roman"/>
                <w:noProof/>
                <w:color w:val="000000"/>
                <w:sz w:val="24"/>
                <w:lang w:val="bg-BG"/>
              </w:rPr>
              <w:lastRenderedPageBreak/>
              <w:t>бяха презаселени в ЕС.</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lang w:val="bg-BG"/>
              </w:rPr>
            </w:pPr>
            <w:r>
              <w:rPr>
                <w:rFonts w:ascii="Times New Roman" w:hAnsi="Times New Roman"/>
                <w:noProof/>
                <w:color w:val="000000"/>
                <w:sz w:val="24"/>
                <w:lang w:val="bg-BG"/>
              </w:rPr>
              <w:t>Между 2015 г. и 2017 г. над 140 милиона евро бяха предоставени по линия на фонд „Убежище, миграция и интеграция“ за подкре</w:t>
            </w:r>
            <w:r>
              <w:rPr>
                <w:rFonts w:ascii="Times New Roman" w:hAnsi="Times New Roman"/>
                <w:noProof/>
                <w:color w:val="000000"/>
                <w:sz w:val="24"/>
                <w:lang w:val="bg-BG"/>
              </w:rPr>
              <w:t>па на мерки за интеграция и законна миграция</w:t>
            </w:r>
            <w:r>
              <w:rPr>
                <w:rStyle w:val="FootnoteReference"/>
                <w:rFonts w:ascii="Times New Roman" w:hAnsi="Times New Roman"/>
                <w:noProof/>
                <w:color w:val="000000"/>
                <w:sz w:val="24"/>
                <w:lang w:val="bg-BG"/>
              </w:rPr>
              <w:footnoteReference w:id="4"/>
            </w:r>
            <w:r>
              <w:rPr>
                <w:noProof/>
                <w:lang w:val="bg-BG"/>
              </w:rPr>
              <w:t>.</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lang w:val="bg-BG"/>
              </w:rPr>
            </w:pPr>
            <w:r>
              <w:rPr>
                <w:rFonts w:ascii="Times New Roman" w:hAnsi="Times New Roman"/>
                <w:noProof/>
                <w:color w:val="000000"/>
                <w:sz w:val="24"/>
                <w:lang w:val="bg-BG"/>
              </w:rPr>
              <w:t xml:space="preserve">Вече са налице официални споразумения или практически договорености за връщане и обратно приемане с 23 държави на произход и на транзитно преминаване. </w:t>
            </w:r>
          </w:p>
          <w:p w:rsidR="002817B9" w:rsidRDefault="0009162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noProof/>
                <w:lang w:val="bg-BG"/>
              </w:rPr>
            </w:pPr>
            <w:r>
              <w:rPr>
                <w:rFonts w:ascii="Times New Roman" w:hAnsi="Times New Roman"/>
                <w:noProof/>
                <w:color w:val="000000"/>
                <w:sz w:val="24"/>
                <w:lang w:val="bg-BG"/>
              </w:rPr>
              <w:t>Успоредно с това над 80 % от хуманитарната помощ през 201</w:t>
            </w:r>
            <w:r>
              <w:rPr>
                <w:rFonts w:ascii="Times New Roman" w:hAnsi="Times New Roman"/>
                <w:noProof/>
                <w:color w:val="000000"/>
                <w:sz w:val="24"/>
                <w:lang w:val="bg-BG"/>
              </w:rPr>
              <w:t>8 г. бяха предоставени за посрещане на нуждите на принудително разселени лица</w:t>
            </w:r>
            <w:r>
              <w:rPr>
                <w:rStyle w:val="FootnoteReference"/>
                <w:rFonts w:ascii="Times New Roman" w:hAnsi="Times New Roman"/>
                <w:noProof/>
                <w:color w:val="000000"/>
                <w:sz w:val="24"/>
                <w:lang w:val="bg-BG"/>
              </w:rPr>
              <w:footnoteReference w:id="5"/>
            </w:r>
            <w:r>
              <w:rPr>
                <w:noProof/>
                <w:lang w:val="bg-BG"/>
              </w:rPr>
              <w:t>.</w:t>
            </w:r>
            <w:r>
              <w:rPr>
                <w:rFonts w:ascii="Times New Roman" w:hAnsi="Times New Roman"/>
                <w:noProof/>
                <w:color w:val="000000"/>
                <w:sz w:val="24"/>
                <w:lang w:val="bg-BG"/>
              </w:rPr>
              <w:t xml:space="preserve"> </w:t>
            </w:r>
          </w:p>
        </w:tc>
      </w:tr>
    </w:tbl>
    <w:p w:rsidR="002817B9" w:rsidRDefault="0009162B">
      <w:pPr>
        <w:tabs>
          <w:tab w:val="left" w:pos="1985"/>
        </w:tabs>
        <w:jc w:val="both"/>
        <w:rPr>
          <w:rFonts w:ascii="Times New Roman" w:hAnsi="Times New Roman"/>
          <w:noProof/>
          <w:color w:val="000000"/>
          <w:sz w:val="24"/>
          <w:szCs w:val="24"/>
          <w:lang w:val="bg-BG"/>
        </w:rPr>
      </w:pPr>
      <w:r>
        <w:rPr>
          <w:rFonts w:ascii="Times New Roman" w:hAnsi="Times New Roman"/>
          <w:noProof/>
          <w:color w:val="000000"/>
          <w:sz w:val="24"/>
          <w:lang w:val="bg-BG"/>
        </w:rPr>
        <w:lastRenderedPageBreak/>
        <w:t>Тази работа трябва да продължи. Фактът, че броят на незаконно пристигащите е намалял, не е гаранция за бъдещето, като се има предвид вероятността от траен миграционен натиск.</w:t>
      </w:r>
      <w:r>
        <w:rPr>
          <w:rFonts w:ascii="Times New Roman" w:hAnsi="Times New Roman"/>
          <w:noProof/>
          <w:color w:val="000000"/>
          <w:sz w:val="24"/>
          <w:lang w:val="bg-BG"/>
        </w:rPr>
        <w:t xml:space="preserve"> Преодоляването на първопричините за незаконната миграция е неизбежно дългосрочен проект, като неотдавнашното нарастване на броя на незаконно пристигащите в Западното Средиземноморие показва, че положението продължава да е нестабилно и че контрабандистите </w:t>
      </w:r>
      <w:r>
        <w:rPr>
          <w:rFonts w:ascii="Times New Roman" w:hAnsi="Times New Roman"/>
          <w:noProof/>
          <w:color w:val="000000"/>
          <w:sz w:val="24"/>
          <w:lang w:val="bg-BG"/>
        </w:rPr>
        <w:t>постоянно търсят нови възможности. Остават нерешени основни проблеми: нуждаем се от изграждането на система за убежище, която е годна за целта, гарантира солидарност и намалява вторичните движения; необходимо е да постигнем повече връщания чрез мерки, осъщ</w:t>
      </w:r>
      <w:r>
        <w:rPr>
          <w:rFonts w:ascii="Times New Roman" w:hAnsi="Times New Roman"/>
          <w:noProof/>
          <w:color w:val="000000"/>
          <w:sz w:val="24"/>
          <w:lang w:val="bg-BG"/>
        </w:rPr>
        <w:t>ествени както в държавите членки, така и с трети държави; трябва да бъдем по-добре подготвени по външните ни граници; да се борим с новите стратегии на контрабандистите на хора; и да продължим да подобряваме безопасните, организирани и законни канали както</w:t>
      </w:r>
      <w:r>
        <w:rPr>
          <w:rFonts w:ascii="Times New Roman" w:hAnsi="Times New Roman"/>
          <w:noProof/>
          <w:color w:val="000000"/>
          <w:sz w:val="24"/>
          <w:lang w:val="bg-BG"/>
        </w:rPr>
        <w:t xml:space="preserve"> за лицата, нуждаещи се от международна закрила, така и за легалните мигранти. Управлението на миграцията се нуждае от непрестанни, дългосрочни и единни действия на ЕС, основани на принципите на солидарност и справедливо поделяне на отговорността. От същес</w:t>
      </w:r>
      <w:r>
        <w:rPr>
          <w:rFonts w:ascii="Times New Roman" w:hAnsi="Times New Roman"/>
          <w:noProof/>
          <w:color w:val="000000"/>
          <w:sz w:val="24"/>
          <w:lang w:val="bg-BG"/>
        </w:rPr>
        <w:t>твено значение е да се запази динамиката на преминаване от решения „на парче“ към устойчиви структури и ефективна и подготвена за бъдещи предизвикателства правна рамка. Тези цели могат да бъдат постигнати, като се стъпи на четирите години съвместна работа</w:t>
      </w:r>
      <w:r>
        <w:rPr>
          <w:rStyle w:val="FootnoteReference"/>
          <w:rFonts w:ascii="Times New Roman" w:hAnsi="Times New Roman"/>
          <w:noProof/>
          <w:color w:val="000000"/>
          <w:sz w:val="24"/>
          <w:lang w:val="bg-BG"/>
        </w:rPr>
        <w:footnoteReference w:id="6"/>
      </w:r>
      <w:r>
        <w:rPr>
          <w:noProof/>
          <w:lang w:val="bg-BG"/>
        </w:rPr>
        <w:t>.</w:t>
      </w:r>
    </w:p>
    <w:p w:rsidR="002817B9" w:rsidRDefault="002817B9">
      <w:pPr>
        <w:jc w:val="both"/>
        <w:rPr>
          <w:rFonts w:ascii="Times New Roman" w:hAnsi="Times New Roman"/>
          <w:noProof/>
          <w:color w:val="000000"/>
          <w:sz w:val="24"/>
          <w:szCs w:val="24"/>
          <w:lang w:val="bg-BG"/>
        </w:rPr>
      </w:pPr>
    </w:p>
    <w:p w:rsidR="002817B9" w:rsidRDefault="0009162B">
      <w:pPr>
        <w:pStyle w:val="ListParagraph"/>
        <w:ind w:left="0"/>
        <w:jc w:val="both"/>
        <w:rPr>
          <w:rFonts w:ascii="Times New Roman" w:hAnsi="Times New Roman"/>
          <w:noProof/>
          <w:color w:val="000000"/>
          <w:sz w:val="24"/>
          <w:szCs w:val="24"/>
          <w:lang w:val="bg-BG"/>
        </w:rPr>
      </w:pPr>
      <w:r>
        <w:rPr>
          <w:rFonts w:ascii="Times New Roman" w:hAnsi="Times New Roman"/>
          <w:noProof/>
          <w:color w:val="000000"/>
          <w:sz w:val="24"/>
          <w:lang w:val="bg-BG"/>
        </w:rPr>
        <w:t>Когато ЕС и държавите членки действаха заедно, задълбочаването на сътрудничеството с основните партньорски държави като Турция или Нигер доведе до значително намаляване на незаконно пристигащите. Резултатите на съвместните действия се проявиха при борба</w:t>
      </w:r>
      <w:r>
        <w:rPr>
          <w:rFonts w:ascii="Times New Roman" w:hAnsi="Times New Roman"/>
          <w:noProof/>
          <w:color w:val="000000"/>
          <w:sz w:val="24"/>
          <w:lang w:val="bg-BG"/>
        </w:rPr>
        <w:t>та с контрабандата на мигранти и при намирането на алтернативни законни пътища, а така също и в сключването на шест нови споразумения за обратно приемане с ключови държави на произход. Сътрудничеството с държавите от Африка и Африканския съюз се издигна до</w:t>
      </w:r>
      <w:r>
        <w:rPr>
          <w:rFonts w:ascii="Times New Roman" w:hAnsi="Times New Roman"/>
          <w:noProof/>
          <w:color w:val="000000"/>
          <w:sz w:val="24"/>
          <w:lang w:val="bg-BG"/>
        </w:rPr>
        <w:t xml:space="preserve"> ново равнище. </w:t>
      </w:r>
    </w:p>
    <w:p w:rsidR="002817B9" w:rsidRDefault="002817B9">
      <w:pPr>
        <w:pStyle w:val="ListParagraph"/>
        <w:ind w:left="0"/>
        <w:jc w:val="both"/>
        <w:rPr>
          <w:rFonts w:ascii="Times New Roman" w:hAnsi="Times New Roman"/>
          <w:noProof/>
          <w:color w:val="000000"/>
          <w:sz w:val="24"/>
          <w:szCs w:val="24"/>
          <w:lang w:val="bg-BG"/>
        </w:rPr>
      </w:pPr>
    </w:p>
    <w:p w:rsidR="002817B9" w:rsidRDefault="0009162B">
      <w:pPr>
        <w:pStyle w:val="ListParagraph"/>
        <w:ind w:left="0"/>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Всички тези инициативи вече дават резултати и съдържат потенциал за постигането на повече. От съществено значение е да се следва всеобхватният подход, определен в рамките на четирите стълба на Европейската програма за миграцията, както и </w:t>
      </w:r>
      <w:r>
        <w:rPr>
          <w:rFonts w:ascii="Times New Roman" w:hAnsi="Times New Roman"/>
          <w:noProof/>
          <w:color w:val="000000"/>
          <w:sz w:val="24"/>
          <w:lang w:val="bg-BG"/>
        </w:rPr>
        <w:t>да се въведе трайна уредба.</w:t>
      </w:r>
    </w:p>
    <w:p w:rsidR="002817B9" w:rsidRDefault="002817B9">
      <w:pPr>
        <w:pStyle w:val="ListParagraph"/>
        <w:ind w:left="0"/>
        <w:jc w:val="both"/>
        <w:rPr>
          <w:rFonts w:ascii="Times New Roman" w:hAnsi="Times New Roman"/>
          <w:noProof/>
          <w:color w:val="000000"/>
          <w:sz w:val="24"/>
          <w:szCs w:val="24"/>
          <w:lang w:val="bg-BG"/>
        </w:rPr>
      </w:pPr>
    </w:p>
    <w:p w:rsidR="002817B9" w:rsidRDefault="002817B9">
      <w:pPr>
        <w:pStyle w:val="ListParagraph"/>
        <w:ind w:left="0"/>
        <w:jc w:val="both"/>
        <w:rPr>
          <w:rFonts w:ascii="Times New Roman" w:hAnsi="Times New Roman"/>
          <w:noProof/>
          <w:color w:val="000000"/>
          <w:sz w:val="24"/>
          <w:szCs w:val="24"/>
          <w:lang w:val="bg-BG"/>
        </w:rPr>
      </w:pPr>
    </w:p>
    <w:p w:rsidR="002817B9" w:rsidRDefault="0009162B">
      <w:pPr>
        <w:pStyle w:val="ListParagraph"/>
        <w:numPr>
          <w:ilvl w:val="0"/>
          <w:numId w:val="2"/>
        </w:numPr>
        <w:jc w:val="both"/>
        <w:rPr>
          <w:rFonts w:ascii="Times New Roman" w:hAnsi="Times New Roman"/>
          <w:b/>
          <w:noProof/>
          <w:sz w:val="24"/>
          <w:szCs w:val="24"/>
          <w:lang w:val="bg-BG"/>
        </w:rPr>
      </w:pPr>
      <w:r>
        <w:rPr>
          <w:rFonts w:ascii="Times New Roman" w:hAnsi="Times New Roman"/>
          <w:b/>
          <w:noProof/>
          <w:sz w:val="24"/>
          <w:lang w:val="bg-BG"/>
        </w:rPr>
        <w:t>ПОЛОЖЕНИЕТО ДНЕС</w:t>
      </w:r>
    </w:p>
    <w:p w:rsidR="002817B9" w:rsidRDefault="002817B9">
      <w:pPr>
        <w:jc w:val="both"/>
        <w:rPr>
          <w:rFonts w:ascii="Times New Roman" w:hAnsi="Times New Roman"/>
          <w:i/>
          <w:noProof/>
          <w:sz w:val="24"/>
          <w:szCs w:val="24"/>
          <w:lang w:val="bg-BG"/>
        </w:rPr>
      </w:pPr>
    </w:p>
    <w:p w:rsidR="002817B9" w:rsidRDefault="0009162B">
      <w:pPr>
        <w:keepNext/>
        <w:spacing w:after="120"/>
        <w:jc w:val="both"/>
        <w:rPr>
          <w:rFonts w:ascii="Times New Roman" w:hAnsi="Times New Roman"/>
          <w:i/>
          <w:noProof/>
          <w:sz w:val="24"/>
          <w:szCs w:val="24"/>
          <w:lang w:val="bg-BG"/>
        </w:rPr>
      </w:pPr>
      <w:r>
        <w:rPr>
          <w:rFonts w:ascii="Times New Roman" w:hAnsi="Times New Roman"/>
          <w:i/>
          <w:noProof/>
          <w:sz w:val="24"/>
          <w:lang w:val="bg-BG"/>
        </w:rPr>
        <w:t>Незаконно пристигащи</w:t>
      </w:r>
    </w:p>
    <w:p w:rsidR="002817B9" w:rsidRPr="0009162B" w:rsidRDefault="0009162B">
      <w:pPr>
        <w:spacing w:after="120"/>
        <w:jc w:val="both"/>
        <w:rPr>
          <w:rFonts w:ascii="Times New Roman" w:hAnsi="Times New Roman"/>
          <w:noProof/>
          <w:sz w:val="24"/>
          <w:szCs w:val="24"/>
          <w:lang w:val="bg-BG"/>
        </w:rPr>
      </w:pPr>
      <w:r>
        <w:rPr>
          <w:rFonts w:ascii="Times New Roman" w:hAnsi="Times New Roman"/>
          <w:noProof/>
          <w:sz w:val="24"/>
          <w:lang w:val="bg-BG"/>
        </w:rPr>
        <w:t>Положението днес показва трайно чувствително намаление на броя на незаконно пристигащите в сравнение с максимума през 2015 г.</w:t>
      </w:r>
      <w:r>
        <w:rPr>
          <w:rStyle w:val="FootnoteReference"/>
          <w:rFonts w:ascii="Times New Roman" w:hAnsi="Times New Roman"/>
          <w:noProof/>
          <w:sz w:val="24"/>
          <w:lang w:val="bg-BG"/>
        </w:rPr>
        <w:footnoteReference w:id="7"/>
      </w:r>
      <w:r>
        <w:rPr>
          <w:rFonts w:ascii="Times New Roman" w:hAnsi="Times New Roman"/>
          <w:noProof/>
          <w:sz w:val="24"/>
          <w:lang w:val="bg-BG"/>
        </w:rPr>
        <w:t xml:space="preserve"> Някои тенденции обаче продължиха през 2018 г. и началото на </w:t>
      </w:r>
      <w:r>
        <w:rPr>
          <w:rFonts w:ascii="Times New Roman" w:hAnsi="Times New Roman"/>
          <w:noProof/>
          <w:sz w:val="24"/>
          <w:lang w:val="bg-BG"/>
        </w:rPr>
        <w:t xml:space="preserve">2019 г. и показват необходимостта от последователни действия, както и от способност за реагиране на променящите се обстоятелства. </w:t>
      </w:r>
    </w:p>
    <w:p w:rsidR="002817B9" w:rsidRDefault="002817B9">
      <w:pPr>
        <w:jc w:val="center"/>
        <w:rPr>
          <w:rFonts w:ascii="Times New Roman" w:hAnsi="Times New Roman"/>
          <w:i/>
          <w:noProof/>
          <w:sz w:val="24"/>
          <w:szCs w:val="24"/>
          <w:lang w:val="bg-BG"/>
        </w:rPr>
      </w:pPr>
    </w:p>
    <w:p w:rsidR="002817B9" w:rsidRDefault="0009162B">
      <w:pPr>
        <w:spacing w:after="360"/>
        <w:jc w:val="center"/>
        <w:rPr>
          <w:rFonts w:ascii="Times New Roman" w:hAnsi="Times New Roman"/>
          <w:i/>
          <w:noProof/>
          <w:sz w:val="24"/>
          <w:szCs w:val="24"/>
          <w:lang w:val="bg-BG"/>
        </w:rPr>
      </w:pPr>
      <w:r>
        <w:rPr>
          <w:rFonts w:ascii="Times New Roman" w:hAnsi="Times New Roman"/>
          <w:i/>
          <w:noProof/>
          <w:sz w:val="24"/>
          <w:lang w:val="bg-BG"/>
        </w:rPr>
        <w:t>Незаконни преминавания на границата по трите основни маршрута</w:t>
      </w:r>
    </w:p>
    <w:p w:rsidR="002817B9" w:rsidRDefault="0009162B">
      <w:pPr>
        <w:jc w:val="both"/>
        <w:rPr>
          <w:rFonts w:ascii="Times New Roman" w:hAnsi="Times New Roman"/>
          <w:noProof/>
          <w:sz w:val="24"/>
          <w:szCs w:val="24"/>
          <w:lang w:val="bg-BG"/>
        </w:rPr>
      </w:pPr>
      <w:r>
        <w:rPr>
          <w:noProof/>
          <w:lang w:eastAsia="en-GB"/>
        </w:rPr>
        <w:drawing>
          <wp:inline distT="0" distB="0" distL="0" distR="0">
            <wp:extent cx="5759450" cy="31228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9450" cy="3122815"/>
                    </a:xfrm>
                    <a:prstGeom prst="rect">
                      <a:avLst/>
                    </a:prstGeom>
                  </pic:spPr>
                </pic:pic>
              </a:graphicData>
            </a:graphic>
          </wp:inline>
        </w:drawing>
      </w:r>
    </w:p>
    <w:p w:rsidR="002817B9" w:rsidRDefault="002817B9">
      <w:pPr>
        <w:spacing w:after="120"/>
        <w:jc w:val="both"/>
        <w:rPr>
          <w:rFonts w:ascii="Times New Roman" w:hAnsi="Times New Roman"/>
          <w:i/>
          <w:noProof/>
          <w:sz w:val="24"/>
          <w:szCs w:val="24"/>
          <w:lang w:val="bg-BG"/>
        </w:rPr>
      </w:pPr>
    </w:p>
    <w:p w:rsidR="002817B9" w:rsidRDefault="002817B9">
      <w:pPr>
        <w:spacing w:after="120"/>
        <w:jc w:val="both"/>
        <w:rPr>
          <w:rFonts w:ascii="Times New Roman" w:hAnsi="Times New Roman"/>
          <w:noProof/>
          <w:sz w:val="24"/>
          <w:szCs w:val="24"/>
          <w:lang w:val="bg-BG"/>
        </w:rPr>
      </w:pPr>
    </w:p>
    <w:p w:rsidR="002817B9" w:rsidRDefault="0009162B" w:rsidP="0009162B">
      <w:pPr>
        <w:pStyle w:val="ListParagraph"/>
        <w:numPr>
          <w:ilvl w:val="0"/>
          <w:numId w:val="4"/>
        </w:numPr>
        <w:spacing w:after="120"/>
        <w:ind w:left="426" w:hanging="284"/>
        <w:contextualSpacing w:val="0"/>
        <w:jc w:val="both"/>
        <w:rPr>
          <w:rFonts w:ascii="Times New Roman" w:hAnsi="Times New Roman"/>
          <w:i/>
          <w:noProof/>
          <w:color w:val="000000"/>
          <w:sz w:val="24"/>
          <w:szCs w:val="24"/>
          <w:lang w:val="bg-BG"/>
        </w:rPr>
      </w:pPr>
      <w:r>
        <w:rPr>
          <w:rFonts w:ascii="Times New Roman" w:hAnsi="Times New Roman"/>
          <w:noProof/>
          <w:sz w:val="24"/>
          <w:lang w:val="bg-BG"/>
        </w:rPr>
        <w:t xml:space="preserve">По маршрута през </w:t>
      </w:r>
      <w:r>
        <w:rPr>
          <w:rFonts w:ascii="Times New Roman" w:hAnsi="Times New Roman"/>
          <w:i/>
          <w:noProof/>
          <w:sz w:val="24"/>
          <w:lang w:val="bg-BG"/>
        </w:rPr>
        <w:t xml:space="preserve">Западното Средиземноморие/Атлантическия </w:t>
      </w:r>
      <w:r>
        <w:rPr>
          <w:rFonts w:ascii="Times New Roman" w:hAnsi="Times New Roman"/>
          <w:i/>
          <w:noProof/>
          <w:sz w:val="24"/>
          <w:lang w:val="bg-BG"/>
        </w:rPr>
        <w:t>океан</w:t>
      </w:r>
      <w:r>
        <w:rPr>
          <w:rFonts w:ascii="Times New Roman" w:hAnsi="Times New Roman"/>
          <w:noProof/>
          <w:sz w:val="24"/>
          <w:lang w:val="bg-BG"/>
        </w:rPr>
        <w:t xml:space="preserve"> броят на пристигащите се увеличи през изминалата година и остава висок. Общият брой на пристигащите в Испания през 2018 г. (близо 65 000 души) е със 131 % по-висок, отколкото през 2017 г., и тази тенденция продължава и през 2019 г.</w:t>
      </w:r>
      <w:r>
        <w:rPr>
          <w:rStyle w:val="FootnoteReference"/>
          <w:rFonts w:ascii="Times New Roman" w:hAnsi="Times New Roman"/>
          <w:noProof/>
          <w:sz w:val="24"/>
          <w:lang w:val="bg-BG"/>
        </w:rPr>
        <w:footnoteReference w:id="8"/>
      </w:r>
      <w:r>
        <w:rPr>
          <w:noProof/>
          <w:lang w:val="bg-BG"/>
        </w:rPr>
        <w:t>.</w:t>
      </w:r>
      <w:r>
        <w:rPr>
          <w:rFonts w:ascii="Times New Roman" w:hAnsi="Times New Roman"/>
          <w:noProof/>
          <w:sz w:val="24"/>
          <w:lang w:val="bg-BG"/>
        </w:rPr>
        <w:t xml:space="preserve"> Мароканците са най-голямата национална група сред пристигащите в Испания през 2018 г. (една пета от общия брой на преминалите), следвани от граждани на западноафриканските държави — Гвинея, Мали, Кот д’Ивоар и Гамбия — както и Алжир.</w:t>
      </w:r>
    </w:p>
    <w:p w:rsidR="002817B9" w:rsidRDefault="0009162B" w:rsidP="0009162B">
      <w:pPr>
        <w:pStyle w:val="ListParagraph"/>
        <w:numPr>
          <w:ilvl w:val="0"/>
          <w:numId w:val="4"/>
        </w:numPr>
        <w:spacing w:after="120"/>
        <w:ind w:left="426" w:hanging="284"/>
        <w:contextualSpacing w:val="0"/>
        <w:jc w:val="both"/>
        <w:rPr>
          <w:rFonts w:ascii="Times New Roman" w:hAnsi="Times New Roman"/>
          <w:noProof/>
          <w:sz w:val="24"/>
          <w:szCs w:val="24"/>
          <w:lang w:val="bg-BG"/>
        </w:rPr>
      </w:pPr>
      <w:r>
        <w:rPr>
          <w:rFonts w:ascii="Times New Roman" w:hAnsi="Times New Roman"/>
          <w:noProof/>
          <w:sz w:val="24"/>
          <w:lang w:val="bg-BG"/>
        </w:rPr>
        <w:t xml:space="preserve">В </w:t>
      </w:r>
      <w:r>
        <w:rPr>
          <w:rFonts w:ascii="Times New Roman" w:hAnsi="Times New Roman"/>
          <w:i/>
          <w:noProof/>
          <w:sz w:val="24"/>
          <w:lang w:val="bg-BG"/>
        </w:rPr>
        <w:t>Централното Средизе</w:t>
      </w:r>
      <w:r>
        <w:rPr>
          <w:rFonts w:ascii="Times New Roman" w:hAnsi="Times New Roman"/>
          <w:i/>
          <w:noProof/>
          <w:sz w:val="24"/>
          <w:lang w:val="bg-BG"/>
        </w:rPr>
        <w:t>мноморие</w:t>
      </w:r>
      <w:r>
        <w:rPr>
          <w:rFonts w:ascii="Times New Roman" w:hAnsi="Times New Roman"/>
          <w:noProof/>
          <w:sz w:val="24"/>
          <w:lang w:val="bg-BG"/>
        </w:rPr>
        <w:t xml:space="preserve"> броят на незаконно пристигащите продължава да бъде нисък. Като цяло през 2018 г. се наблюдаваше спад от 80 % на незаконно пристигащите в Италия в сравнение с 2017 г., като тази тенденция продължава и през 2019 г. и е достигнато равнището отпреди к</w:t>
      </w:r>
      <w:r>
        <w:rPr>
          <w:rFonts w:ascii="Times New Roman" w:hAnsi="Times New Roman"/>
          <w:noProof/>
          <w:sz w:val="24"/>
          <w:lang w:val="bg-BG"/>
        </w:rPr>
        <w:t>ризата. Въпреки че през 2018 г. на Либия все още се падаха над половината от заминаванията, либийската брегова охрана продължава да засича или спасява голям брой лица в открито море — около 15 000 през 2018 г., като основните националности са суданците (14</w:t>
      </w:r>
      <w:r>
        <w:rPr>
          <w:rFonts w:ascii="Times New Roman" w:hAnsi="Times New Roman"/>
          <w:noProof/>
          <w:sz w:val="24"/>
          <w:lang w:val="bg-BG"/>
        </w:rPr>
        <w:t> %), нигерийците (12 %) и еритрейците (12 %)</w:t>
      </w:r>
      <w:r>
        <w:rPr>
          <w:rStyle w:val="FootnoteReference"/>
          <w:rFonts w:ascii="Times New Roman" w:hAnsi="Times New Roman"/>
          <w:noProof/>
          <w:sz w:val="24"/>
          <w:lang w:val="bg-BG"/>
        </w:rPr>
        <w:footnoteReference w:id="9"/>
      </w:r>
      <w:r>
        <w:rPr>
          <w:noProof/>
          <w:lang w:val="bg-BG"/>
        </w:rPr>
        <w:t>.</w:t>
      </w:r>
      <w:r>
        <w:rPr>
          <w:rFonts w:ascii="Times New Roman" w:hAnsi="Times New Roman"/>
          <w:noProof/>
          <w:sz w:val="24"/>
          <w:lang w:val="bg-BG"/>
        </w:rPr>
        <w:t xml:space="preserve"> Тунис се превръща все повече в държава на заминаване (главно тунизийци) към Италия, а през втората половина на 2018 г. в Малта бе отчетено увеличение на броя на пристигащите. </w:t>
      </w:r>
    </w:p>
    <w:p w:rsidR="002817B9" w:rsidRDefault="0009162B" w:rsidP="0009162B">
      <w:pPr>
        <w:pStyle w:val="ListParagraph"/>
        <w:numPr>
          <w:ilvl w:val="0"/>
          <w:numId w:val="4"/>
        </w:numPr>
        <w:spacing w:after="240"/>
        <w:ind w:left="419" w:hanging="357"/>
        <w:contextualSpacing w:val="0"/>
        <w:jc w:val="both"/>
        <w:rPr>
          <w:rFonts w:ascii="Times New Roman" w:hAnsi="Times New Roman"/>
          <w:noProof/>
          <w:sz w:val="24"/>
          <w:szCs w:val="24"/>
          <w:lang w:val="bg-BG"/>
        </w:rPr>
      </w:pPr>
      <w:r>
        <w:rPr>
          <w:rFonts w:ascii="Times New Roman" w:hAnsi="Times New Roman"/>
          <w:noProof/>
          <w:sz w:val="24"/>
          <w:lang w:val="bg-BG"/>
        </w:rPr>
        <w:t xml:space="preserve">В </w:t>
      </w:r>
      <w:r>
        <w:rPr>
          <w:rFonts w:ascii="Times New Roman" w:hAnsi="Times New Roman"/>
          <w:i/>
          <w:noProof/>
          <w:sz w:val="24"/>
          <w:lang w:val="bg-BG"/>
        </w:rPr>
        <w:t>Източното Средиземноморие</w:t>
      </w:r>
      <w:r>
        <w:rPr>
          <w:rFonts w:ascii="Times New Roman" w:hAnsi="Times New Roman"/>
          <w:noProof/>
          <w:sz w:val="24"/>
          <w:lang w:val="bg-BG"/>
        </w:rPr>
        <w:t xml:space="preserve"> през </w:t>
      </w:r>
      <w:r>
        <w:rPr>
          <w:rFonts w:ascii="Times New Roman" w:hAnsi="Times New Roman"/>
          <w:noProof/>
          <w:sz w:val="24"/>
          <w:lang w:val="bg-BG"/>
        </w:rPr>
        <w:t xml:space="preserve">цялата 2018 г. броят на пристигащите нарастваше, като в Гърция през 2019 г. те вече са с над 30 % повече, отколкото преди една година. Тази тенденция оказва непрекъснат натиск върху островите в Егейско море, но също и на гръцко-турската сухопътна граница, </w:t>
      </w:r>
      <w:r>
        <w:rPr>
          <w:rFonts w:ascii="Times New Roman" w:hAnsi="Times New Roman"/>
          <w:noProof/>
          <w:sz w:val="24"/>
          <w:lang w:val="bg-BG"/>
        </w:rPr>
        <w:t>тъй като има твърде малко връщания в Турция, посредством които да бъде отслабен този натиск и да се противодейства на бизнес модела на контрабандистите</w:t>
      </w:r>
      <w:r>
        <w:rPr>
          <w:rStyle w:val="FootnoteReference"/>
          <w:rFonts w:ascii="Times New Roman" w:hAnsi="Times New Roman"/>
          <w:noProof/>
          <w:sz w:val="24"/>
          <w:lang w:val="bg-BG"/>
        </w:rPr>
        <w:footnoteReference w:id="10"/>
      </w:r>
      <w:r>
        <w:rPr>
          <w:noProof/>
          <w:lang w:val="bg-BG"/>
        </w:rPr>
        <w:t>.</w:t>
      </w:r>
      <w:r>
        <w:rPr>
          <w:rFonts w:ascii="Times New Roman" w:hAnsi="Times New Roman"/>
          <w:noProof/>
          <w:sz w:val="24"/>
          <w:lang w:val="bg-BG"/>
        </w:rPr>
        <w:t xml:space="preserve"> Досега афганистанците са най-значителната национална група сред пристигащите на островите през 2018 г.</w:t>
      </w:r>
      <w:r>
        <w:rPr>
          <w:rFonts w:ascii="Times New Roman" w:hAnsi="Times New Roman"/>
          <w:noProof/>
          <w:sz w:val="24"/>
          <w:lang w:val="bg-BG"/>
        </w:rPr>
        <w:t xml:space="preserve"> и 2019 г., а тези, които влизат в ЕС през сухопътната граница, са основно турски граждани. Налице е също така увеличаване на броя на пристигащите по море и по суша в контролираните от правителството зони на Кипър.</w:t>
      </w:r>
    </w:p>
    <w:p w:rsidR="002817B9" w:rsidRDefault="0009162B">
      <w:pPr>
        <w:jc w:val="both"/>
        <w:rPr>
          <w:rFonts w:ascii="Times New Roman" w:hAnsi="Times New Roman"/>
          <w:noProof/>
          <w:sz w:val="24"/>
          <w:szCs w:val="24"/>
          <w:lang w:val="bg-BG"/>
        </w:rPr>
      </w:pPr>
      <w:r>
        <w:rPr>
          <w:rFonts w:ascii="Times New Roman" w:hAnsi="Times New Roman"/>
          <w:noProof/>
          <w:sz w:val="24"/>
          <w:lang w:val="bg-BG"/>
        </w:rPr>
        <w:t>През 2018 г. имаше и значително увеличени</w:t>
      </w:r>
      <w:r>
        <w:rPr>
          <w:rFonts w:ascii="Times New Roman" w:hAnsi="Times New Roman"/>
          <w:noProof/>
          <w:sz w:val="24"/>
          <w:lang w:val="bg-BG"/>
        </w:rPr>
        <w:t xml:space="preserve">е на незаконните движения в </w:t>
      </w:r>
      <w:r>
        <w:rPr>
          <w:rFonts w:ascii="Times New Roman" w:hAnsi="Times New Roman"/>
          <w:i/>
          <w:noProof/>
          <w:sz w:val="24"/>
          <w:lang w:val="bg-BG"/>
        </w:rPr>
        <w:t>Западните Балкани</w:t>
      </w:r>
      <w:r>
        <w:rPr>
          <w:rFonts w:ascii="Times New Roman" w:hAnsi="Times New Roman"/>
          <w:noProof/>
          <w:sz w:val="24"/>
          <w:lang w:val="bg-BG"/>
        </w:rPr>
        <w:t>, макар че броят им спадна в края на годината с настъпването на зимата. През 2018 г. броят на незаконно пристигащите бе четири пъти по-висок, отколкото през 2017 г., като главният маршрут в региона е от Сърбия к</w:t>
      </w:r>
      <w:r>
        <w:rPr>
          <w:rFonts w:ascii="Times New Roman" w:hAnsi="Times New Roman"/>
          <w:noProof/>
          <w:sz w:val="24"/>
          <w:lang w:val="bg-BG"/>
        </w:rPr>
        <w:t>ъм Босна и Херцеговина. В Босна и Херцеговина бяха регистрирани около 24 000 незаконно пристигнали през 2018 г., като приблизително 5 000 мигранти са се намирали в страната към края на годината. Числеността на пристигащите по маршрута намаля обаче, след ка</w:t>
      </w:r>
      <w:r>
        <w:rPr>
          <w:rFonts w:ascii="Times New Roman" w:hAnsi="Times New Roman"/>
          <w:noProof/>
          <w:sz w:val="24"/>
          <w:lang w:val="bg-BG"/>
        </w:rPr>
        <w:t>то на 17 октомври 2018 г. Сърбия премахна безвизовия режим за пътуване на ирански граждани. Понастоящем е обект на наблюдение увеличаването на броя на пристигащите индийските граждани поради политиката на безвизов режим на Сърбия.</w:t>
      </w:r>
    </w:p>
    <w:p w:rsidR="002817B9" w:rsidRDefault="002817B9">
      <w:pPr>
        <w:jc w:val="both"/>
        <w:rPr>
          <w:rFonts w:ascii="Times New Roman" w:hAnsi="Times New Roman"/>
          <w:noProof/>
          <w:sz w:val="24"/>
          <w:szCs w:val="24"/>
          <w:lang w:val="bg-BG"/>
        </w:rPr>
      </w:pPr>
    </w:p>
    <w:p w:rsidR="002817B9" w:rsidRDefault="0009162B">
      <w:pPr>
        <w:jc w:val="both"/>
        <w:rPr>
          <w:rFonts w:ascii="Times New Roman" w:hAnsi="Times New Roman"/>
          <w:noProof/>
          <w:sz w:val="24"/>
          <w:szCs w:val="24"/>
          <w:lang w:val="bg-BG"/>
        </w:rPr>
      </w:pPr>
      <w:r>
        <w:rPr>
          <w:rFonts w:ascii="Times New Roman" w:hAnsi="Times New Roman"/>
          <w:noProof/>
          <w:sz w:val="24"/>
          <w:lang w:val="bg-BG"/>
        </w:rPr>
        <w:t xml:space="preserve">Макар че  с усилията на </w:t>
      </w:r>
      <w:r>
        <w:rPr>
          <w:rFonts w:ascii="Times New Roman" w:hAnsi="Times New Roman"/>
          <w:noProof/>
          <w:sz w:val="24"/>
          <w:lang w:val="bg-BG"/>
        </w:rPr>
        <w:t>ЕС, държавите членки и други партньори броят на загиналите в Средиземно море продължава да намалява от 2016 г. насам, бизнес моделите на контрабандистите продължават да водят до загуба на човешки живот в морето. Почти 2 300 души загинаха през 2018 г. в сра</w:t>
      </w:r>
      <w:r>
        <w:rPr>
          <w:rFonts w:ascii="Times New Roman" w:hAnsi="Times New Roman"/>
          <w:noProof/>
          <w:sz w:val="24"/>
          <w:lang w:val="bg-BG"/>
        </w:rPr>
        <w:t>внение с 3 100 през 2017 г. и над 220 загинали до момента през 2019 г.</w:t>
      </w:r>
      <w:r>
        <w:rPr>
          <w:rStyle w:val="FootnoteReference"/>
          <w:rFonts w:ascii="Times New Roman" w:hAnsi="Times New Roman"/>
          <w:noProof/>
          <w:sz w:val="24"/>
          <w:lang w:val="bg-BG"/>
        </w:rPr>
        <w:footnoteReference w:id="11"/>
      </w:r>
    </w:p>
    <w:p w:rsidR="002817B9" w:rsidRDefault="002817B9">
      <w:pPr>
        <w:jc w:val="both"/>
        <w:rPr>
          <w:rFonts w:ascii="Times New Roman" w:hAnsi="Times New Roman"/>
          <w:b/>
          <w:i/>
          <w:noProof/>
          <w:sz w:val="24"/>
          <w:szCs w:val="24"/>
          <w:lang w:val="bg-BG"/>
        </w:rPr>
      </w:pPr>
    </w:p>
    <w:p w:rsidR="002817B9" w:rsidRDefault="0009162B">
      <w:pPr>
        <w:keepNext/>
        <w:spacing w:after="120"/>
        <w:jc w:val="both"/>
        <w:rPr>
          <w:rFonts w:ascii="Times New Roman" w:hAnsi="Times New Roman"/>
          <w:i/>
          <w:noProof/>
          <w:sz w:val="24"/>
          <w:szCs w:val="24"/>
          <w:lang w:val="bg-BG"/>
        </w:rPr>
      </w:pPr>
      <w:r>
        <w:rPr>
          <w:rFonts w:ascii="Times New Roman" w:hAnsi="Times New Roman"/>
          <w:i/>
          <w:noProof/>
          <w:sz w:val="24"/>
          <w:lang w:val="bg-BG"/>
        </w:rPr>
        <w:t>Убежище</w:t>
      </w:r>
    </w:p>
    <w:p w:rsidR="002817B9" w:rsidRDefault="0009162B">
      <w:pPr>
        <w:jc w:val="both"/>
        <w:rPr>
          <w:rFonts w:ascii="Times New Roman" w:hAnsi="Times New Roman"/>
          <w:noProof/>
          <w:sz w:val="24"/>
          <w:szCs w:val="24"/>
          <w:lang w:val="bg-BG"/>
        </w:rPr>
      </w:pPr>
      <w:r>
        <w:rPr>
          <w:rFonts w:ascii="Times New Roman" w:hAnsi="Times New Roman"/>
          <w:noProof/>
          <w:sz w:val="24"/>
          <w:lang w:val="bg-BG"/>
        </w:rPr>
        <w:t>През 2018 г. в ЕС и асоциираните към Шенген държави бяха подадени около 634 700 молби за международна закрила. Това е с 10 % по-малко в сравнение с 2017 г. и означава, че числ</w:t>
      </w:r>
      <w:r>
        <w:rPr>
          <w:rFonts w:ascii="Times New Roman" w:hAnsi="Times New Roman"/>
          <w:noProof/>
          <w:sz w:val="24"/>
          <w:lang w:val="bg-BG"/>
        </w:rPr>
        <w:t>ата са се върнали на нива, сходни с нивото от 2014 г.</w:t>
      </w:r>
      <w:r>
        <w:rPr>
          <w:rStyle w:val="FootnoteReference"/>
          <w:rFonts w:ascii="Times New Roman" w:hAnsi="Times New Roman"/>
          <w:noProof/>
          <w:sz w:val="24"/>
          <w:lang w:val="bg-BG"/>
        </w:rPr>
        <w:footnoteReference w:id="12"/>
      </w:r>
      <w:r>
        <w:rPr>
          <w:rFonts w:ascii="Times New Roman" w:hAnsi="Times New Roman"/>
          <w:noProof/>
          <w:sz w:val="24"/>
          <w:lang w:val="bg-BG"/>
        </w:rPr>
        <w:t xml:space="preserve"> Основните приемащи държави през 2018 г. бяха Германия, Франция, Гърция, Италия и Испания (72 % от всички молби в ЕС и асоциираните към Шенген държави)</w:t>
      </w:r>
      <w:r>
        <w:rPr>
          <w:rStyle w:val="FootnoteReference"/>
          <w:rFonts w:ascii="Times New Roman" w:hAnsi="Times New Roman"/>
          <w:noProof/>
          <w:sz w:val="24"/>
          <w:lang w:val="bg-BG"/>
        </w:rPr>
        <w:footnoteReference w:id="13"/>
      </w:r>
      <w:r>
        <w:rPr>
          <w:noProof/>
          <w:lang w:val="bg-BG"/>
        </w:rPr>
        <w:t>.</w:t>
      </w:r>
      <w:r>
        <w:rPr>
          <w:rFonts w:ascii="Times New Roman" w:hAnsi="Times New Roman"/>
          <w:noProof/>
          <w:sz w:val="24"/>
          <w:lang w:val="bg-BG"/>
        </w:rPr>
        <w:t xml:space="preserve"> Както и през 2017 г. основните държави на произх</w:t>
      </w:r>
      <w:r>
        <w:rPr>
          <w:rFonts w:ascii="Times New Roman" w:hAnsi="Times New Roman"/>
          <w:noProof/>
          <w:sz w:val="24"/>
          <w:lang w:val="bg-BG"/>
        </w:rPr>
        <w:t>од са Сирия, Афганистан и Ирак. Налице е също така значително увеличение на молбите на мигранти от страни, освободени от изискването за шенгенска виза, по-специално Венецуела, Грузия и Колумбия.</w:t>
      </w:r>
    </w:p>
    <w:p w:rsidR="002817B9" w:rsidRDefault="002817B9">
      <w:pPr>
        <w:jc w:val="both"/>
        <w:rPr>
          <w:rFonts w:ascii="Times New Roman" w:hAnsi="Times New Roman"/>
          <w:i/>
          <w:noProof/>
          <w:sz w:val="24"/>
          <w:szCs w:val="24"/>
          <w:lang w:val="bg-BG"/>
        </w:rPr>
      </w:pPr>
    </w:p>
    <w:p w:rsidR="002817B9" w:rsidRDefault="0009162B">
      <w:pPr>
        <w:jc w:val="both"/>
        <w:rPr>
          <w:rFonts w:ascii="Times New Roman" w:eastAsia="Calibri" w:hAnsi="Times New Roman"/>
          <w:noProof/>
          <w:sz w:val="24"/>
          <w:lang w:val="bg-BG"/>
        </w:rPr>
      </w:pPr>
      <w:r>
        <w:rPr>
          <w:rFonts w:ascii="Times New Roman" w:hAnsi="Times New Roman"/>
          <w:noProof/>
          <w:sz w:val="24"/>
          <w:lang w:val="bg-BG"/>
        </w:rPr>
        <w:t>През 2018 г. в над 400 000 случая е получен положителен отго</w:t>
      </w:r>
      <w:r>
        <w:rPr>
          <w:rFonts w:ascii="Times New Roman" w:hAnsi="Times New Roman"/>
          <w:noProof/>
          <w:sz w:val="24"/>
          <w:lang w:val="bg-BG"/>
        </w:rPr>
        <w:t>вор при сравнение на данните за дактилоскопични отпечатъци на лица, които са се преместили на територията на друга държава членка, с данните за пръстови отпечатъци, съхранявани в базата данни „Евродак“</w:t>
      </w:r>
      <w:r>
        <w:rPr>
          <w:rStyle w:val="FootnoteReference"/>
          <w:rFonts w:ascii="Times New Roman" w:hAnsi="Times New Roman"/>
          <w:noProof/>
          <w:sz w:val="24"/>
          <w:lang w:val="bg-BG"/>
        </w:rPr>
        <w:footnoteReference w:id="14"/>
      </w:r>
      <w:r>
        <w:rPr>
          <w:noProof/>
          <w:lang w:val="bg-BG"/>
        </w:rPr>
        <w:t>.</w:t>
      </w:r>
      <w:r>
        <w:rPr>
          <w:rFonts w:ascii="Times New Roman" w:hAnsi="Times New Roman"/>
          <w:noProof/>
          <w:sz w:val="24"/>
          <w:lang w:val="bg-BG"/>
        </w:rPr>
        <w:t xml:space="preserve"> Франция и Германия са двете държави членки с най-гол</w:t>
      </w:r>
      <w:r>
        <w:rPr>
          <w:rFonts w:ascii="Times New Roman" w:hAnsi="Times New Roman"/>
          <w:noProof/>
          <w:sz w:val="24"/>
          <w:lang w:val="bg-BG"/>
        </w:rPr>
        <w:t>ям брой от тези положителни резултати (което сочи, че това са основните държави на дестинация при вторични движения), а Италия и Гърция са двете държави членки, в които има най-голям брой налични записи (което сочи, че това са основните държави на първо вл</w:t>
      </w:r>
      <w:r>
        <w:rPr>
          <w:rFonts w:ascii="Times New Roman" w:hAnsi="Times New Roman"/>
          <w:noProof/>
          <w:sz w:val="24"/>
          <w:lang w:val="bg-BG"/>
        </w:rPr>
        <w:t>изане)</w:t>
      </w:r>
      <w:r>
        <w:rPr>
          <w:rStyle w:val="FootnoteReference"/>
          <w:rFonts w:ascii="Times New Roman" w:hAnsi="Times New Roman"/>
          <w:noProof/>
          <w:sz w:val="24"/>
          <w:lang w:val="bg-BG"/>
        </w:rPr>
        <w:footnoteReference w:id="15"/>
      </w:r>
      <w:r>
        <w:rPr>
          <w:noProof/>
          <w:lang w:val="bg-BG"/>
        </w:rPr>
        <w:t>.</w:t>
      </w:r>
      <w:r>
        <w:rPr>
          <w:rFonts w:ascii="Times New Roman" w:hAnsi="Times New Roman"/>
          <w:noProof/>
          <w:sz w:val="24"/>
          <w:lang w:val="bg-BG"/>
        </w:rPr>
        <w:t> </w:t>
      </w:r>
    </w:p>
    <w:p w:rsidR="002817B9" w:rsidRPr="0009162B" w:rsidRDefault="002817B9">
      <w:pPr>
        <w:spacing w:after="200" w:line="276" w:lineRule="auto"/>
        <w:rPr>
          <w:rFonts w:ascii="Times New Roman" w:hAnsi="Times New Roman"/>
          <w:noProof/>
          <w:color w:val="1F497D" w:themeColor="text2"/>
          <w:sz w:val="24"/>
          <w:szCs w:val="24"/>
          <w:lang w:val="bg-BG"/>
        </w:rPr>
      </w:pPr>
    </w:p>
    <w:p w:rsidR="002817B9" w:rsidRDefault="0009162B">
      <w:pPr>
        <w:pStyle w:val="ListParagraph"/>
        <w:numPr>
          <w:ilvl w:val="0"/>
          <w:numId w:val="2"/>
        </w:numPr>
        <w:rPr>
          <w:rFonts w:ascii="Times New Roman" w:hAnsi="Times New Roman"/>
          <w:b/>
          <w:noProof/>
          <w:sz w:val="24"/>
          <w:szCs w:val="24"/>
          <w:lang w:val="bg-BG"/>
        </w:rPr>
      </w:pPr>
      <w:r>
        <w:rPr>
          <w:rFonts w:ascii="Times New Roman" w:hAnsi="Times New Roman"/>
          <w:b/>
          <w:noProof/>
          <w:sz w:val="24"/>
          <w:lang w:val="bg-BG"/>
        </w:rPr>
        <w:t>НЕЗАБАВНИ ДЕЙСТВИЯ</w:t>
      </w:r>
    </w:p>
    <w:p w:rsidR="002817B9" w:rsidRDefault="002817B9">
      <w:pPr>
        <w:pStyle w:val="ListParagraph"/>
        <w:ind w:left="0"/>
        <w:jc w:val="both"/>
        <w:rPr>
          <w:rFonts w:ascii="Times New Roman" w:hAnsi="Times New Roman"/>
          <w:b/>
          <w:i/>
          <w:noProof/>
          <w:sz w:val="24"/>
          <w:szCs w:val="24"/>
          <w:lang w:val="bg-BG"/>
        </w:rPr>
      </w:pPr>
    </w:p>
    <w:p w:rsidR="002817B9" w:rsidRDefault="0009162B">
      <w:pPr>
        <w:pStyle w:val="ListParagraph"/>
        <w:keepNext/>
        <w:spacing w:after="120"/>
        <w:ind w:left="0"/>
        <w:contextualSpacing w:val="0"/>
        <w:jc w:val="both"/>
        <w:rPr>
          <w:rFonts w:ascii="Times New Roman" w:hAnsi="Times New Roman"/>
          <w:i/>
          <w:noProof/>
          <w:sz w:val="24"/>
          <w:szCs w:val="24"/>
          <w:lang w:val="bg-BG"/>
        </w:rPr>
      </w:pPr>
      <w:r>
        <w:rPr>
          <w:rFonts w:ascii="Times New Roman" w:hAnsi="Times New Roman"/>
          <w:i/>
          <w:noProof/>
          <w:sz w:val="24"/>
          <w:lang w:val="bg-BG"/>
        </w:rPr>
        <w:t>По маршрута през Западното Средиземноморие: сътрудничеството с Мароко</w:t>
      </w:r>
    </w:p>
    <w:p w:rsidR="002817B9" w:rsidRDefault="0009162B">
      <w:pPr>
        <w:pStyle w:val="ListParagraph"/>
        <w:ind w:left="0"/>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Предвид това, че Испания понастоящем е основният входен пункт за незаконни преминавания, мерките за справяне с миграцията по маршрута през Западното </w:t>
      </w:r>
      <w:r>
        <w:rPr>
          <w:rFonts w:ascii="Times New Roman" w:hAnsi="Times New Roman"/>
          <w:noProof/>
          <w:color w:val="000000"/>
          <w:sz w:val="24"/>
          <w:lang w:val="bg-BG"/>
        </w:rPr>
        <w:t>Средиземноморие трябва да бъдат първостепенен приоритет за ЕС. ЕС действа за полагането на основите за тясно партньорство с Мароко. В края на 2018 г. той одобри отпускането на 140 милиона евро за подкрепа на управлението на границите и за бюджетна подкрепа</w:t>
      </w:r>
      <w:r>
        <w:rPr>
          <w:rStyle w:val="FootnoteReference"/>
          <w:rFonts w:ascii="Times New Roman" w:hAnsi="Times New Roman"/>
          <w:noProof/>
          <w:color w:val="000000"/>
          <w:sz w:val="24"/>
          <w:lang w:val="bg-BG"/>
        </w:rPr>
        <w:footnoteReference w:id="16"/>
      </w:r>
      <w:r>
        <w:rPr>
          <w:rFonts w:ascii="Times New Roman" w:hAnsi="Times New Roman"/>
          <w:noProof/>
          <w:color w:val="000000"/>
          <w:sz w:val="24"/>
          <w:lang w:val="bg-BG"/>
        </w:rPr>
        <w:t>. Мароко вече работи за засилване на контрола на границите си и е предотвратило голям брой заминавания</w:t>
      </w:r>
      <w:r>
        <w:rPr>
          <w:rStyle w:val="FootnoteReference"/>
          <w:rFonts w:ascii="Times New Roman" w:hAnsi="Times New Roman"/>
          <w:noProof/>
          <w:color w:val="000000"/>
          <w:sz w:val="24"/>
          <w:lang w:val="bg-BG"/>
        </w:rPr>
        <w:footnoteReference w:id="17"/>
      </w:r>
      <w:r>
        <w:rPr>
          <w:noProof/>
          <w:lang w:val="bg-BG"/>
        </w:rPr>
        <w:t>.</w:t>
      </w:r>
      <w:r>
        <w:rPr>
          <w:rFonts w:ascii="Times New Roman" w:hAnsi="Times New Roman"/>
          <w:noProof/>
          <w:color w:val="000000"/>
          <w:sz w:val="24"/>
          <w:lang w:val="bg-BG"/>
        </w:rPr>
        <w:t xml:space="preserve"> Тези мерки на ЕС ще бъдат в подкрепа на този процес. Първите плащания са направени и са отправени покани за участие в търг за закупуване на ключово об</w:t>
      </w:r>
      <w:r>
        <w:rPr>
          <w:rFonts w:ascii="Times New Roman" w:hAnsi="Times New Roman"/>
          <w:noProof/>
          <w:color w:val="000000"/>
          <w:sz w:val="24"/>
          <w:lang w:val="bg-BG"/>
        </w:rPr>
        <w:t>орудване: последните договори по този пакет ще бъдат подписани до април и изпълнението на място ще трябва да продължи. Това ще допълва също така усвояването на спешната помощ в размер на 36 милиона евро, одобрена през 2018 г., за да бъде подпомогната Испан</w:t>
      </w:r>
      <w:r>
        <w:rPr>
          <w:rFonts w:ascii="Times New Roman" w:hAnsi="Times New Roman"/>
          <w:noProof/>
          <w:color w:val="000000"/>
          <w:sz w:val="24"/>
          <w:lang w:val="bg-BG"/>
        </w:rPr>
        <w:t xml:space="preserve">ия по нейната южна граница. Освен това ЕС подкрепя Испания чрез операцията Indalo. Комисията е готова да предостави на Испания цялата финансова и техническа подкрепа, от която страната се нуждае за управлението на притока от пристигащи.   </w:t>
      </w:r>
    </w:p>
    <w:p w:rsidR="002817B9" w:rsidRDefault="002817B9">
      <w:pPr>
        <w:pStyle w:val="ListParagraph"/>
        <w:ind w:left="0"/>
        <w:jc w:val="both"/>
        <w:rPr>
          <w:rFonts w:ascii="Times New Roman" w:hAnsi="Times New Roman"/>
          <w:noProof/>
          <w:color w:val="000000"/>
          <w:sz w:val="24"/>
          <w:szCs w:val="24"/>
          <w:lang w:val="bg-BG"/>
        </w:rPr>
      </w:pPr>
    </w:p>
    <w:p w:rsidR="002817B9" w:rsidRDefault="0009162B">
      <w:pPr>
        <w:pStyle w:val="ListParagraph"/>
        <w:ind w:left="0"/>
        <w:jc w:val="both"/>
        <w:rPr>
          <w:rFonts w:ascii="Times New Roman" w:hAnsi="Times New Roman"/>
          <w:noProof/>
          <w:color w:val="000000"/>
          <w:sz w:val="24"/>
          <w:szCs w:val="24"/>
          <w:lang w:val="bg-BG"/>
        </w:rPr>
      </w:pPr>
      <w:r>
        <w:rPr>
          <w:rFonts w:ascii="Times New Roman" w:hAnsi="Times New Roman"/>
          <w:noProof/>
          <w:color w:val="000000"/>
          <w:sz w:val="24"/>
          <w:lang w:val="bg-BG"/>
        </w:rPr>
        <w:t>В по-общ план ЕС се стреми да развие допълнително отношенията си с Мароко, за да се постигне по-тясно, по-задълбочено и по-амбициозно партньорство. Мобилността и миграцията ще играят важна роля чрез комбинация от финансова подкрепа, по-тесни контакти на ек</w:t>
      </w:r>
      <w:r>
        <w:rPr>
          <w:rFonts w:ascii="Times New Roman" w:hAnsi="Times New Roman"/>
          <w:noProof/>
          <w:color w:val="000000"/>
          <w:sz w:val="24"/>
          <w:lang w:val="bg-BG"/>
        </w:rPr>
        <w:t>спертно равнище и оперативно сътрудничество, включително с подкрепата на Европейската агенция за гранична и брегова охрана. Това следва да обхване и възобновяването на преговорите за обратно приемане и облекчаване на визовия режим, както и законната миграц</w:t>
      </w:r>
      <w:r>
        <w:rPr>
          <w:rFonts w:ascii="Times New Roman" w:hAnsi="Times New Roman"/>
          <w:noProof/>
          <w:color w:val="000000"/>
          <w:sz w:val="24"/>
          <w:lang w:val="bg-BG"/>
        </w:rPr>
        <w:t xml:space="preserve">ия. Овладяването на миграционните потоци и борбата с контрабандните маршрути към Мароко от съседните му държави също следва да бъдат част от това по-тясно сътрудничество. </w:t>
      </w:r>
    </w:p>
    <w:p w:rsidR="002817B9" w:rsidRDefault="002817B9">
      <w:pPr>
        <w:pStyle w:val="ListParagraph"/>
        <w:ind w:left="0"/>
        <w:jc w:val="both"/>
        <w:rPr>
          <w:rFonts w:ascii="Times New Roman" w:hAnsi="Times New Roman"/>
          <w:noProof/>
          <w:color w:val="000000"/>
          <w:sz w:val="24"/>
          <w:szCs w:val="24"/>
          <w:lang w:val="bg-BG"/>
        </w:rPr>
      </w:pPr>
    </w:p>
    <w:p w:rsidR="002817B9" w:rsidRPr="0009162B" w:rsidRDefault="0009162B">
      <w:pPr>
        <w:pStyle w:val="ListParagraph"/>
        <w:ind w:left="0"/>
        <w:jc w:val="both"/>
        <w:rPr>
          <w:rFonts w:ascii="Times New Roman" w:hAnsi="Times New Roman"/>
          <w:noProof/>
          <w:color w:val="000000"/>
          <w:sz w:val="24"/>
          <w:lang w:val="bg-BG"/>
        </w:rPr>
      </w:pPr>
      <w:r>
        <w:rPr>
          <w:rFonts w:ascii="Times New Roman" w:hAnsi="Times New Roman"/>
          <w:noProof/>
          <w:color w:val="000000"/>
          <w:sz w:val="24"/>
          <w:lang w:val="bg-BG"/>
        </w:rPr>
        <w:t>В допълнение към пряката помощ, която се предоставя на Мароко, по линия на Извънред</w:t>
      </w:r>
      <w:r>
        <w:rPr>
          <w:rFonts w:ascii="Times New Roman" w:hAnsi="Times New Roman"/>
          <w:noProof/>
          <w:color w:val="000000"/>
          <w:sz w:val="24"/>
          <w:lang w:val="bg-BG"/>
        </w:rPr>
        <w:t>ния доверителен фонд на ЕС за Африка</w:t>
      </w:r>
      <w:r>
        <w:rPr>
          <w:rStyle w:val="FootnoteReference"/>
          <w:rFonts w:ascii="Times New Roman" w:hAnsi="Times New Roman"/>
          <w:noProof/>
          <w:color w:val="000000"/>
          <w:sz w:val="24"/>
          <w:lang w:val="bg-BG"/>
        </w:rPr>
        <w:footnoteReference w:id="18"/>
      </w:r>
      <w:r>
        <w:rPr>
          <w:rFonts w:ascii="Times New Roman" w:hAnsi="Times New Roman"/>
          <w:noProof/>
          <w:color w:val="000000"/>
          <w:sz w:val="24"/>
          <w:lang w:val="bg-BG"/>
        </w:rPr>
        <w:t xml:space="preserve"> се полагат усилия за развиване на сътрудничество по протежение на целия маршрут към Западното Средиземноморие. Нова програма за трансгранично сътрудничество в размер на 8,6 милиона евро засилва координацията между Маро</w:t>
      </w:r>
      <w:r>
        <w:rPr>
          <w:rFonts w:ascii="Times New Roman" w:hAnsi="Times New Roman"/>
          <w:noProof/>
          <w:color w:val="000000"/>
          <w:sz w:val="24"/>
          <w:lang w:val="bg-BG"/>
        </w:rPr>
        <w:t>ко, Сенегал, Мали и Кот д’Ивоар по отношение на управлението на миграцията и подкрепя по-интензивните регионални диалози по въпросите на миграцията. В края на 2018 г. беше одобрена програма за специфична бюджетна подкрепа за Мавритания с цел да бъде подпом</w:t>
      </w:r>
      <w:r>
        <w:rPr>
          <w:rFonts w:ascii="Times New Roman" w:hAnsi="Times New Roman"/>
          <w:noProof/>
          <w:color w:val="000000"/>
          <w:sz w:val="24"/>
          <w:lang w:val="bg-BG"/>
        </w:rPr>
        <w:t>огната националната стратегия за развитие с особен акцент върху защитата на мигрантите и морската сигурност</w:t>
      </w:r>
      <w:r>
        <w:rPr>
          <w:rStyle w:val="FootnoteReference"/>
          <w:rFonts w:ascii="Times New Roman" w:hAnsi="Times New Roman"/>
          <w:noProof/>
          <w:color w:val="000000"/>
          <w:sz w:val="24"/>
          <w:lang w:val="bg-BG"/>
        </w:rPr>
        <w:footnoteReference w:id="19"/>
      </w:r>
      <w:r>
        <w:rPr>
          <w:noProof/>
          <w:lang w:val="bg-BG"/>
        </w:rPr>
        <w:t>.</w:t>
      </w:r>
      <w:r>
        <w:rPr>
          <w:rFonts w:ascii="Times New Roman" w:hAnsi="Times New Roman"/>
          <w:noProof/>
          <w:color w:val="000000"/>
          <w:sz w:val="24"/>
          <w:lang w:val="bg-BG"/>
        </w:rPr>
        <w:t xml:space="preserve"> Компонентът за Северна Африка на Доверителния фонд следва скоро да бъде попълнен с 120 милиона евро от бюджета на ЕС</w:t>
      </w:r>
      <w:r>
        <w:rPr>
          <w:rStyle w:val="FootnoteReference"/>
          <w:rFonts w:ascii="Times New Roman" w:hAnsi="Times New Roman"/>
          <w:noProof/>
          <w:color w:val="000000"/>
          <w:sz w:val="24"/>
          <w:lang w:val="bg-BG"/>
        </w:rPr>
        <w:footnoteReference w:id="20"/>
      </w:r>
      <w:r>
        <w:rPr>
          <w:noProof/>
          <w:lang w:val="bg-BG"/>
        </w:rPr>
        <w:t>.</w:t>
      </w:r>
      <w:r>
        <w:rPr>
          <w:rFonts w:ascii="Times New Roman" w:hAnsi="Times New Roman"/>
          <w:noProof/>
          <w:color w:val="000000"/>
          <w:sz w:val="24"/>
          <w:lang w:val="bg-BG"/>
        </w:rPr>
        <w:t xml:space="preserve"> Въпреки това предвидените п</w:t>
      </w:r>
      <w:r>
        <w:rPr>
          <w:rFonts w:ascii="Times New Roman" w:hAnsi="Times New Roman"/>
          <w:noProof/>
          <w:color w:val="000000"/>
          <w:sz w:val="24"/>
          <w:lang w:val="bg-BG"/>
        </w:rPr>
        <w:t>онастоящем вноски — включително допълнителните суми за текущите програми в Либия и в Мароко — сочат наличието на недостиг, достигащ 86 милиона евро, за 2019 г. За да се осигури продължаването на тази работа, ще бъде необходим принос от държавите членки.</w:t>
      </w:r>
    </w:p>
    <w:p w:rsidR="002817B9" w:rsidRPr="0009162B" w:rsidRDefault="002817B9">
      <w:pPr>
        <w:pStyle w:val="ListParagraph"/>
        <w:ind w:left="0"/>
        <w:jc w:val="both"/>
        <w:rPr>
          <w:rFonts w:ascii="Times New Roman" w:hAnsi="Times New Roman"/>
          <w:noProof/>
          <w:color w:val="000000"/>
          <w:sz w:val="24"/>
          <w:szCs w:val="24"/>
          <w:lang w:val="bg-BG"/>
        </w:rPr>
      </w:pPr>
    </w:p>
    <w:p w:rsidR="002817B9" w:rsidRDefault="0009162B">
      <w:pPr>
        <w:keepNext/>
        <w:spacing w:after="120"/>
        <w:jc w:val="both"/>
        <w:rPr>
          <w:rFonts w:ascii="Times New Roman" w:hAnsi="Times New Roman"/>
          <w:i/>
          <w:noProof/>
          <w:sz w:val="24"/>
          <w:szCs w:val="24"/>
          <w:lang w:val="bg-BG"/>
        </w:rPr>
      </w:pPr>
      <w:r>
        <w:rPr>
          <w:rFonts w:ascii="Times New Roman" w:hAnsi="Times New Roman"/>
          <w:i/>
          <w:noProof/>
          <w:sz w:val="24"/>
          <w:lang w:val="bg-BG"/>
        </w:rPr>
        <w:t xml:space="preserve">По маршрута през Централното Средиземноморие: подобряване на условията в Либия </w:t>
      </w: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Налице е особено неотложна необходимост да се помогне на хората, блокирани в Либия. За да се гарантират по-хуманни условия, трябва да работим за алтернативи на задържането, за </w:t>
      </w:r>
      <w:r>
        <w:rPr>
          <w:rFonts w:ascii="Times New Roman" w:hAnsi="Times New Roman"/>
          <w:noProof/>
          <w:color w:val="000000"/>
          <w:sz w:val="24"/>
          <w:lang w:val="bg-BG"/>
        </w:rPr>
        <w:t>по-организирано и прозрачно управление на мигрантите и бежанците в Либия, както и за подпомагане на хората да се завърнат безопасно у дома или да намерят закрила в Европа или другаде.</w:t>
      </w:r>
      <w:r>
        <w:rPr>
          <w:rFonts w:ascii="Times New Roman" w:hAnsi="Times New Roman"/>
          <w:noProof/>
          <w:sz w:val="24"/>
          <w:lang w:val="bg-BG"/>
        </w:rPr>
        <w:t xml:space="preserve"> Особена значимост трябва да се отдаде на уязвимите лица, както и на нами</w:t>
      </w:r>
      <w:r>
        <w:rPr>
          <w:rFonts w:ascii="Times New Roman" w:hAnsi="Times New Roman"/>
          <w:noProof/>
          <w:sz w:val="24"/>
          <w:lang w:val="bg-BG"/>
        </w:rPr>
        <w:t>ращите се в центровете за задържане: смята се, че понастоящем в Либия 6 200 мигранти се намират в центрове за задържане под контрола на правителството на националното съгласие</w:t>
      </w:r>
      <w:r>
        <w:rPr>
          <w:rStyle w:val="FootnoteReference"/>
          <w:rFonts w:ascii="Times New Roman" w:hAnsi="Times New Roman"/>
          <w:noProof/>
          <w:sz w:val="24"/>
          <w:lang w:val="bg-BG"/>
        </w:rPr>
        <w:footnoteReference w:id="21"/>
      </w:r>
      <w:r>
        <w:rPr>
          <w:noProof/>
          <w:lang w:val="bg-BG"/>
        </w:rPr>
        <w:t>.</w:t>
      </w:r>
    </w:p>
    <w:p w:rsidR="002817B9" w:rsidRDefault="002817B9">
      <w:pPr>
        <w:jc w:val="both"/>
        <w:rPr>
          <w:rFonts w:ascii="Times New Roman" w:hAnsi="Times New Roman"/>
          <w:noProof/>
          <w:color w:val="000000"/>
          <w:sz w:val="24"/>
          <w:szCs w:val="24"/>
          <w:lang w:val="bg-BG"/>
        </w:rPr>
      </w:pPr>
    </w:p>
    <w:p w:rsidR="002817B9" w:rsidRDefault="0009162B">
      <w:pPr>
        <w:contextualSpacing/>
        <w:jc w:val="both"/>
        <w:rPr>
          <w:rFonts w:ascii="Times New Roman" w:hAnsi="Times New Roman"/>
          <w:noProof/>
          <w:sz w:val="24"/>
          <w:szCs w:val="24"/>
          <w:lang w:val="bg-BG"/>
        </w:rPr>
      </w:pPr>
      <w:r>
        <w:rPr>
          <w:rFonts w:ascii="Times New Roman" w:hAnsi="Times New Roman"/>
          <w:noProof/>
          <w:sz w:val="24"/>
          <w:lang w:val="bg-BG"/>
        </w:rPr>
        <w:t>Доколкото го допуска настоящото положение, свързано със сигурността, към това</w:t>
      </w:r>
      <w:r>
        <w:rPr>
          <w:rFonts w:ascii="Times New Roman" w:hAnsi="Times New Roman"/>
          <w:noProof/>
          <w:sz w:val="24"/>
          <w:lang w:val="bg-BG"/>
        </w:rPr>
        <w:t xml:space="preserve"> е насочена главно работата с Агенцията на ООН за бежанците (ВКБООН) и Международната организация по миграция (МОМ), както и работата на тристранната работна група между Африканския съюз, Европейския съюз и ООН. Това сътрудничество вече доведе до завръщане</w:t>
      </w:r>
      <w:r>
        <w:rPr>
          <w:rFonts w:ascii="Times New Roman" w:hAnsi="Times New Roman"/>
          <w:noProof/>
          <w:sz w:val="24"/>
          <w:lang w:val="bg-BG"/>
        </w:rPr>
        <w:t>то на над 37 000 души  по домовете им чрез програми за подпомагане на доброволното връщане и до евакуирането на почти 2 500 души от Либия в Нигер чрез механизма за транзитно преминаване при кризисни ситуации на ВКБООН</w:t>
      </w:r>
      <w:r>
        <w:rPr>
          <w:rStyle w:val="FootnoteReference"/>
          <w:rFonts w:ascii="Times New Roman" w:hAnsi="Times New Roman"/>
          <w:noProof/>
          <w:sz w:val="24"/>
          <w:lang w:val="bg-BG"/>
        </w:rPr>
        <w:footnoteReference w:id="22"/>
      </w:r>
      <w:r>
        <w:rPr>
          <w:noProof/>
          <w:lang w:val="bg-BG"/>
        </w:rPr>
        <w:t>.</w:t>
      </w:r>
      <w:r>
        <w:rPr>
          <w:rFonts w:ascii="Times New Roman" w:hAnsi="Times New Roman"/>
          <w:noProof/>
          <w:sz w:val="24"/>
          <w:lang w:val="bg-BG"/>
        </w:rPr>
        <w:t xml:space="preserve"> Повече от 1 200 от тях вече са преза</w:t>
      </w:r>
      <w:r>
        <w:rPr>
          <w:rFonts w:ascii="Times New Roman" w:hAnsi="Times New Roman"/>
          <w:noProof/>
          <w:sz w:val="24"/>
          <w:lang w:val="bg-BG"/>
        </w:rPr>
        <w:t>селени и ключова следваща стъпка за държавите членки е презаселването на онези, които все още са в очакване в Нигер. Работната група ще продължи да настоява пред либийските органи да улеснят изпълнението на тази задача, съсредоточавайки се по-специално вър</w:t>
      </w:r>
      <w:r>
        <w:rPr>
          <w:rFonts w:ascii="Times New Roman" w:hAnsi="Times New Roman"/>
          <w:noProof/>
          <w:sz w:val="24"/>
          <w:lang w:val="bg-BG"/>
        </w:rPr>
        <w:t>ху намаляване на необходимостта от изходни визи и такси за кацане.</w:t>
      </w:r>
    </w:p>
    <w:p w:rsidR="002817B9" w:rsidRDefault="002817B9">
      <w:pPr>
        <w:autoSpaceDE w:val="0"/>
        <w:autoSpaceDN w:val="0"/>
        <w:adjustRightInd w:val="0"/>
        <w:jc w:val="both"/>
        <w:rPr>
          <w:rFonts w:ascii="Times New Roman" w:hAnsi="Times New Roman"/>
          <w:noProof/>
          <w:sz w:val="24"/>
          <w:szCs w:val="24"/>
          <w:lang w:val="bg-BG"/>
        </w:rPr>
      </w:pPr>
    </w:p>
    <w:p w:rsidR="002817B9" w:rsidRDefault="0009162B">
      <w:pPr>
        <w:autoSpaceDE w:val="0"/>
        <w:autoSpaceDN w:val="0"/>
        <w:adjustRightInd w:val="0"/>
        <w:jc w:val="both"/>
        <w:rPr>
          <w:rFonts w:ascii="Times New Roman" w:hAnsi="Times New Roman"/>
          <w:noProof/>
          <w:sz w:val="24"/>
          <w:szCs w:val="24"/>
          <w:lang w:val="bg-BG"/>
        </w:rPr>
      </w:pPr>
      <w:r>
        <w:rPr>
          <w:rFonts w:ascii="Times New Roman" w:hAnsi="Times New Roman"/>
          <w:noProof/>
          <w:sz w:val="24"/>
          <w:lang w:val="bg-BG"/>
        </w:rPr>
        <w:t xml:space="preserve">Необходима е допълнителна работа за справяне с ужасните условия, с които се сблъскват много мигранти и бежанци. От 2016 г. насам Доверителният фонд е разпределил почти 135 милиона евро за </w:t>
      </w:r>
      <w:r>
        <w:rPr>
          <w:rFonts w:ascii="Times New Roman" w:hAnsi="Times New Roman"/>
          <w:noProof/>
          <w:sz w:val="24"/>
          <w:lang w:val="bg-BG"/>
        </w:rPr>
        <w:t>защита на мигрантите в Либия и тези усилия не бива да престават. Работата включва помощ за сваляне на брега, както и регистрация и проследяване на лицата, свалени на брега. В ход са проекти за подобряване на процедурите и условията, първо, на този ключов е</w:t>
      </w:r>
      <w:r>
        <w:rPr>
          <w:rFonts w:ascii="Times New Roman" w:hAnsi="Times New Roman"/>
          <w:noProof/>
          <w:sz w:val="24"/>
          <w:lang w:val="bg-BG"/>
        </w:rPr>
        <w:t>тап, а също и след прехвърляне към центрове за задържане. През декември 2018 г. либийските органи също така разрешиха откриването на център на ВКБООН за събиране и заминаване, който да служи като разпределителен пункт за бежанците и търсещите убежище, коит</w:t>
      </w:r>
      <w:r>
        <w:rPr>
          <w:rFonts w:ascii="Times New Roman" w:hAnsi="Times New Roman"/>
          <w:noProof/>
          <w:sz w:val="24"/>
          <w:lang w:val="bg-BG"/>
        </w:rPr>
        <w:t>о следва да бъдат бързо евакуирани. Това също би могло да бъде временно решение за непридружените малолетни или непълнолетни лица и други уязвими групи. ЕС ще продължи да настоява да се гарантира безпрепятствен и постоянен достъп на хуманитарните организац</w:t>
      </w:r>
      <w:r>
        <w:rPr>
          <w:rFonts w:ascii="Times New Roman" w:hAnsi="Times New Roman"/>
          <w:noProof/>
          <w:sz w:val="24"/>
          <w:lang w:val="bg-BG"/>
        </w:rPr>
        <w:t xml:space="preserve">ии и агенциите на ООН за подобряване на условията в центровете за задържане, за увеличаване на алтернативите на задържането и, в крайна сметка, за прекратяване на настоящата система за задържане. </w:t>
      </w:r>
    </w:p>
    <w:p w:rsidR="002817B9" w:rsidRDefault="002817B9">
      <w:pPr>
        <w:autoSpaceDE w:val="0"/>
        <w:autoSpaceDN w:val="0"/>
        <w:adjustRightInd w:val="0"/>
        <w:jc w:val="both"/>
        <w:rPr>
          <w:rFonts w:ascii="Times New Roman" w:hAnsi="Times New Roman"/>
          <w:noProof/>
          <w:sz w:val="24"/>
          <w:szCs w:val="24"/>
          <w:lang w:val="bg-BG"/>
        </w:rPr>
      </w:pPr>
    </w:p>
    <w:p w:rsidR="002817B9" w:rsidRDefault="0009162B">
      <w:pPr>
        <w:autoSpaceDE w:val="0"/>
        <w:autoSpaceDN w:val="0"/>
        <w:adjustRightInd w:val="0"/>
        <w:jc w:val="both"/>
        <w:rPr>
          <w:rFonts w:ascii="Times New Roman" w:hAnsi="Times New Roman"/>
          <w:noProof/>
          <w:sz w:val="24"/>
          <w:szCs w:val="24"/>
          <w:lang w:val="bg-BG"/>
        </w:rPr>
      </w:pPr>
      <w:r>
        <w:rPr>
          <w:rFonts w:ascii="Times New Roman" w:hAnsi="Times New Roman"/>
          <w:noProof/>
          <w:sz w:val="24"/>
          <w:lang w:val="bg-BG"/>
        </w:rPr>
        <w:t>Тъй като само малка част от мигрантите в Либия са задържан</w:t>
      </w:r>
      <w:r>
        <w:rPr>
          <w:rFonts w:ascii="Times New Roman" w:hAnsi="Times New Roman"/>
          <w:noProof/>
          <w:sz w:val="24"/>
          <w:lang w:val="bg-BG"/>
        </w:rPr>
        <w:t>и в контролираните от правителството центрове, подпомагането на местните общности е от съществено значение. Чрез програми на ЕС се предоставя помощ за здравеопазването, училищното образование и основната социална инфраструктура. През 2018 г. в Либия бяха о</w:t>
      </w:r>
      <w:r>
        <w:rPr>
          <w:rFonts w:ascii="Times New Roman" w:hAnsi="Times New Roman"/>
          <w:noProof/>
          <w:sz w:val="24"/>
          <w:lang w:val="bg-BG"/>
        </w:rPr>
        <w:t xml:space="preserve">добрени четири нови програми по линия на Доверителния фонд на ЕС за Африка на обща стойност от 156 милиона евро. </w:t>
      </w:r>
    </w:p>
    <w:p w:rsidR="002817B9" w:rsidRDefault="002817B9">
      <w:pPr>
        <w:autoSpaceDE w:val="0"/>
        <w:autoSpaceDN w:val="0"/>
        <w:adjustRightInd w:val="0"/>
        <w:jc w:val="both"/>
        <w:rPr>
          <w:rFonts w:ascii="Times New Roman" w:hAnsi="Times New Roman"/>
          <w:noProof/>
          <w:sz w:val="24"/>
          <w:szCs w:val="24"/>
          <w:lang w:val="bg-BG"/>
        </w:rPr>
      </w:pPr>
    </w:p>
    <w:p w:rsidR="002817B9" w:rsidRDefault="0009162B">
      <w:pPr>
        <w:autoSpaceDE w:val="0"/>
        <w:autoSpaceDN w:val="0"/>
        <w:adjustRightInd w:val="0"/>
        <w:jc w:val="both"/>
        <w:rPr>
          <w:rFonts w:ascii="Times New Roman" w:hAnsi="Times New Roman"/>
          <w:noProof/>
          <w:sz w:val="24"/>
          <w:szCs w:val="24"/>
          <w:lang w:val="bg-BG"/>
        </w:rPr>
      </w:pPr>
      <w:r>
        <w:rPr>
          <w:rFonts w:ascii="Times New Roman" w:hAnsi="Times New Roman"/>
          <w:noProof/>
          <w:sz w:val="24"/>
          <w:lang w:val="bg-BG"/>
        </w:rPr>
        <w:t>Почти 90 000 бежанци и уязвими мигранти получиха медицинска помощ чрез първични и специализирани здравни грижи, консултации и скрининг. Работ</w:t>
      </w:r>
      <w:r>
        <w:rPr>
          <w:rFonts w:ascii="Times New Roman" w:hAnsi="Times New Roman"/>
          <w:noProof/>
          <w:sz w:val="24"/>
          <w:lang w:val="bg-BG"/>
        </w:rPr>
        <w:t>ата ще се засили, като се даде приоритет на подпомаганите доброволни връщания, ускоряването на евакуирането на малолетните и непълнолетните лица и други уязвими хора, подобряването на условията в местата за задържане и насърчаването на алтернативи на задър</w:t>
      </w:r>
      <w:r>
        <w:rPr>
          <w:rFonts w:ascii="Times New Roman" w:hAnsi="Times New Roman"/>
          <w:noProof/>
          <w:sz w:val="24"/>
          <w:lang w:val="bg-BG"/>
        </w:rPr>
        <w:t>жането. Успоредно с това хуманитарната помощ на ЕС в Либия достигна близо 700 000 от най-уязвимите хора, засегнати от конфликти, включително вътрешно разселени лица.</w:t>
      </w:r>
    </w:p>
    <w:p w:rsidR="002817B9" w:rsidRDefault="002817B9">
      <w:pPr>
        <w:autoSpaceDE w:val="0"/>
        <w:autoSpaceDN w:val="0"/>
        <w:adjustRightInd w:val="0"/>
        <w:jc w:val="both"/>
        <w:rPr>
          <w:rFonts w:ascii="Times New Roman" w:hAnsi="Times New Roman"/>
          <w:noProof/>
          <w:sz w:val="24"/>
          <w:szCs w:val="24"/>
          <w:lang w:val="bg-BG"/>
        </w:rPr>
      </w:pPr>
    </w:p>
    <w:p w:rsidR="002817B9" w:rsidRDefault="0009162B">
      <w:pPr>
        <w:keepNext/>
        <w:spacing w:after="120"/>
        <w:jc w:val="both"/>
        <w:rPr>
          <w:rFonts w:ascii="Times New Roman" w:hAnsi="Times New Roman"/>
          <w:i/>
          <w:noProof/>
          <w:sz w:val="24"/>
          <w:szCs w:val="24"/>
          <w:lang w:val="bg-BG"/>
        </w:rPr>
      </w:pPr>
      <w:r>
        <w:rPr>
          <w:rFonts w:ascii="Times New Roman" w:hAnsi="Times New Roman"/>
          <w:i/>
          <w:noProof/>
          <w:sz w:val="24"/>
          <w:lang w:val="bg-BG"/>
        </w:rPr>
        <w:t xml:space="preserve">Източно Средиземноморие: подобряване на условията в Гърция </w:t>
      </w:r>
    </w:p>
    <w:p w:rsidR="002817B9" w:rsidRDefault="0009162B">
      <w:pPr>
        <w:pStyle w:val="Default"/>
        <w:jc w:val="both"/>
        <w:rPr>
          <w:noProof/>
          <w:lang w:val="bg-BG"/>
        </w:rPr>
      </w:pPr>
      <w:r>
        <w:rPr>
          <w:noProof/>
          <w:lang w:val="bg-BG"/>
        </w:rPr>
        <w:t>Трайният ангажимент за изпълн</w:t>
      </w:r>
      <w:r>
        <w:rPr>
          <w:noProof/>
          <w:lang w:val="bg-BG"/>
        </w:rPr>
        <w:t>ение на Изявлението на ЕС и Турция и сериозната финансова и оперативна подкрепа от страна на ЕС от 2015 г. насам допринесоха значително за облекчаването на натиска върху гръцките острови</w:t>
      </w:r>
      <w:r>
        <w:rPr>
          <w:rStyle w:val="FootnoteReference"/>
          <w:noProof/>
          <w:lang w:val="bg-BG"/>
        </w:rPr>
        <w:footnoteReference w:id="23"/>
      </w:r>
      <w:r>
        <w:rPr>
          <w:noProof/>
          <w:lang w:val="bg-BG"/>
        </w:rPr>
        <w:t>. Понастоящем се изпълняват допълнителни мерки. Гръцките органи предп</w:t>
      </w:r>
      <w:r>
        <w:rPr>
          <w:noProof/>
          <w:lang w:val="bg-BG"/>
        </w:rPr>
        <w:t>риеха редица мерки за по-бързо обработване на молбите за получаване на убежище, включително осигуряване на  допълнителни лекари за оценки на уязвимостта и мобилни бюра за убежище, както и и увеличаване на броя на апелативните комитети. В процес на изпълнен</w:t>
      </w:r>
      <w:r>
        <w:rPr>
          <w:noProof/>
          <w:lang w:val="bg-BG"/>
        </w:rPr>
        <w:t>ие са пилотни проекти за намирането на други начини за подобряване на работния процес за обработване на молбите за убежище. Това следва да доведе до повишаване на ефективността на връщанията, по-специално съгласно Изявлението на ЕС и Турция, и  до подобряв</w:t>
      </w:r>
      <w:r>
        <w:rPr>
          <w:noProof/>
          <w:lang w:val="bg-BG"/>
        </w:rPr>
        <w:t xml:space="preserve">ане на условията чрез намаляване на прекомерния брой на мигрантите на островите. </w:t>
      </w:r>
    </w:p>
    <w:p w:rsidR="002817B9" w:rsidRDefault="002817B9">
      <w:pPr>
        <w:pStyle w:val="Default"/>
        <w:jc w:val="both"/>
        <w:rPr>
          <w:noProof/>
          <w:lang w:val="bg-BG"/>
        </w:rPr>
      </w:pPr>
    </w:p>
    <w:p w:rsidR="002817B9" w:rsidRDefault="0009162B">
      <w:pPr>
        <w:pStyle w:val="Default"/>
        <w:spacing w:after="120"/>
        <w:jc w:val="both"/>
        <w:rPr>
          <w:noProof/>
          <w:lang w:val="bg-BG"/>
        </w:rPr>
      </w:pPr>
      <w:r>
        <w:rPr>
          <w:noProof/>
          <w:lang w:val="bg-BG"/>
        </w:rPr>
        <w:t>За да бъдат преодолени многото оставащи предизвикателства обаче от съществено значение ще бъдат силната ръководна роля и ангажиментът на гръцкото правителство. ЕС ще продълж</w:t>
      </w:r>
      <w:r>
        <w:rPr>
          <w:noProof/>
          <w:lang w:val="bg-BG"/>
        </w:rPr>
        <w:t>и да подпомага Гърция с финансова подкрепа</w:t>
      </w:r>
      <w:r>
        <w:rPr>
          <w:rStyle w:val="FootnoteReference"/>
          <w:noProof/>
          <w:lang w:val="bg-BG"/>
        </w:rPr>
        <w:footnoteReference w:id="24"/>
      </w:r>
      <w:r>
        <w:rPr>
          <w:noProof/>
          <w:lang w:val="bg-BG"/>
        </w:rPr>
        <w:t>, а агенциите на ЕС ще продължат да предоставят експертни познания. Също така е важно държавите членки да продължат да предоставят достатъчна подкрепа за работата на агенциите на ЕС. Необходими са спешни и координ</w:t>
      </w:r>
      <w:r>
        <w:rPr>
          <w:noProof/>
          <w:lang w:val="bg-BG"/>
        </w:rPr>
        <w:t>ирани действия на гръцките органи, за постигане на следното:</w:t>
      </w:r>
    </w:p>
    <w:p w:rsidR="002817B9" w:rsidRDefault="0009162B" w:rsidP="0009162B">
      <w:pPr>
        <w:pStyle w:val="Default"/>
        <w:numPr>
          <w:ilvl w:val="0"/>
          <w:numId w:val="7"/>
        </w:numPr>
        <w:spacing w:after="120"/>
        <w:ind w:left="425"/>
        <w:jc w:val="both"/>
        <w:rPr>
          <w:noProof/>
          <w:lang w:val="bg-BG"/>
        </w:rPr>
      </w:pPr>
      <w:r>
        <w:rPr>
          <w:noProof/>
          <w:lang w:val="bg-BG"/>
        </w:rPr>
        <w:t>по-ефективни процедури за предоставяне на убежище, за да се гарантира много по-бърза обработка на молбите за предоставяне на убежище;</w:t>
      </w:r>
    </w:p>
    <w:p w:rsidR="002817B9" w:rsidRDefault="0009162B" w:rsidP="0009162B">
      <w:pPr>
        <w:pStyle w:val="Default"/>
        <w:numPr>
          <w:ilvl w:val="0"/>
          <w:numId w:val="7"/>
        </w:numPr>
        <w:spacing w:after="120"/>
        <w:ind w:left="425"/>
        <w:jc w:val="both"/>
        <w:rPr>
          <w:noProof/>
          <w:lang w:val="bg-BG"/>
        </w:rPr>
      </w:pPr>
      <w:r>
        <w:rPr>
          <w:noProof/>
          <w:lang w:val="bg-BG"/>
        </w:rPr>
        <w:t>увеличаване на връщанията чрез максимално използване на прогр</w:t>
      </w:r>
      <w:r>
        <w:rPr>
          <w:noProof/>
          <w:lang w:val="bg-BG"/>
        </w:rPr>
        <w:t xml:space="preserve">ами за подпомагане на доброволното връщане, подкрепени от програми за реинтеграция. Когато се налага принудително връщане, трябва да бъдат налице подходящи центрове за настаняване преди извеждане, които са в съответствие с приложимите стандарти в областта </w:t>
      </w:r>
      <w:r>
        <w:rPr>
          <w:noProof/>
          <w:lang w:val="bg-BG"/>
        </w:rPr>
        <w:t>на правата на човека. За това е необходим ефективен оперативен работен процес, при който на ключовите групи се отдава приоритет на всички етапи от процеса</w:t>
      </w:r>
      <w:r>
        <w:rPr>
          <w:rStyle w:val="FootnoteReference"/>
          <w:noProof/>
          <w:lang w:val="bg-BG"/>
        </w:rPr>
        <w:footnoteReference w:id="25"/>
      </w:r>
      <w:r>
        <w:rPr>
          <w:noProof/>
          <w:lang w:val="bg-BG"/>
        </w:rPr>
        <w:t xml:space="preserve">; </w:t>
      </w:r>
    </w:p>
    <w:p w:rsidR="002817B9" w:rsidRDefault="0009162B" w:rsidP="0009162B">
      <w:pPr>
        <w:pStyle w:val="Default"/>
        <w:numPr>
          <w:ilvl w:val="0"/>
          <w:numId w:val="7"/>
        </w:numPr>
        <w:spacing w:after="120"/>
        <w:ind w:left="425"/>
        <w:jc w:val="both"/>
        <w:rPr>
          <w:noProof/>
          <w:lang w:val="bg-BG"/>
        </w:rPr>
      </w:pPr>
      <w:r>
        <w:rPr>
          <w:noProof/>
          <w:lang w:val="bg-BG"/>
        </w:rPr>
        <w:t xml:space="preserve">регулаторна и административна рамка, която може да гарантира функционирането и наблюдението на </w:t>
      </w:r>
      <w:r>
        <w:rPr>
          <w:noProof/>
          <w:lang w:val="bg-BG"/>
        </w:rPr>
        <w:t>капацитета за приемане и предоставянето на всички съответни услуги;</w:t>
      </w:r>
    </w:p>
    <w:p w:rsidR="002817B9" w:rsidRDefault="0009162B" w:rsidP="0009162B">
      <w:pPr>
        <w:pStyle w:val="ListParagraph"/>
        <w:numPr>
          <w:ilvl w:val="0"/>
          <w:numId w:val="6"/>
        </w:numPr>
        <w:spacing w:after="120"/>
        <w:ind w:left="425"/>
        <w:contextualSpacing w:val="0"/>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бързото осигуряване на поне 2 000 места за адекватно настаняване на непридружени малолетни и ненавършили пълнолетие лица, както и финализиране и прилагане на цялостна национална стратегия, за да се гарантира пълна закрила за тази група; </w:t>
      </w:r>
    </w:p>
    <w:p w:rsidR="002817B9" w:rsidRDefault="0009162B" w:rsidP="0009162B">
      <w:pPr>
        <w:pStyle w:val="ListParagraph"/>
        <w:numPr>
          <w:ilvl w:val="0"/>
          <w:numId w:val="6"/>
        </w:numPr>
        <w:spacing w:after="240"/>
        <w:ind w:left="426"/>
        <w:contextualSpacing w:val="0"/>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подобрена система </w:t>
      </w:r>
      <w:r>
        <w:rPr>
          <w:rFonts w:ascii="Times New Roman" w:eastAsiaTheme="minorHAnsi" w:hAnsi="Times New Roman"/>
          <w:noProof/>
          <w:color w:val="000000"/>
          <w:sz w:val="24"/>
          <w:lang w:val="bg-BG"/>
        </w:rPr>
        <w:t>за препращане на кандидати за международна закрила и уязвими лицата към центрове за настаняване от отворен тип  и сътрудничество между компетентните органи.</w:t>
      </w:r>
    </w:p>
    <w:p w:rsidR="002817B9" w:rsidRDefault="0009162B">
      <w:pPr>
        <w:spacing w:after="240"/>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За постигането на тази цел се изисква ефективна и устойчива гръцка национална стратегия в областта </w:t>
      </w:r>
      <w:r>
        <w:rPr>
          <w:rFonts w:ascii="Times New Roman" w:eastAsiaTheme="minorHAnsi" w:hAnsi="Times New Roman"/>
          <w:noProof/>
          <w:color w:val="000000"/>
          <w:sz w:val="24"/>
          <w:lang w:val="bg-BG"/>
        </w:rPr>
        <w:t>на управлението на миграцията. Тази стратегия е необходимо да  въведе ефективно сътрудничество и координация между всички съответни национални органи с оперативни работни процеси и общи правила за приоритизиране.</w:t>
      </w:r>
    </w:p>
    <w:p w:rsidR="002817B9" w:rsidRDefault="0009162B">
      <w:pPr>
        <w:keepNext/>
        <w:spacing w:after="120"/>
        <w:jc w:val="both"/>
        <w:rPr>
          <w:rFonts w:ascii="Times New Roman" w:hAnsi="Times New Roman"/>
          <w:i/>
          <w:noProof/>
          <w:sz w:val="24"/>
          <w:lang w:val="bg-BG"/>
        </w:rPr>
      </w:pPr>
      <w:r>
        <w:rPr>
          <w:rFonts w:ascii="Times New Roman" w:hAnsi="Times New Roman"/>
          <w:i/>
          <w:noProof/>
          <w:sz w:val="24"/>
          <w:lang w:val="bg-BG"/>
        </w:rPr>
        <w:t>Необходимост от временни мерки за сваляне н</w:t>
      </w:r>
      <w:r>
        <w:rPr>
          <w:rFonts w:ascii="Times New Roman" w:hAnsi="Times New Roman"/>
          <w:i/>
          <w:noProof/>
          <w:sz w:val="24"/>
          <w:lang w:val="bg-BG"/>
        </w:rPr>
        <w:t>а брега в ЕС</w:t>
      </w:r>
    </w:p>
    <w:p w:rsidR="002817B9" w:rsidRDefault="0009162B">
      <w:pPr>
        <w:jc w:val="both"/>
        <w:rPr>
          <w:rFonts w:ascii="Times New Roman" w:hAnsi="Times New Roman"/>
          <w:noProof/>
          <w:color w:val="000000"/>
          <w:sz w:val="24"/>
          <w:lang w:val="bg-BG"/>
        </w:rPr>
      </w:pPr>
      <w:r>
        <w:rPr>
          <w:rFonts w:ascii="Times New Roman" w:hAnsi="Times New Roman"/>
          <w:noProof/>
          <w:sz w:val="24"/>
          <w:lang w:val="bg-BG"/>
        </w:rPr>
        <w:t>През лятото на 2018 г. вече имаше редица случаи, в които държавите членки не можаха да постигнат бързо съгласие относно свалянето на брега и последващите мерки. В резултат на това приетите решения бяха с ограничен характер и съобразени с конкр</w:t>
      </w:r>
      <w:r>
        <w:rPr>
          <w:rFonts w:ascii="Times New Roman" w:hAnsi="Times New Roman"/>
          <w:noProof/>
          <w:sz w:val="24"/>
          <w:lang w:val="bg-BG"/>
        </w:rPr>
        <w:t xml:space="preserve">етния случай. През януари 2019 г. необходимостта да се намери решение за спасителния плавателен съд </w:t>
      </w:r>
      <w:r>
        <w:rPr>
          <w:rFonts w:ascii="Times New Roman" w:hAnsi="Times New Roman"/>
          <w:i/>
          <w:noProof/>
          <w:sz w:val="24"/>
          <w:lang w:val="bg-BG"/>
        </w:rPr>
        <w:t>Sea-Watch 3</w:t>
      </w:r>
      <w:r>
        <w:rPr>
          <w:rFonts w:ascii="Times New Roman" w:hAnsi="Times New Roman"/>
          <w:noProof/>
          <w:sz w:val="24"/>
          <w:lang w:val="bg-BG"/>
        </w:rPr>
        <w:t xml:space="preserve"> доведе до особени усилия за координация между няколко държави членки, Комисията и съответните агенции. Независимо от ниския брой на участващите,</w:t>
      </w:r>
      <w:r>
        <w:rPr>
          <w:rFonts w:ascii="Times New Roman" w:hAnsi="Times New Roman"/>
          <w:noProof/>
          <w:sz w:val="24"/>
          <w:lang w:val="bg-BG"/>
        </w:rPr>
        <w:t xml:space="preserve"> този практически опит бе свидетелство за желанието за намиране на по-ефективна рамка за сътрудничество в дух на солидарност и може да даде импулс на работата за по-систематизиран и координиран подход на ЕС към свалянето на брега, първоначалното приемане, </w:t>
      </w:r>
      <w:r>
        <w:rPr>
          <w:rFonts w:ascii="Times New Roman" w:hAnsi="Times New Roman"/>
          <w:noProof/>
          <w:sz w:val="24"/>
          <w:lang w:val="bg-BG"/>
        </w:rPr>
        <w:t xml:space="preserve">регистрацията и преместването под формата на временни договорености. </w:t>
      </w:r>
      <w:r>
        <w:rPr>
          <w:rFonts w:ascii="Times New Roman" w:hAnsi="Times New Roman"/>
          <w:noProof/>
          <w:color w:val="000000"/>
          <w:sz w:val="24"/>
          <w:lang w:val="bg-BG"/>
        </w:rPr>
        <w:t>Това би могло да включва прозрачен поетапен план за работа, който да гарантира, че съответната държава членка получава оперативната и ефективна помощ, от която се нуждае, от Комисията, аг</w:t>
      </w:r>
      <w:r>
        <w:rPr>
          <w:rFonts w:ascii="Times New Roman" w:hAnsi="Times New Roman"/>
          <w:noProof/>
          <w:color w:val="000000"/>
          <w:sz w:val="24"/>
          <w:lang w:val="bg-BG"/>
        </w:rPr>
        <w:t>енциите на ЕС и други държави членки.</w:t>
      </w:r>
    </w:p>
    <w:p w:rsidR="002817B9" w:rsidRDefault="002817B9">
      <w:pPr>
        <w:jc w:val="both"/>
        <w:rPr>
          <w:rFonts w:ascii="Times New Roman" w:hAnsi="Times New Roman"/>
          <w:noProof/>
          <w:color w:val="000000"/>
          <w:sz w:val="24"/>
          <w:lang w:val="bg-BG"/>
        </w:rPr>
      </w:pPr>
    </w:p>
    <w:p w:rsidR="002817B9" w:rsidRDefault="0009162B">
      <w:pPr>
        <w:jc w:val="both"/>
        <w:rPr>
          <w:rFonts w:ascii="Times New Roman" w:hAnsi="Times New Roman"/>
          <w:noProof/>
          <w:color w:val="000000" w:themeColor="text1"/>
          <w:sz w:val="24"/>
          <w:szCs w:val="24"/>
          <w:lang w:val="bg-BG"/>
        </w:rPr>
      </w:pPr>
      <w:r>
        <w:rPr>
          <w:rFonts w:ascii="Times New Roman" w:hAnsi="Times New Roman"/>
          <w:noProof/>
          <w:sz w:val="24"/>
          <w:lang w:val="bg-BG"/>
        </w:rPr>
        <w:t>Въпреки че бързото приключване на законодателната реформа на общата европейска система за убежище остава приоритет, Комисията вече подчерта през декември 2018 г. значението на такива временни договорености</w:t>
      </w:r>
      <w:r>
        <w:rPr>
          <w:rStyle w:val="FootnoteReference"/>
          <w:rFonts w:ascii="Times New Roman" w:hAnsi="Times New Roman"/>
          <w:noProof/>
          <w:sz w:val="24"/>
          <w:lang w:val="bg-BG"/>
        </w:rPr>
        <w:footnoteReference w:id="26"/>
      </w:r>
      <w:r>
        <w:rPr>
          <w:rFonts w:ascii="Times New Roman" w:hAnsi="Times New Roman"/>
          <w:noProof/>
          <w:sz w:val="24"/>
          <w:lang w:val="bg-BG"/>
        </w:rPr>
        <w:t>, служещи к</w:t>
      </w:r>
      <w:r>
        <w:rPr>
          <w:rFonts w:ascii="Times New Roman" w:hAnsi="Times New Roman"/>
          <w:noProof/>
          <w:sz w:val="24"/>
          <w:lang w:val="bg-BG"/>
        </w:rPr>
        <w:t>ато незабавен координиран подход към свалянето на брега и други особено напрегнати ситуации в ЕС.</w:t>
      </w:r>
      <w:r>
        <w:rPr>
          <w:rFonts w:ascii="Times New Roman" w:hAnsi="Times New Roman"/>
          <w:noProof/>
          <w:color w:val="000000" w:themeColor="text1"/>
          <w:sz w:val="24"/>
          <w:lang w:val="bg-BG"/>
        </w:rPr>
        <w:t xml:space="preserve"> </w:t>
      </w:r>
      <w:r>
        <w:rPr>
          <w:rFonts w:ascii="Times New Roman" w:hAnsi="Times New Roman"/>
          <w:noProof/>
          <w:sz w:val="24"/>
          <w:lang w:val="bg-BG"/>
        </w:rPr>
        <w:t>Тези договорености биха били практически израз на солидарността и отговорността въз основа на взаимно разбиране за общия и споделен интерес. Те ще действат ка</w:t>
      </w:r>
      <w:r>
        <w:rPr>
          <w:rFonts w:ascii="Times New Roman" w:hAnsi="Times New Roman"/>
          <w:noProof/>
          <w:sz w:val="24"/>
          <w:lang w:val="bg-BG"/>
        </w:rPr>
        <w:t xml:space="preserve">то свързващ механизъм до завършването на законодателната реформа и нейното влизане в сила. ЕС би бил наистина много по-добре подготвен, отколкото е в момента, да предлага конкретна солидарност по структуриран, ефективен и гъвкав начин, като в същото време </w:t>
      </w:r>
      <w:r>
        <w:rPr>
          <w:rFonts w:ascii="Times New Roman" w:hAnsi="Times New Roman"/>
          <w:noProof/>
          <w:sz w:val="24"/>
          <w:lang w:val="bg-BG"/>
        </w:rPr>
        <w:t>гарантира ефективното предотвратяване на вторични движения и притегателни фактори. За да функционира този подход, е необходимо участието на възможно най-голям брой държави членки. Основните елементи на тези временни договорености могат да бъдат:</w:t>
      </w:r>
    </w:p>
    <w:p w:rsidR="002817B9" w:rsidRDefault="002817B9">
      <w:pPr>
        <w:ind w:left="426" w:hanging="426"/>
        <w:jc w:val="both"/>
        <w:rPr>
          <w:rFonts w:ascii="Times New Roman" w:hAnsi="Times New Roman"/>
          <w:noProof/>
          <w:sz w:val="24"/>
          <w:szCs w:val="24"/>
          <w:lang w:val="bg-BG"/>
        </w:rPr>
      </w:pPr>
    </w:p>
    <w:p w:rsidR="002817B9" w:rsidRDefault="0009162B" w:rsidP="0009162B">
      <w:pPr>
        <w:pStyle w:val="ListParagraph"/>
        <w:numPr>
          <w:ilvl w:val="0"/>
          <w:numId w:val="5"/>
        </w:numPr>
        <w:spacing w:after="120"/>
        <w:ind w:left="426" w:hanging="426"/>
        <w:contextualSpacing w:val="0"/>
        <w:jc w:val="both"/>
        <w:rPr>
          <w:rFonts w:ascii="Times New Roman" w:hAnsi="Times New Roman"/>
          <w:noProof/>
          <w:sz w:val="24"/>
          <w:szCs w:val="24"/>
          <w:lang w:val="bg-BG"/>
        </w:rPr>
      </w:pPr>
      <w:r>
        <w:rPr>
          <w:rFonts w:ascii="Times New Roman" w:hAnsi="Times New Roman"/>
          <w:noProof/>
          <w:sz w:val="24"/>
          <w:lang w:val="bg-BG"/>
        </w:rPr>
        <w:t xml:space="preserve">когато дадена държава членка е подложена на натиск или когато това е необходимо, за да се допринесе за бързото сваляне на брега след операции по издирване и спасяване, въпросната държава членка подава искане за помощ; </w:t>
      </w:r>
    </w:p>
    <w:p w:rsidR="002817B9" w:rsidRDefault="0009162B" w:rsidP="0009162B">
      <w:pPr>
        <w:pStyle w:val="ListParagraph"/>
        <w:numPr>
          <w:ilvl w:val="0"/>
          <w:numId w:val="5"/>
        </w:numPr>
        <w:spacing w:after="120"/>
        <w:ind w:left="426" w:hanging="426"/>
        <w:contextualSpacing w:val="0"/>
        <w:jc w:val="both"/>
        <w:rPr>
          <w:rFonts w:ascii="Times New Roman" w:hAnsi="Times New Roman"/>
          <w:noProof/>
          <w:sz w:val="24"/>
          <w:szCs w:val="24"/>
          <w:lang w:val="bg-BG"/>
        </w:rPr>
      </w:pPr>
      <w:r>
        <w:rPr>
          <w:rFonts w:ascii="Times New Roman" w:hAnsi="Times New Roman"/>
          <w:noProof/>
          <w:sz w:val="24"/>
          <w:lang w:val="bg-BG"/>
        </w:rPr>
        <w:t>в отговор на това искане е необходимо</w:t>
      </w:r>
      <w:r>
        <w:rPr>
          <w:rFonts w:ascii="Times New Roman" w:hAnsi="Times New Roman"/>
          <w:noProof/>
          <w:sz w:val="24"/>
          <w:lang w:val="bg-BG"/>
        </w:rPr>
        <w:t xml:space="preserve"> да бъде определена конкретната подкрепа, която държавите членки могат да предоставят чрез мерки за солидарност. На предлаганите от държави членки мерки за солидарност държавите членки, които се възползват от подкрепата, трябва да отговорят, като изпълнят </w:t>
      </w:r>
      <w:r>
        <w:rPr>
          <w:rFonts w:ascii="Times New Roman" w:hAnsi="Times New Roman"/>
          <w:noProof/>
          <w:sz w:val="24"/>
          <w:lang w:val="bg-BG"/>
        </w:rPr>
        <w:t xml:space="preserve">собствената си отговорност за предприемане на подходящи мерки за управлението на пристигащите; </w:t>
      </w:r>
    </w:p>
    <w:p w:rsidR="002817B9" w:rsidRDefault="0009162B" w:rsidP="0009162B">
      <w:pPr>
        <w:pStyle w:val="ListParagraph"/>
        <w:numPr>
          <w:ilvl w:val="0"/>
          <w:numId w:val="5"/>
        </w:numPr>
        <w:spacing w:after="120"/>
        <w:ind w:left="426" w:hanging="426"/>
        <w:contextualSpacing w:val="0"/>
        <w:jc w:val="both"/>
        <w:rPr>
          <w:rFonts w:ascii="Times New Roman" w:hAnsi="Times New Roman"/>
          <w:noProof/>
          <w:sz w:val="24"/>
          <w:szCs w:val="24"/>
          <w:lang w:val="bg-BG"/>
        </w:rPr>
      </w:pPr>
      <w:r>
        <w:rPr>
          <w:rFonts w:ascii="Times New Roman" w:hAnsi="Times New Roman"/>
          <w:noProof/>
          <w:sz w:val="24"/>
          <w:lang w:val="bg-BG"/>
        </w:rPr>
        <w:t>следва да се въведе координационна структура за последващи действия по такива искания от държавите членки с участието на ключови заинтересовани страни, например</w:t>
      </w:r>
      <w:r>
        <w:rPr>
          <w:rFonts w:ascii="Times New Roman" w:hAnsi="Times New Roman"/>
          <w:noProof/>
          <w:sz w:val="24"/>
          <w:lang w:val="bg-BG"/>
        </w:rPr>
        <w:t xml:space="preserve"> Комисията и агенциите на ЕС; </w:t>
      </w:r>
    </w:p>
    <w:p w:rsidR="002817B9" w:rsidRDefault="0009162B" w:rsidP="0009162B">
      <w:pPr>
        <w:pStyle w:val="ListParagraph"/>
        <w:numPr>
          <w:ilvl w:val="0"/>
          <w:numId w:val="5"/>
        </w:numPr>
        <w:spacing w:after="120"/>
        <w:ind w:left="426" w:hanging="426"/>
        <w:contextualSpacing w:val="0"/>
        <w:jc w:val="both"/>
        <w:rPr>
          <w:rFonts w:ascii="Times New Roman" w:hAnsi="Times New Roman"/>
          <w:noProof/>
          <w:sz w:val="24"/>
          <w:szCs w:val="24"/>
          <w:lang w:val="bg-BG"/>
        </w:rPr>
      </w:pPr>
      <w:r>
        <w:rPr>
          <w:rFonts w:ascii="Times New Roman" w:hAnsi="Times New Roman"/>
          <w:noProof/>
          <w:sz w:val="24"/>
          <w:lang w:val="bg-BG"/>
        </w:rPr>
        <w:t xml:space="preserve">агенциите на ЕС са добре подготвени да предоставят необходимата помощ в области като първо приемане, регистрация, преместване и връщане; </w:t>
      </w:r>
    </w:p>
    <w:p w:rsidR="002817B9" w:rsidRDefault="0009162B" w:rsidP="0009162B">
      <w:pPr>
        <w:pStyle w:val="ListParagraph"/>
        <w:numPr>
          <w:ilvl w:val="0"/>
          <w:numId w:val="10"/>
        </w:numPr>
        <w:ind w:left="426" w:hanging="426"/>
        <w:jc w:val="both"/>
        <w:rPr>
          <w:rFonts w:ascii="Times New Roman" w:hAnsi="Times New Roman"/>
          <w:noProof/>
          <w:sz w:val="24"/>
          <w:szCs w:val="24"/>
          <w:lang w:val="bg-BG"/>
        </w:rPr>
      </w:pPr>
      <w:r>
        <w:rPr>
          <w:rFonts w:ascii="Times New Roman" w:hAnsi="Times New Roman"/>
          <w:noProof/>
          <w:sz w:val="24"/>
          <w:lang w:val="bg-BG"/>
        </w:rPr>
        <w:t>от бюджета на ЕС ще бъде предоставена финансова помощ за държавите членки, които участв</w:t>
      </w:r>
      <w:r>
        <w:rPr>
          <w:rFonts w:ascii="Times New Roman" w:hAnsi="Times New Roman"/>
          <w:noProof/>
          <w:sz w:val="24"/>
          <w:lang w:val="bg-BG"/>
        </w:rPr>
        <w:t>ат доброволно в преместването на мигранти, и в подкрепа на операции по връщане. Финансова помощ също така ще бъде предоставяна на държавите членки, подложени на натиск.</w:t>
      </w:r>
    </w:p>
    <w:p w:rsidR="002817B9" w:rsidRDefault="002817B9">
      <w:pPr>
        <w:rPr>
          <w:rFonts w:ascii="Times New Roman" w:hAnsi="Times New Roman"/>
          <w:noProof/>
          <w:sz w:val="24"/>
          <w:lang w:val="bg-BG"/>
        </w:rPr>
      </w:pPr>
    </w:p>
    <w:tbl>
      <w:tblPr>
        <w:tblStyle w:val="TableGrid"/>
        <w:tblW w:w="0" w:type="auto"/>
        <w:tblLook w:val="04A0" w:firstRow="1" w:lastRow="0" w:firstColumn="1" w:lastColumn="0" w:noHBand="0" w:noVBand="1"/>
      </w:tblPr>
      <w:tblGrid>
        <w:gridCol w:w="9286"/>
      </w:tblGrid>
      <w:tr w:rsidR="002817B9">
        <w:tc>
          <w:tcPr>
            <w:tcW w:w="9286" w:type="dxa"/>
            <w:shd w:val="clear" w:color="auto" w:fill="1F497D" w:themeFill="text2"/>
          </w:tcPr>
          <w:p w:rsidR="002817B9" w:rsidRDefault="0009162B">
            <w:pPr>
              <w:jc w:val="center"/>
              <w:rPr>
                <w:rFonts w:ascii="Times New Roman" w:hAnsi="Times New Roman"/>
                <w:b/>
                <w:noProof/>
                <w:color w:val="FFFFFF" w:themeColor="background1"/>
                <w:sz w:val="24"/>
                <w:szCs w:val="24"/>
                <w:lang w:val="bg-BG"/>
              </w:rPr>
            </w:pPr>
            <w:r>
              <w:rPr>
                <w:rFonts w:ascii="Times New Roman" w:hAnsi="Times New Roman"/>
                <w:b/>
                <w:noProof/>
                <w:color w:val="FFFFFF" w:themeColor="background1"/>
                <w:sz w:val="24"/>
                <w:lang w:val="bg-BG"/>
              </w:rPr>
              <w:t>Незабавни ключови стъпки</w:t>
            </w:r>
          </w:p>
        </w:tc>
      </w:tr>
      <w:tr w:rsidR="002817B9" w:rsidRPr="0009162B">
        <w:tc>
          <w:tcPr>
            <w:tcW w:w="9286" w:type="dxa"/>
            <w:shd w:val="clear" w:color="auto" w:fill="C6D9F1" w:themeFill="text2" w:themeFillTint="33"/>
          </w:tcPr>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Новата помощ, предоставена на </w:t>
            </w:r>
            <w:r>
              <w:rPr>
                <w:rFonts w:ascii="Times New Roman" w:eastAsiaTheme="minorHAnsi" w:hAnsi="Times New Roman"/>
                <w:b/>
                <w:i/>
                <w:noProof/>
                <w:color w:val="000000"/>
                <w:sz w:val="24"/>
                <w:lang w:val="bg-BG"/>
              </w:rPr>
              <w:t>Мароко</w:t>
            </w:r>
            <w:r>
              <w:rPr>
                <w:rFonts w:ascii="Times New Roman" w:eastAsiaTheme="minorHAnsi" w:hAnsi="Times New Roman"/>
                <w:noProof/>
                <w:color w:val="000000"/>
                <w:sz w:val="24"/>
                <w:lang w:val="bg-BG"/>
              </w:rPr>
              <w:t xml:space="preserve"> от ЕС и Испания, следва да бъдат насочена към намаляване на броя на незаконно пристигащите от мароканския бряг и да води до укрепване на сътрудничеството с Мароко и другите съответни държави с цел увеличаване на ефективното обратно приемане на незаконните</w:t>
            </w:r>
            <w:r>
              <w:rPr>
                <w:rFonts w:ascii="Times New Roman" w:eastAsiaTheme="minorHAnsi" w:hAnsi="Times New Roman"/>
                <w:noProof/>
                <w:color w:val="000000"/>
                <w:sz w:val="24"/>
                <w:lang w:val="bg-BG"/>
              </w:rPr>
              <w:t xml:space="preserve"> мигранти като част от всеобхватен подход.</w:t>
            </w:r>
          </w:p>
          <w:p w:rsidR="002817B9" w:rsidRDefault="0009162B" w:rsidP="0009162B">
            <w:pPr>
              <w:pStyle w:val="ListParagraph"/>
              <w:numPr>
                <w:ilvl w:val="0"/>
                <w:numId w:val="9"/>
              </w:numPr>
              <w:ind w:left="360"/>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ЕС следва да засили работата си с работната група между Африканския съюз, Европейския съюз и ООН за по-нататъшно подобряване на </w:t>
            </w:r>
            <w:r>
              <w:rPr>
                <w:rFonts w:ascii="Times New Roman" w:eastAsiaTheme="minorHAnsi" w:hAnsi="Times New Roman"/>
                <w:b/>
                <w:i/>
                <w:noProof/>
                <w:color w:val="000000"/>
                <w:sz w:val="24"/>
                <w:lang w:val="bg-BG"/>
              </w:rPr>
              <w:t>условията в Либия</w:t>
            </w:r>
            <w:r>
              <w:rPr>
                <w:rFonts w:ascii="Times New Roman" w:eastAsiaTheme="minorHAnsi" w:hAnsi="Times New Roman"/>
                <w:noProof/>
                <w:color w:val="000000"/>
                <w:sz w:val="24"/>
                <w:lang w:val="bg-BG"/>
              </w:rPr>
              <w:t xml:space="preserve"> и за прекратяване на настоящата система на центрове за задържане, к</w:t>
            </w:r>
            <w:r>
              <w:rPr>
                <w:rFonts w:ascii="Times New Roman" w:eastAsiaTheme="minorHAnsi" w:hAnsi="Times New Roman"/>
                <w:noProof/>
                <w:color w:val="000000"/>
                <w:sz w:val="24"/>
                <w:lang w:val="bg-BG"/>
              </w:rPr>
              <w:t xml:space="preserve">акто и за преодоляване на пречките пред достъпа на международни организации и за доброволното завръщане на мигрантите и евакуиране на бежанците. </w:t>
            </w:r>
            <w:r>
              <w:rPr>
                <w:rFonts w:ascii="Times New Roman" w:hAnsi="Times New Roman"/>
                <w:noProof/>
                <w:sz w:val="24"/>
                <w:lang w:val="bg-BG"/>
              </w:rPr>
              <w:t xml:space="preserve">Следва да бъде гарантирана системна и оперативно съвместима регистрация на всички свалени на брега и задържани </w:t>
            </w:r>
            <w:r>
              <w:rPr>
                <w:rFonts w:ascii="Times New Roman" w:hAnsi="Times New Roman"/>
                <w:noProof/>
                <w:sz w:val="24"/>
                <w:lang w:val="bg-BG"/>
              </w:rPr>
              <w:t xml:space="preserve">мигранти. </w:t>
            </w:r>
          </w:p>
          <w:p w:rsidR="002817B9" w:rsidRDefault="0009162B" w:rsidP="0009162B">
            <w:pPr>
              <w:numPr>
                <w:ilvl w:val="0"/>
                <w:numId w:val="9"/>
              </w:numPr>
              <w:ind w:left="360"/>
              <w:contextualSpacing/>
              <w:jc w:val="both"/>
              <w:rPr>
                <w:rFonts w:ascii="Times New Roman" w:hAnsi="Times New Roman"/>
                <w:noProof/>
                <w:color w:val="000000"/>
                <w:sz w:val="24"/>
                <w:szCs w:val="24"/>
                <w:lang w:val="bg-BG"/>
              </w:rPr>
            </w:pPr>
            <w:r>
              <w:rPr>
                <w:rFonts w:ascii="Times New Roman" w:eastAsiaTheme="minorHAnsi" w:hAnsi="Times New Roman"/>
                <w:b/>
                <w:i/>
                <w:noProof/>
                <w:color w:val="000000"/>
                <w:sz w:val="24"/>
                <w:lang w:val="bg-BG"/>
              </w:rPr>
              <w:t>Гърция</w:t>
            </w:r>
            <w:r>
              <w:rPr>
                <w:rFonts w:ascii="Times New Roman" w:eastAsiaTheme="minorHAnsi" w:hAnsi="Times New Roman"/>
                <w:noProof/>
                <w:color w:val="000000"/>
                <w:sz w:val="24"/>
                <w:lang w:val="bg-BG"/>
              </w:rPr>
              <w:t xml:space="preserve"> следва спешно да въведе ефективна и устойчива национална стратегия за управление на миграцията с цел справяне с оставащите пропуски, като например по отношение на връщането и непридружените малолетни и непълнолетни лица, като се възползва</w:t>
            </w:r>
            <w:r>
              <w:rPr>
                <w:rFonts w:ascii="Times New Roman" w:eastAsiaTheme="minorHAnsi" w:hAnsi="Times New Roman"/>
                <w:noProof/>
                <w:color w:val="000000"/>
                <w:sz w:val="24"/>
                <w:lang w:val="bg-BG"/>
              </w:rPr>
              <w:t xml:space="preserve"> максимално от значителната подкрепа, предоставена от ЕС. </w:t>
            </w:r>
          </w:p>
          <w:p w:rsidR="002817B9" w:rsidRDefault="0009162B" w:rsidP="0009162B">
            <w:pPr>
              <w:pStyle w:val="ListParagraph"/>
              <w:numPr>
                <w:ilvl w:val="0"/>
                <w:numId w:val="9"/>
              </w:numPr>
              <w:ind w:left="360"/>
              <w:jc w:val="both"/>
              <w:rPr>
                <w:rFonts w:ascii="Times New Roman" w:hAnsi="Times New Roman"/>
                <w:noProof/>
                <w:sz w:val="24"/>
                <w:lang w:val="bg-BG"/>
              </w:rPr>
            </w:pPr>
            <w:r>
              <w:rPr>
                <w:rFonts w:ascii="Times New Roman" w:eastAsiaTheme="minorHAnsi" w:hAnsi="Times New Roman"/>
                <w:noProof/>
                <w:sz w:val="24"/>
                <w:lang w:val="bg-BG"/>
              </w:rPr>
              <w:t>Следва да се създаде набор от</w:t>
            </w:r>
            <w:r>
              <w:rPr>
                <w:rFonts w:ascii="Times New Roman" w:eastAsiaTheme="minorHAnsi" w:hAnsi="Times New Roman"/>
                <w:b/>
                <w:i/>
                <w:noProof/>
                <w:sz w:val="24"/>
                <w:lang w:val="bg-BG"/>
              </w:rPr>
              <w:t xml:space="preserve"> временни договорености</w:t>
            </w:r>
            <w:r>
              <w:rPr>
                <w:rFonts w:ascii="Times New Roman" w:eastAsiaTheme="minorHAnsi" w:hAnsi="Times New Roman"/>
                <w:noProof/>
                <w:sz w:val="24"/>
                <w:lang w:val="bg-BG"/>
              </w:rPr>
              <w:t xml:space="preserve"> относно свалянето на брега, в които биха били готови да участват критична маса от държавите членки посредством мерки за солидарност.</w:t>
            </w:r>
          </w:p>
        </w:tc>
      </w:tr>
    </w:tbl>
    <w:p w:rsidR="002817B9" w:rsidRDefault="002817B9">
      <w:pPr>
        <w:jc w:val="both"/>
        <w:rPr>
          <w:rFonts w:ascii="Times New Roman" w:hAnsi="Times New Roman"/>
          <w:b/>
          <w:noProof/>
          <w:color w:val="000000"/>
          <w:sz w:val="24"/>
          <w:lang w:val="bg-BG"/>
        </w:rPr>
      </w:pPr>
    </w:p>
    <w:p w:rsidR="002817B9" w:rsidRDefault="002817B9">
      <w:pPr>
        <w:jc w:val="both"/>
        <w:rPr>
          <w:rFonts w:ascii="Times New Roman" w:hAnsi="Times New Roman"/>
          <w:b/>
          <w:noProof/>
          <w:color w:val="000000"/>
          <w:sz w:val="24"/>
          <w:szCs w:val="24"/>
          <w:lang w:val="bg-BG"/>
        </w:rPr>
      </w:pPr>
    </w:p>
    <w:p w:rsidR="002817B9" w:rsidRDefault="0009162B">
      <w:pPr>
        <w:pStyle w:val="ListParagraph"/>
        <w:numPr>
          <w:ilvl w:val="0"/>
          <w:numId w:val="2"/>
        </w:numPr>
        <w:jc w:val="both"/>
        <w:rPr>
          <w:rFonts w:ascii="Times New Roman" w:hAnsi="Times New Roman"/>
          <w:b/>
          <w:noProof/>
          <w:sz w:val="24"/>
          <w:szCs w:val="24"/>
          <w:lang w:val="bg-BG"/>
        </w:rPr>
      </w:pPr>
      <w:r>
        <w:rPr>
          <w:rFonts w:ascii="Times New Roman" w:hAnsi="Times New Roman"/>
          <w:b/>
          <w:noProof/>
          <w:sz w:val="24"/>
          <w:lang w:val="bg-BG"/>
        </w:rPr>
        <w:t>ЧЕТИРИТЕ</w:t>
      </w:r>
      <w:r>
        <w:rPr>
          <w:rFonts w:ascii="Times New Roman" w:hAnsi="Times New Roman"/>
          <w:b/>
          <w:noProof/>
          <w:sz w:val="24"/>
          <w:lang w:val="bg-BG"/>
        </w:rPr>
        <w:t xml:space="preserve"> СТЪЛБА ЗА УПРАВЛЕНИЕ НА МИГРАЦИЯТА</w:t>
      </w:r>
    </w:p>
    <w:p w:rsidR="002817B9" w:rsidRDefault="002817B9">
      <w:pPr>
        <w:pStyle w:val="ListParagraph"/>
        <w:jc w:val="both"/>
        <w:rPr>
          <w:rFonts w:ascii="Times New Roman" w:hAnsi="Times New Roman"/>
          <w:b/>
          <w:noProof/>
          <w:sz w:val="24"/>
          <w:szCs w:val="24"/>
          <w:lang w:val="bg-BG"/>
        </w:rPr>
      </w:pPr>
    </w:p>
    <w:p w:rsidR="002817B9" w:rsidRDefault="0009162B">
      <w:pPr>
        <w:pStyle w:val="ListParagraph"/>
        <w:numPr>
          <w:ilvl w:val="0"/>
          <w:numId w:val="3"/>
        </w:numPr>
        <w:jc w:val="both"/>
        <w:rPr>
          <w:rFonts w:ascii="Times New Roman" w:hAnsi="Times New Roman"/>
          <w:b/>
          <w:i/>
          <w:noProof/>
          <w:sz w:val="24"/>
          <w:szCs w:val="24"/>
          <w:lang w:val="bg-BG"/>
        </w:rPr>
      </w:pPr>
      <w:r>
        <w:rPr>
          <w:rFonts w:ascii="Times New Roman" w:hAnsi="Times New Roman"/>
          <w:b/>
          <w:i/>
          <w:noProof/>
          <w:sz w:val="24"/>
          <w:lang w:val="bg-BG"/>
        </w:rPr>
        <w:t>Справяне с факторите за незаконната миграция: работа с партньорите</w:t>
      </w:r>
    </w:p>
    <w:p w:rsidR="002817B9" w:rsidRDefault="002817B9">
      <w:pPr>
        <w:jc w:val="both"/>
        <w:rPr>
          <w:rFonts w:ascii="Times New Roman" w:hAnsi="Times New Roman"/>
          <w:noProof/>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След приемането на Рамката за партньорство в областта на миграцията миграцията придоби ключово значение във външните отношения на ЕС — глобалните </w:t>
      </w:r>
      <w:r>
        <w:rPr>
          <w:rFonts w:ascii="Times New Roman" w:hAnsi="Times New Roman"/>
          <w:noProof/>
          <w:color w:val="000000"/>
          <w:sz w:val="24"/>
          <w:lang w:val="bg-BG"/>
        </w:rPr>
        <w:t>партньорства и дългосрочното сътрудничество са основно средство за управлението на всички аспекти на миграцията</w:t>
      </w:r>
      <w:r>
        <w:rPr>
          <w:rStyle w:val="FootnoteReference"/>
          <w:rFonts w:ascii="Times New Roman" w:hAnsi="Times New Roman"/>
          <w:noProof/>
          <w:color w:val="000000"/>
          <w:sz w:val="24"/>
          <w:lang w:val="bg-BG"/>
        </w:rPr>
        <w:footnoteReference w:id="27"/>
      </w:r>
      <w:r>
        <w:rPr>
          <w:noProof/>
          <w:lang w:val="bg-BG"/>
        </w:rPr>
        <w:t>.</w:t>
      </w:r>
      <w:r>
        <w:rPr>
          <w:rFonts w:ascii="Times New Roman" w:hAnsi="Times New Roman"/>
          <w:noProof/>
          <w:color w:val="000000"/>
          <w:sz w:val="24"/>
          <w:lang w:val="bg-BG"/>
        </w:rPr>
        <w:t xml:space="preserve"> Миграцията е силно интегрирана в цялостните отношения на ЕС с държавите партньори. За по-нататъшното задълбочаване на сътрудничеството с партньорите от първостепенно значение е наличието на всеобхватен, съгласуван подход, основан на многостранното сътрудн</w:t>
      </w:r>
      <w:r>
        <w:rPr>
          <w:rFonts w:ascii="Times New Roman" w:hAnsi="Times New Roman"/>
          <w:noProof/>
          <w:color w:val="000000"/>
          <w:sz w:val="24"/>
          <w:lang w:val="bg-BG"/>
        </w:rPr>
        <w:t>ичество, в рамките на двустранни, регионални и многостранни форуми.</w:t>
      </w:r>
    </w:p>
    <w:p w:rsidR="002817B9" w:rsidRDefault="002817B9">
      <w:pPr>
        <w:jc w:val="both"/>
        <w:rPr>
          <w:rFonts w:ascii="Times New Roman" w:hAnsi="Times New Roman"/>
          <w:noProof/>
          <w:color w:val="000000"/>
          <w:sz w:val="24"/>
          <w:szCs w:val="24"/>
          <w:lang w:val="bg-BG"/>
        </w:rPr>
      </w:pPr>
    </w:p>
    <w:p w:rsidR="002817B9" w:rsidRDefault="0009162B">
      <w:pPr>
        <w:keepNext/>
        <w:spacing w:after="120"/>
        <w:jc w:val="both"/>
        <w:rPr>
          <w:rFonts w:ascii="Times New Roman" w:hAnsi="Times New Roman"/>
          <w:i/>
          <w:noProof/>
          <w:color w:val="000000"/>
          <w:sz w:val="24"/>
          <w:szCs w:val="24"/>
          <w:lang w:val="bg-BG"/>
        </w:rPr>
      </w:pPr>
      <w:r>
        <w:rPr>
          <w:rFonts w:ascii="Times New Roman" w:hAnsi="Times New Roman"/>
          <w:i/>
          <w:noProof/>
          <w:color w:val="000000"/>
          <w:sz w:val="24"/>
          <w:lang w:val="bg-BG"/>
        </w:rPr>
        <w:t>Преодоляване на първопричините за миграцията</w:t>
      </w: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Доверителният фонд на ЕС за Африка доказа своята добавена стойност като бързо и ефективно средство, което улеснява политическия диалог с партн</w:t>
      </w:r>
      <w:r>
        <w:rPr>
          <w:rFonts w:ascii="Times New Roman" w:hAnsi="Times New Roman"/>
          <w:noProof/>
          <w:color w:val="000000"/>
          <w:sz w:val="24"/>
          <w:lang w:val="bg-BG"/>
        </w:rPr>
        <w:t xml:space="preserve">ьорските държави, прилага новаторски подходи и носи конкретни резултати чрез обединяване на финансиране и експертен опит от различни заинтересовани страни, и по-специално държавите — членки на ЕС. От започването на работата на Извънредния доверителен фонд </w:t>
      </w:r>
      <w:r>
        <w:rPr>
          <w:rFonts w:ascii="Times New Roman" w:hAnsi="Times New Roman"/>
          <w:noProof/>
          <w:color w:val="000000"/>
          <w:sz w:val="24"/>
          <w:lang w:val="bg-BG"/>
        </w:rPr>
        <w:t>през 2016 г. средствата вече достигнаха над 4,2 милиарда евро, като понастоящем за над 188 програми е постигнато споразумение</w:t>
      </w:r>
      <w:r>
        <w:rPr>
          <w:rStyle w:val="FootnoteReference"/>
          <w:rFonts w:ascii="Times New Roman" w:hAnsi="Times New Roman"/>
          <w:noProof/>
          <w:color w:val="000000"/>
          <w:sz w:val="24"/>
          <w:lang w:val="bg-BG"/>
        </w:rPr>
        <w:footnoteReference w:id="28"/>
      </w:r>
      <w:r>
        <w:rPr>
          <w:noProof/>
          <w:lang w:val="bg-BG"/>
        </w:rPr>
        <w:t>.</w:t>
      </w:r>
      <w:r>
        <w:rPr>
          <w:rFonts w:ascii="Times New Roman" w:hAnsi="Times New Roman"/>
          <w:noProof/>
          <w:color w:val="000000"/>
          <w:sz w:val="24"/>
          <w:lang w:val="bg-BG"/>
        </w:rPr>
        <w:t xml:space="preserve"> Важното е постигнатият напредък да не престава. Без допълнителни национални вноски обаче Доверителният фонд на ЕС няма да бъде в</w:t>
      </w:r>
      <w:r>
        <w:rPr>
          <w:rFonts w:ascii="Times New Roman" w:hAnsi="Times New Roman"/>
          <w:noProof/>
          <w:color w:val="000000"/>
          <w:sz w:val="24"/>
          <w:lang w:val="bg-BG"/>
        </w:rPr>
        <w:t xml:space="preserve"> състояние да финансира нови инициативи или да отпуска допълнителните суми на особено стойностните програми, които дават резултати днес: както при компонента за Северна Африка, така и при компонента за Сахел и езерото Чад вече има недостиг на финансиране з</w:t>
      </w:r>
      <w:r>
        <w:rPr>
          <w:rFonts w:ascii="Times New Roman" w:hAnsi="Times New Roman"/>
          <w:noProof/>
          <w:color w:val="000000"/>
          <w:sz w:val="24"/>
          <w:lang w:val="bg-BG"/>
        </w:rPr>
        <w:t>а 2019 г.  Също така остава от съществено значение запазването на гъвкавостта и способността за реагиране, осигурявани от доверителните фондове днес, като ключов елемент на следващата многогодишна финансова рамка и гарантирането на непрестанността на дейст</w:t>
      </w:r>
      <w:r>
        <w:rPr>
          <w:rFonts w:ascii="Times New Roman" w:hAnsi="Times New Roman"/>
          <w:noProof/>
          <w:color w:val="000000"/>
          <w:sz w:val="24"/>
          <w:lang w:val="bg-BG"/>
        </w:rPr>
        <w:t xml:space="preserve">вията.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i/>
          <w:noProof/>
          <w:sz w:val="24"/>
          <w:szCs w:val="24"/>
          <w:lang w:val="bg-BG"/>
        </w:rPr>
      </w:pPr>
      <w:r>
        <w:rPr>
          <w:rFonts w:ascii="Times New Roman" w:hAnsi="Times New Roman"/>
          <w:noProof/>
          <w:sz w:val="24"/>
          <w:lang w:val="bg-BG"/>
        </w:rPr>
        <w:t>По-нататъшна подкрепа за средствата за препитание и икономиките в Африка на юг от Сахара и съседните на ЕС държави ще дойде по линия на Плана за външни инвестиции. Одобрените вече 1,54 милиарда евро за 28 програми за финансови гаранции следва да м</w:t>
      </w:r>
      <w:r>
        <w:rPr>
          <w:rFonts w:ascii="Times New Roman" w:hAnsi="Times New Roman"/>
          <w:noProof/>
          <w:sz w:val="24"/>
          <w:lang w:val="bg-BG"/>
        </w:rPr>
        <w:t>обилизират до 17,5 милиарда евро инвестиции, които обхващат области като достъпа до финансиране за микро-, малките и средните предприятия, енергетиката и свързаността, градовете, селското стопанство и цифровите технологии (включително електронното здравеоп</w:t>
      </w:r>
      <w:r>
        <w:rPr>
          <w:rFonts w:ascii="Times New Roman" w:hAnsi="Times New Roman"/>
          <w:noProof/>
          <w:sz w:val="24"/>
          <w:lang w:val="bg-BG"/>
        </w:rPr>
        <w:t>азване)</w:t>
      </w:r>
      <w:r>
        <w:rPr>
          <w:rStyle w:val="FootnoteReference"/>
          <w:rFonts w:ascii="Times New Roman" w:hAnsi="Times New Roman"/>
          <w:noProof/>
          <w:sz w:val="24"/>
          <w:lang w:val="bg-BG"/>
        </w:rPr>
        <w:footnoteReference w:id="29"/>
      </w:r>
      <w:r>
        <w:rPr>
          <w:noProof/>
          <w:lang w:val="bg-BG"/>
        </w:rPr>
        <w:t>.</w:t>
      </w:r>
      <w:r>
        <w:rPr>
          <w:rFonts w:ascii="Times New Roman" w:hAnsi="Times New Roman"/>
          <w:noProof/>
          <w:sz w:val="24"/>
          <w:lang w:val="bg-BG"/>
        </w:rPr>
        <w:t xml:space="preserve"> С 94 одобрени проекта със смесено финансиране, обезпечени с 2,2 милиарда евро, които се очаква да мобилизират 19,5 милиарда евро, общият размер на очакваните инвестиции достигна около 37 милиарда евро и планът е на път да постигне първоначалната </w:t>
      </w:r>
      <w:r>
        <w:rPr>
          <w:rFonts w:ascii="Times New Roman" w:hAnsi="Times New Roman"/>
          <w:noProof/>
          <w:sz w:val="24"/>
          <w:lang w:val="bg-BG"/>
        </w:rPr>
        <w:t xml:space="preserve">прогноза за привличане на 44 милиарда евро — много силен тласък на икономическата динамика. </w:t>
      </w:r>
    </w:p>
    <w:p w:rsidR="002817B9" w:rsidRDefault="002817B9">
      <w:pPr>
        <w:jc w:val="both"/>
        <w:rPr>
          <w:rFonts w:ascii="Times New Roman" w:hAnsi="Times New Roman"/>
          <w:noProof/>
          <w:color w:val="000000"/>
          <w:sz w:val="24"/>
          <w:szCs w:val="24"/>
          <w:lang w:val="bg-BG"/>
        </w:rPr>
      </w:pPr>
    </w:p>
    <w:p w:rsidR="002817B9" w:rsidRDefault="0009162B">
      <w:pPr>
        <w:keepNext/>
        <w:spacing w:after="120"/>
        <w:jc w:val="both"/>
        <w:rPr>
          <w:rFonts w:ascii="Times New Roman" w:hAnsi="Times New Roman"/>
          <w:i/>
          <w:noProof/>
          <w:color w:val="000000"/>
          <w:sz w:val="24"/>
          <w:szCs w:val="24"/>
          <w:lang w:val="bg-BG"/>
        </w:rPr>
      </w:pPr>
      <w:r>
        <w:rPr>
          <w:rFonts w:ascii="Times New Roman" w:hAnsi="Times New Roman"/>
          <w:i/>
          <w:noProof/>
          <w:color w:val="000000"/>
          <w:sz w:val="24"/>
          <w:lang w:val="bg-BG"/>
        </w:rPr>
        <w:t>Борба с мрежите за контрабанда на хора</w:t>
      </w:r>
    </w:p>
    <w:p w:rsidR="002817B9" w:rsidRDefault="0009162B">
      <w:pPr>
        <w:jc w:val="both"/>
        <w:rPr>
          <w:rFonts w:ascii="Times New Roman" w:hAnsi="Times New Roman"/>
          <w:noProof/>
          <w:sz w:val="24"/>
          <w:szCs w:val="24"/>
          <w:lang w:val="bg-BG"/>
        </w:rPr>
      </w:pPr>
      <w:r>
        <w:rPr>
          <w:rFonts w:ascii="Times New Roman" w:hAnsi="Times New Roman"/>
          <w:noProof/>
          <w:sz w:val="24"/>
          <w:lang w:val="bg-BG"/>
        </w:rPr>
        <w:t>Необходими са решителни и постоянни действия както в ЕС, така и извън него за осуетяване на начините на дейност на контраба</w:t>
      </w:r>
      <w:r>
        <w:rPr>
          <w:rFonts w:ascii="Times New Roman" w:hAnsi="Times New Roman"/>
          <w:noProof/>
          <w:sz w:val="24"/>
          <w:lang w:val="bg-BG"/>
        </w:rPr>
        <w:t>ндистите и за разбиване на престъпните мрежи. Това беше отново изтъкнато от Европейския съвет през октомври 2018 г., което доведе до набор от оперативни мерки, приети през декември 2018 г.</w:t>
      </w:r>
      <w:r>
        <w:rPr>
          <w:rStyle w:val="FootnoteReference"/>
          <w:rFonts w:ascii="Times New Roman" w:hAnsi="Times New Roman"/>
          <w:noProof/>
          <w:sz w:val="24"/>
          <w:lang w:val="bg-BG"/>
        </w:rPr>
        <w:footnoteReference w:id="30"/>
      </w:r>
      <w:r>
        <w:rPr>
          <w:rFonts w:ascii="Times New Roman" w:hAnsi="Times New Roman"/>
          <w:noProof/>
          <w:sz w:val="24"/>
          <w:lang w:val="bg-BG"/>
        </w:rPr>
        <w:t>, за подобряване на сътрудничеството в областта на правоприлагането</w:t>
      </w:r>
      <w:r>
        <w:rPr>
          <w:rFonts w:ascii="Times New Roman" w:hAnsi="Times New Roman"/>
          <w:noProof/>
          <w:sz w:val="24"/>
          <w:lang w:val="bg-BG"/>
        </w:rPr>
        <w:t xml:space="preserve"> и допълване на съществуващия план за действие на ЕС срещу контрабандата на мигранти</w:t>
      </w:r>
      <w:r>
        <w:rPr>
          <w:rStyle w:val="FootnoteReference"/>
          <w:rFonts w:ascii="Times New Roman" w:hAnsi="Times New Roman"/>
          <w:noProof/>
          <w:sz w:val="24"/>
          <w:lang w:val="bg-BG"/>
        </w:rPr>
        <w:footnoteReference w:id="31"/>
      </w:r>
      <w:r>
        <w:rPr>
          <w:noProof/>
          <w:lang w:val="bg-BG"/>
        </w:rPr>
        <w:t>.</w:t>
      </w:r>
      <w:r>
        <w:rPr>
          <w:rFonts w:ascii="Times New Roman" w:hAnsi="Times New Roman"/>
          <w:noProof/>
          <w:sz w:val="24"/>
          <w:lang w:val="bg-BG"/>
        </w:rPr>
        <w:t xml:space="preserve"> </w:t>
      </w:r>
      <w:r>
        <w:rPr>
          <w:rFonts w:ascii="Times New Roman" w:hAnsi="Times New Roman"/>
          <w:noProof/>
          <w:sz w:val="24"/>
          <w:szCs w:val="24"/>
          <w:lang w:val="bg-BG"/>
        </w:rPr>
        <w:t xml:space="preserve"> </w:t>
      </w:r>
    </w:p>
    <w:p w:rsidR="002817B9" w:rsidRDefault="002817B9">
      <w:pPr>
        <w:jc w:val="both"/>
        <w:rPr>
          <w:rFonts w:ascii="Times New Roman" w:hAnsi="Times New Roman"/>
          <w:noProof/>
          <w:sz w:val="24"/>
          <w:szCs w:val="24"/>
          <w:lang w:val="bg-BG"/>
        </w:rPr>
      </w:pPr>
    </w:p>
    <w:p w:rsidR="002817B9" w:rsidRDefault="0009162B">
      <w:pPr>
        <w:jc w:val="both"/>
        <w:rPr>
          <w:rFonts w:ascii="Times New Roman" w:hAnsi="Times New Roman"/>
          <w:noProof/>
          <w:sz w:val="24"/>
          <w:lang w:val="bg-BG"/>
        </w:rPr>
      </w:pPr>
      <w:r>
        <w:rPr>
          <w:rFonts w:ascii="Times New Roman" w:hAnsi="Times New Roman"/>
          <w:noProof/>
          <w:sz w:val="24"/>
          <w:lang w:val="bg-BG"/>
        </w:rPr>
        <w:t xml:space="preserve">Борбата с мрежите за контрабанда на хора е ключов елемент от работата на ЕС с трети държави партньори. </w:t>
      </w:r>
      <w:r>
        <w:rPr>
          <w:rFonts w:ascii="Times New Roman" w:hAnsi="Times New Roman"/>
          <w:noProof/>
          <w:color w:val="000000"/>
          <w:sz w:val="24"/>
          <w:lang w:val="bg-BG"/>
        </w:rPr>
        <w:t>По линия на Доверителния фонд ще бъде осъществено ново партньорство, ръководено от Франция със Сенегал. В Нигер работата на съвместните екипи за разследване, обединяващи служители на органи от Нигер, Франция и Испания, доведе до повече от 200 наказателни п</w:t>
      </w:r>
      <w:r>
        <w:rPr>
          <w:rFonts w:ascii="Times New Roman" w:hAnsi="Times New Roman"/>
          <w:noProof/>
          <w:color w:val="000000"/>
          <w:sz w:val="24"/>
          <w:lang w:val="bg-BG"/>
        </w:rPr>
        <w:t xml:space="preserve">реследвания. Сега тази работа трябва да бъде разширена, като се обърне внимание на южната граница на Либия, а така също и на нигерско-алжирската и нигерско-нигерийската граница. Освен това тази година бе даден ход на </w:t>
      </w:r>
      <w:r>
        <w:rPr>
          <w:rFonts w:ascii="Times New Roman" w:hAnsi="Times New Roman"/>
          <w:noProof/>
          <w:sz w:val="24"/>
          <w:lang w:val="bg-BG"/>
        </w:rPr>
        <w:t>шест кампании за информация и повишаван</w:t>
      </w:r>
      <w:r>
        <w:rPr>
          <w:rFonts w:ascii="Times New Roman" w:hAnsi="Times New Roman"/>
          <w:noProof/>
          <w:sz w:val="24"/>
          <w:lang w:val="bg-BG"/>
        </w:rPr>
        <w:t>е на осведомеността относно рисковете, свързани с незаконната миграция, в Кот д’Ивоар, Нигер, Тунис, Мали, Гвинея и Гамбия</w:t>
      </w:r>
      <w:r>
        <w:rPr>
          <w:rStyle w:val="FootnoteReference"/>
          <w:rFonts w:ascii="Times New Roman" w:hAnsi="Times New Roman"/>
          <w:noProof/>
          <w:sz w:val="24"/>
          <w:lang w:val="bg-BG"/>
        </w:rPr>
        <w:footnoteReference w:id="32"/>
      </w:r>
      <w:r>
        <w:rPr>
          <w:noProof/>
          <w:lang w:val="bg-BG"/>
        </w:rPr>
        <w:t>.</w:t>
      </w:r>
    </w:p>
    <w:p w:rsidR="002817B9" w:rsidRDefault="002817B9">
      <w:pPr>
        <w:ind w:left="-51"/>
        <w:jc w:val="both"/>
        <w:rPr>
          <w:rFonts w:ascii="Times New Roman" w:hAnsi="Times New Roman"/>
          <w:noProof/>
          <w:color w:val="000000"/>
          <w:sz w:val="24"/>
          <w:szCs w:val="24"/>
          <w:lang w:val="bg-BG"/>
        </w:rPr>
      </w:pPr>
    </w:p>
    <w:p w:rsidR="002817B9" w:rsidRDefault="0009162B">
      <w:pPr>
        <w:ind w:left="-51"/>
        <w:jc w:val="both"/>
        <w:rPr>
          <w:rFonts w:ascii="Times New Roman" w:hAnsi="Times New Roman"/>
          <w:noProof/>
          <w:sz w:val="24"/>
          <w:szCs w:val="24"/>
          <w:lang w:val="bg-BG"/>
        </w:rPr>
      </w:pPr>
      <w:r>
        <w:rPr>
          <w:rFonts w:ascii="Times New Roman" w:hAnsi="Times New Roman"/>
          <w:noProof/>
          <w:color w:val="000000"/>
          <w:sz w:val="24"/>
          <w:lang w:val="bg-BG"/>
        </w:rPr>
        <w:t>Работата за борба с мрежите за контрабанда на хора се подкрепя от разрастваща се инфраструктура. Звеното за централизиране на инфо</w:t>
      </w:r>
      <w:r>
        <w:rPr>
          <w:rFonts w:ascii="Times New Roman" w:hAnsi="Times New Roman"/>
          <w:noProof/>
          <w:color w:val="000000"/>
          <w:sz w:val="24"/>
          <w:lang w:val="bg-BG"/>
        </w:rPr>
        <w:t>рмацията подобрява разузнавателната картина на Европол и подкрепата за правоприлагащите органи. Посредством пилотния проект относно информационното звено за престъпността в рамките на операция Sophia се осигурява обмен на информация между граждански и воен</w:t>
      </w:r>
      <w:r>
        <w:rPr>
          <w:rFonts w:ascii="Times New Roman" w:hAnsi="Times New Roman"/>
          <w:noProof/>
          <w:color w:val="000000"/>
          <w:sz w:val="24"/>
          <w:lang w:val="bg-BG"/>
        </w:rPr>
        <w:t xml:space="preserve">ни участници. Операциите в областта на общата политика за сигурност и отбрана, провеждани в Сахел, са все по-тясно свързани помежду си, за да оказват въздействие на регионално равнище. Европейските служители за връзка по въпросите на миграцията, </w:t>
      </w:r>
      <w:r>
        <w:rPr>
          <w:rFonts w:ascii="Times New Roman" w:hAnsi="Times New Roman"/>
          <w:noProof/>
          <w:color w:val="000000"/>
          <w:sz w:val="24"/>
          <w:szCs w:val="24"/>
          <w:lang w:val="bg-BG"/>
        </w:rPr>
        <w:t xml:space="preserve">изпратени </w:t>
      </w:r>
      <w:r>
        <w:rPr>
          <w:rFonts w:ascii="Times New Roman" w:hAnsi="Times New Roman"/>
          <w:noProof/>
          <w:color w:val="000000"/>
          <w:sz w:val="24"/>
          <w:szCs w:val="24"/>
          <w:lang w:val="bg-BG"/>
        </w:rPr>
        <w:t>от Комисията в 12 приоритетни държави партньори, действат като ключови канали за комуникация</w:t>
      </w:r>
      <w:r>
        <w:rPr>
          <w:rStyle w:val="FootnoteReference"/>
          <w:rFonts w:ascii="Times New Roman" w:hAnsi="Times New Roman"/>
          <w:noProof/>
          <w:color w:val="000000"/>
          <w:sz w:val="24"/>
          <w:szCs w:val="24"/>
          <w:lang w:val="bg-BG"/>
        </w:rPr>
        <w:footnoteReference w:id="33"/>
      </w:r>
      <w:r>
        <w:rPr>
          <w:rFonts w:ascii="Times New Roman" w:hAnsi="Times New Roman"/>
          <w:noProof/>
          <w:sz w:val="24"/>
          <w:szCs w:val="24"/>
          <w:lang w:val="bg-BG"/>
        </w:rPr>
        <w:t>.</w:t>
      </w:r>
      <w:r>
        <w:rPr>
          <w:rFonts w:ascii="Times New Roman" w:hAnsi="Times New Roman"/>
          <w:noProof/>
          <w:color w:val="000000"/>
          <w:sz w:val="24"/>
          <w:szCs w:val="24"/>
          <w:lang w:val="bg-BG"/>
        </w:rPr>
        <w:t xml:space="preserve"> В резултат от политическото споразумение, постигнато между Европейския парламент и Съвета относно неотдавнашното предложение на Комисията,</w:t>
      </w:r>
      <w:r>
        <w:rPr>
          <w:rStyle w:val="FootnoteReference"/>
          <w:rFonts w:ascii="Times New Roman" w:hAnsi="Times New Roman"/>
          <w:noProof/>
          <w:color w:val="000000"/>
          <w:sz w:val="24"/>
          <w:szCs w:val="24"/>
          <w:lang w:val="bg-BG"/>
        </w:rPr>
        <w:footnoteReference w:id="34"/>
      </w:r>
      <w:r>
        <w:rPr>
          <w:rFonts w:ascii="Times New Roman" w:hAnsi="Times New Roman"/>
          <w:noProof/>
          <w:color w:val="000000"/>
          <w:sz w:val="24"/>
          <w:szCs w:val="24"/>
          <w:lang w:val="bg-BG"/>
        </w:rPr>
        <w:t xml:space="preserve"> координацията между у</w:t>
      </w:r>
      <w:r>
        <w:rPr>
          <w:rFonts w:ascii="Times New Roman" w:hAnsi="Times New Roman"/>
          <w:noProof/>
          <w:color w:val="000000"/>
          <w:sz w:val="24"/>
          <w:szCs w:val="24"/>
          <w:lang w:val="bg-BG"/>
        </w:rPr>
        <w:t xml:space="preserve">правляваните от държавите членки, Комисията и агенциите на ЕС мрежи на служителите за връзка по въпросите на имиграцията </w:t>
      </w:r>
      <w:r>
        <w:rPr>
          <w:rFonts w:ascii="Times New Roman" w:hAnsi="Times New Roman"/>
          <w:noProof/>
          <w:sz w:val="24"/>
          <w:szCs w:val="24"/>
          <w:lang w:val="bg-BG"/>
        </w:rPr>
        <w:t xml:space="preserve">ще бъде допълнително засилена. </w:t>
      </w:r>
    </w:p>
    <w:p w:rsidR="002817B9" w:rsidRDefault="002817B9">
      <w:pPr>
        <w:ind w:left="-51"/>
        <w:jc w:val="both"/>
        <w:rPr>
          <w:rFonts w:ascii="Times New Roman" w:hAnsi="Times New Roman"/>
          <w:noProof/>
          <w:sz w:val="24"/>
          <w:szCs w:val="24"/>
          <w:lang w:val="bg-BG"/>
        </w:rPr>
      </w:pPr>
    </w:p>
    <w:p w:rsidR="002817B9" w:rsidRDefault="0009162B">
      <w:pPr>
        <w:ind w:left="-51"/>
        <w:jc w:val="both"/>
        <w:rPr>
          <w:rFonts w:ascii="Times New Roman" w:hAnsi="Times New Roman"/>
          <w:noProof/>
          <w:sz w:val="24"/>
          <w:szCs w:val="24"/>
          <w:lang w:val="bg-BG"/>
        </w:rPr>
      </w:pPr>
      <w:r>
        <w:rPr>
          <w:rFonts w:ascii="Times New Roman" w:hAnsi="Times New Roman"/>
          <w:noProof/>
          <w:sz w:val="24"/>
          <w:lang w:val="bg-BG"/>
        </w:rPr>
        <w:t>В рамките на ЕС оперативното сътрудничество между държавите членки се подкрепя чрез дни на съвместното</w:t>
      </w:r>
      <w:r>
        <w:rPr>
          <w:rFonts w:ascii="Times New Roman" w:hAnsi="Times New Roman"/>
          <w:noProof/>
          <w:sz w:val="24"/>
          <w:lang w:val="bg-BG"/>
        </w:rPr>
        <w:t xml:space="preserve"> действие, в които участват държави членки, трети държави, агенции на ЕС и външни партньори.</w:t>
      </w:r>
      <w:r>
        <w:rPr>
          <w:rStyle w:val="FootnoteReference"/>
          <w:rFonts w:ascii="Times New Roman" w:hAnsi="Times New Roman"/>
          <w:noProof/>
          <w:sz w:val="24"/>
          <w:lang w:val="bg-BG"/>
        </w:rPr>
        <w:footnoteReference w:id="35"/>
      </w:r>
      <w:r>
        <w:rPr>
          <w:noProof/>
          <w:lang w:val="bg-BG"/>
        </w:rPr>
        <w:t>.</w:t>
      </w:r>
      <w:r>
        <w:rPr>
          <w:rFonts w:ascii="Times New Roman" w:hAnsi="Times New Roman"/>
          <w:noProof/>
          <w:sz w:val="24"/>
          <w:lang w:val="bg-BG"/>
        </w:rPr>
        <w:t xml:space="preserve"> През 2018 г. Европейският център за борба с контрабандата на мигранти към Европол подкрепи 39 дни за съвместно и общо действие, които доведоха до 607 ареста и 10</w:t>
      </w:r>
      <w:r>
        <w:rPr>
          <w:rFonts w:ascii="Times New Roman" w:hAnsi="Times New Roman"/>
          <w:noProof/>
          <w:sz w:val="24"/>
          <w:lang w:val="bg-BG"/>
        </w:rPr>
        <w:t>1 приоритетни наказателни дела. Обменът на информация продължава да бъде от ключово значение: Е</w:t>
      </w:r>
      <w:r>
        <w:rPr>
          <w:rFonts w:ascii="Times New Roman" w:hAnsi="Times New Roman"/>
          <w:noProof/>
          <w:color w:val="000000"/>
          <w:sz w:val="24"/>
          <w:lang w:val="bg-BG"/>
        </w:rPr>
        <w:t>вростат осъществява пилотен проект за събиране на статистически данни относно наказателното правосъдието по наказателни дела за контрабанда на мигранти, които са</w:t>
      </w:r>
      <w:r>
        <w:rPr>
          <w:rFonts w:ascii="Times New Roman" w:hAnsi="Times New Roman"/>
          <w:noProof/>
          <w:color w:val="000000"/>
          <w:sz w:val="24"/>
          <w:lang w:val="bg-BG"/>
        </w:rPr>
        <w:t xml:space="preserve"> от съществена полза за анализа и реакцията на тенденции.</w:t>
      </w:r>
    </w:p>
    <w:p w:rsidR="002817B9" w:rsidRDefault="002817B9">
      <w:pPr>
        <w:jc w:val="both"/>
        <w:rPr>
          <w:rFonts w:ascii="Times New Roman" w:hAnsi="Times New Roman"/>
          <w:noProof/>
          <w:color w:val="000000"/>
          <w:sz w:val="24"/>
          <w:szCs w:val="24"/>
          <w:lang w:val="bg-BG"/>
        </w:rPr>
      </w:pPr>
    </w:p>
    <w:p w:rsidR="002817B9" w:rsidRDefault="0009162B">
      <w:pPr>
        <w:keepNext/>
        <w:spacing w:after="120"/>
        <w:jc w:val="both"/>
        <w:rPr>
          <w:rFonts w:ascii="Times New Roman" w:hAnsi="Times New Roman"/>
          <w:i/>
          <w:noProof/>
          <w:color w:val="000000"/>
          <w:sz w:val="24"/>
          <w:szCs w:val="24"/>
          <w:lang w:val="bg-BG"/>
        </w:rPr>
      </w:pPr>
      <w:r>
        <w:rPr>
          <w:rFonts w:ascii="Times New Roman" w:hAnsi="Times New Roman"/>
          <w:i/>
          <w:noProof/>
          <w:color w:val="000000"/>
          <w:sz w:val="24"/>
          <w:lang w:val="bg-BG"/>
        </w:rPr>
        <w:t>Връщане и обратно приемане</w:t>
      </w: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Повишаването на процента на връщане от ЕС, който понастоящем е нисък, трябва да остане основна цел. Това е абсолютно необходимо звено във веригата за управление на </w:t>
      </w:r>
      <w:r>
        <w:rPr>
          <w:rFonts w:ascii="Times New Roman" w:hAnsi="Times New Roman"/>
          <w:noProof/>
          <w:color w:val="000000"/>
          <w:sz w:val="24"/>
          <w:lang w:val="bg-BG"/>
        </w:rPr>
        <w:t>миграцията. Ниският процент на връщане подкопава доверието на обществеността в системата и увеличава стимулите за незаконна миграция и вторични движения. Ето защо се изискват действия както в рамките на ЕС, така и съвместно с трети държави. Има незабавни м</w:t>
      </w:r>
      <w:r>
        <w:rPr>
          <w:rFonts w:ascii="Times New Roman" w:hAnsi="Times New Roman"/>
          <w:noProof/>
          <w:color w:val="000000"/>
          <w:sz w:val="24"/>
          <w:lang w:val="bg-BG"/>
        </w:rPr>
        <w:t>ерки, които държавите членки следва да предприемат, за да подобрят вътрешните си процедури за връщане, така че да се гарантира хуманно и бързо връщане на лицата, които не се нуждаят от международна закрила, като се основават на Плана за действие и конкретн</w:t>
      </w:r>
      <w:r>
        <w:rPr>
          <w:rFonts w:ascii="Times New Roman" w:hAnsi="Times New Roman"/>
          <w:noProof/>
          <w:color w:val="000000"/>
          <w:sz w:val="24"/>
          <w:lang w:val="bg-BG"/>
        </w:rPr>
        <w:t>ите препоръки, формулирани от Комисията през 2017 г.</w:t>
      </w:r>
      <w:r>
        <w:rPr>
          <w:rStyle w:val="FootnoteReference"/>
          <w:rFonts w:ascii="Times New Roman" w:hAnsi="Times New Roman"/>
          <w:noProof/>
          <w:color w:val="000000"/>
          <w:sz w:val="24"/>
          <w:lang w:val="bg-BG"/>
        </w:rPr>
        <w:footnoteReference w:id="36"/>
      </w:r>
      <w:r>
        <w:rPr>
          <w:noProof/>
          <w:lang w:val="bg-BG"/>
        </w:rPr>
        <w:t>.</w:t>
      </w:r>
      <w:r>
        <w:rPr>
          <w:rFonts w:ascii="Times New Roman" w:hAnsi="Times New Roman"/>
          <w:noProof/>
          <w:color w:val="000000"/>
          <w:sz w:val="24"/>
          <w:lang w:val="bg-BG"/>
        </w:rPr>
        <w:t xml:space="preserve"> Тези препоръки показаха как съществуващите правни, оперативни и финансови инструменти биха могли да се използват по-добре посредством по-бързи процедури, засилени мерки срещу укриване, мултидисциплинар</w:t>
      </w:r>
      <w:r>
        <w:rPr>
          <w:rFonts w:ascii="Times New Roman" w:hAnsi="Times New Roman"/>
          <w:noProof/>
          <w:color w:val="000000"/>
          <w:sz w:val="24"/>
          <w:lang w:val="bg-BG"/>
        </w:rPr>
        <w:t xml:space="preserve">ен подход от страна на националните органи и по-добро сътрудничество и координация между държавите членки.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Тези незабавни мерки от страна на държавите членки следва да бъдат подкрепени от допълнителни мерки на равнището на ЕС. Наскоро приетите реформи на</w:t>
      </w:r>
      <w:r>
        <w:rPr>
          <w:rFonts w:ascii="Times New Roman" w:hAnsi="Times New Roman"/>
          <w:noProof/>
          <w:color w:val="000000"/>
          <w:sz w:val="24"/>
          <w:lang w:val="bg-BG"/>
        </w:rPr>
        <w:t xml:space="preserve"> Шенгенската информационна система значително ще увеличат капацитета на държавите членки за изпълнение на решенията за връщане и на забраните за влизане.</w:t>
      </w:r>
      <w:r>
        <w:rPr>
          <w:rStyle w:val="FootnoteReference"/>
          <w:rFonts w:ascii="Times New Roman" w:hAnsi="Times New Roman"/>
          <w:noProof/>
          <w:color w:val="000000"/>
          <w:sz w:val="24"/>
          <w:lang w:val="bg-BG"/>
        </w:rPr>
        <w:footnoteReference w:id="37"/>
      </w:r>
      <w:r>
        <w:rPr>
          <w:noProof/>
          <w:lang w:val="bg-BG"/>
        </w:rPr>
        <w:t>.</w:t>
      </w:r>
      <w:r>
        <w:rPr>
          <w:rFonts w:ascii="Times New Roman" w:hAnsi="Times New Roman"/>
          <w:noProof/>
          <w:color w:val="000000"/>
          <w:sz w:val="24"/>
          <w:lang w:val="bg-BG"/>
        </w:rPr>
        <w:t xml:space="preserve"> Също така се наблюдава съществено нарастване на подкрепата от Европейската агенция за гранична и бре</w:t>
      </w:r>
      <w:r>
        <w:rPr>
          <w:rFonts w:ascii="Times New Roman" w:hAnsi="Times New Roman"/>
          <w:noProof/>
          <w:color w:val="000000"/>
          <w:sz w:val="24"/>
          <w:lang w:val="bg-BG"/>
        </w:rPr>
        <w:t>гова охрана по отношение на връщането както посредством сътрудничество, така и посредством оперативни действия в различни области, включително полетите за връщане и ролята на консулствата</w:t>
      </w:r>
      <w:r>
        <w:rPr>
          <w:rStyle w:val="FootnoteReference"/>
          <w:rFonts w:ascii="Times New Roman" w:hAnsi="Times New Roman"/>
          <w:noProof/>
          <w:color w:val="000000"/>
          <w:sz w:val="24"/>
          <w:lang w:val="bg-BG"/>
        </w:rPr>
        <w:footnoteReference w:id="38"/>
      </w:r>
      <w:r>
        <w:rPr>
          <w:noProof/>
          <w:lang w:val="bg-BG"/>
        </w:rPr>
        <w:t>.</w:t>
      </w:r>
      <w:r>
        <w:rPr>
          <w:rFonts w:ascii="Times New Roman" w:hAnsi="Times New Roman"/>
          <w:noProof/>
          <w:color w:val="000000"/>
          <w:sz w:val="24"/>
          <w:lang w:val="bg-BG"/>
        </w:rPr>
        <w:t xml:space="preserve"> Това обаче не е достатъчно. Първата следваща стъпка следва да бъде</w:t>
      </w:r>
      <w:r>
        <w:rPr>
          <w:rFonts w:ascii="Times New Roman" w:hAnsi="Times New Roman"/>
          <w:noProof/>
          <w:color w:val="000000"/>
          <w:sz w:val="24"/>
          <w:lang w:val="bg-BG"/>
        </w:rPr>
        <w:t xml:space="preserve"> свързана с предложението на Комисията за изменение на Директивата за връщането</w:t>
      </w:r>
      <w:r>
        <w:rPr>
          <w:rStyle w:val="FootnoteReference"/>
          <w:rFonts w:ascii="Times New Roman" w:hAnsi="Times New Roman"/>
          <w:noProof/>
          <w:color w:val="000000"/>
          <w:sz w:val="24"/>
          <w:lang w:val="bg-BG"/>
        </w:rPr>
        <w:footnoteReference w:id="39"/>
      </w:r>
      <w:r>
        <w:rPr>
          <w:noProof/>
          <w:lang w:val="bg-BG"/>
        </w:rPr>
        <w:t>:</w:t>
      </w:r>
      <w:r>
        <w:rPr>
          <w:rFonts w:ascii="Times New Roman" w:hAnsi="Times New Roman"/>
          <w:noProof/>
          <w:color w:val="000000"/>
          <w:sz w:val="24"/>
          <w:lang w:val="bg-BG"/>
        </w:rPr>
        <w:t xml:space="preserve"> бързото приемане на това предложение ще е от значителна полза за съгласуваността и ефективността на процедурите за връщане, като същевременно ще продължи зачитането на основн</w:t>
      </w:r>
      <w:r>
        <w:rPr>
          <w:rFonts w:ascii="Times New Roman" w:hAnsi="Times New Roman"/>
          <w:noProof/>
          <w:color w:val="000000"/>
          <w:sz w:val="24"/>
          <w:lang w:val="bg-BG"/>
        </w:rPr>
        <w:t>ите права и спазването на принципа на забрана за връщане</w:t>
      </w:r>
      <w:r>
        <w:rPr>
          <w:rStyle w:val="FootnoteReference"/>
          <w:rFonts w:ascii="Times New Roman" w:hAnsi="Times New Roman"/>
          <w:noProof/>
          <w:color w:val="000000"/>
          <w:sz w:val="24"/>
          <w:lang w:val="bg-BG"/>
        </w:rPr>
        <w:footnoteReference w:id="40"/>
      </w:r>
      <w:r>
        <w:rPr>
          <w:noProof/>
          <w:lang w:val="bg-BG"/>
        </w:rPr>
        <w:t>.</w:t>
      </w:r>
      <w:r>
        <w:rPr>
          <w:rFonts w:ascii="Times New Roman" w:hAnsi="Times New Roman"/>
          <w:noProof/>
          <w:color w:val="000000"/>
          <w:sz w:val="24"/>
          <w:lang w:val="bg-BG"/>
        </w:rPr>
        <w:t xml:space="preserve">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Инвестициите в диалога с държавите партньори през последните четири години доведоха до забележим напредък. Сътрудничеството съгласно съществуващите 17 споразумения за обратно приемане и шестте по</w:t>
      </w:r>
      <w:r>
        <w:rPr>
          <w:rFonts w:ascii="Times New Roman" w:hAnsi="Times New Roman"/>
          <w:noProof/>
          <w:color w:val="000000"/>
          <w:sz w:val="24"/>
          <w:lang w:val="bg-BG"/>
        </w:rPr>
        <w:t>-скорошни практически договорености започва да дават резултати в областта на идентификацията, предоставянето на документи и организираното връщане, като се подсигурява и оперативна подкрепа. За да може обаче тази рамка да реализира своите пълни възможности</w:t>
      </w:r>
      <w:r>
        <w:rPr>
          <w:rFonts w:ascii="Times New Roman" w:hAnsi="Times New Roman"/>
          <w:noProof/>
          <w:color w:val="000000"/>
          <w:sz w:val="24"/>
          <w:lang w:val="bg-BG"/>
        </w:rPr>
        <w:t xml:space="preserve"> — и да отговори на възможно увеличаване на нуждите от връщане в бъдеще — държавите членки трябва да използват възможностите, които тя предлага, да участват активно в управлението на споразуменията и договореностите и да сигнализират на Комисията за всякак</w:t>
      </w:r>
      <w:r>
        <w:rPr>
          <w:rFonts w:ascii="Times New Roman" w:hAnsi="Times New Roman"/>
          <w:noProof/>
          <w:color w:val="000000"/>
          <w:sz w:val="24"/>
          <w:lang w:val="bg-BG"/>
        </w:rPr>
        <w:t xml:space="preserve">ви проблеми при прилагането. ЕС и неговите държави членки също така оказват помощ чрез подкрепа за реинтеграция на завърналите се лица: над 60 100 мигранти са се възползвали от помощта за реинтеграция от май 2017 г. насам. </w:t>
      </w:r>
    </w:p>
    <w:p w:rsidR="002817B9" w:rsidRDefault="002817B9">
      <w:pPr>
        <w:jc w:val="both"/>
        <w:rPr>
          <w:rFonts w:ascii="Times New Roman" w:hAnsi="Times New Roman"/>
          <w:noProof/>
          <w:color w:val="000000"/>
          <w:sz w:val="24"/>
          <w:szCs w:val="24"/>
          <w:lang w:val="bg-BG"/>
        </w:rPr>
      </w:pPr>
    </w:p>
    <w:p w:rsidR="002817B9" w:rsidRDefault="0009162B">
      <w:pPr>
        <w:pStyle w:val="ListParagraph"/>
        <w:ind w:left="0"/>
        <w:jc w:val="both"/>
        <w:rPr>
          <w:rFonts w:ascii="Times New Roman" w:hAnsi="Times New Roman"/>
          <w:noProof/>
          <w:color w:val="000000"/>
          <w:sz w:val="24"/>
          <w:szCs w:val="24"/>
          <w:lang w:val="bg-BG"/>
        </w:rPr>
      </w:pPr>
      <w:r>
        <w:rPr>
          <w:rFonts w:ascii="Times New Roman" w:hAnsi="Times New Roman"/>
          <w:noProof/>
          <w:color w:val="000000"/>
          <w:sz w:val="24"/>
          <w:lang w:val="bg-BG"/>
        </w:rPr>
        <w:t>Комисията ще насърчи разработва</w:t>
      </w:r>
      <w:r>
        <w:rPr>
          <w:rFonts w:ascii="Times New Roman" w:hAnsi="Times New Roman"/>
          <w:noProof/>
          <w:color w:val="000000"/>
          <w:sz w:val="24"/>
          <w:lang w:val="bg-BG"/>
        </w:rPr>
        <w:t>нето на нови договорености с други партньори. Преговорите за обратно приемане с Нигерия, Тунис и Китай са в ход, а тези с Мароко следва скоро да бъдат възобновени. Когато е необходимо, следва да бъде мобилизиран по-широк спектър от възможности за въздейств</w:t>
      </w:r>
      <w:r>
        <w:rPr>
          <w:rFonts w:ascii="Times New Roman" w:hAnsi="Times New Roman"/>
          <w:noProof/>
          <w:color w:val="000000"/>
          <w:sz w:val="24"/>
          <w:lang w:val="bg-BG"/>
        </w:rPr>
        <w:t>ие от всички съответни области на политиката на ЕС в тясна координация с възможностите за въздействие на равнището на държавите членки. Визовата политика на ЕС вече допринася за улесняване на преговорите относно обратното приемане, а механизмът за суспенди</w:t>
      </w:r>
      <w:r>
        <w:rPr>
          <w:rFonts w:ascii="Times New Roman" w:hAnsi="Times New Roman"/>
          <w:noProof/>
          <w:color w:val="000000"/>
          <w:sz w:val="24"/>
          <w:lang w:val="bg-BG"/>
        </w:rPr>
        <w:t>ране на визите спомага за следене отблизо на изпълнението на задълженията за обратно приемане. Комисията приветства споразумението, постигнато между Европейския парламент и Съвета, относно реформата на Визовия кодекс, включително възможността да се приемат</w:t>
      </w:r>
      <w:r>
        <w:rPr>
          <w:rFonts w:ascii="Times New Roman" w:hAnsi="Times New Roman"/>
          <w:noProof/>
          <w:color w:val="000000"/>
          <w:sz w:val="24"/>
          <w:lang w:val="bg-BG"/>
        </w:rPr>
        <w:t xml:space="preserve"> ограничителни визови мерки срещу трети държави, които не оказват съдействие по въпросите на обратното приемане. Използването на допълнителни възможности за въздействие ще бъде от съществено значение за увеличаване на броя на обратно приетите лица.</w:t>
      </w:r>
    </w:p>
    <w:p w:rsidR="002817B9" w:rsidRDefault="002817B9">
      <w:pPr>
        <w:jc w:val="both"/>
        <w:rPr>
          <w:rFonts w:ascii="Times New Roman" w:hAnsi="Times New Roman"/>
          <w:noProof/>
          <w:color w:val="000000"/>
          <w:sz w:val="24"/>
          <w:lang w:val="bg-BG"/>
        </w:rPr>
      </w:pPr>
    </w:p>
    <w:tbl>
      <w:tblPr>
        <w:tblStyle w:val="TableGrid"/>
        <w:tblW w:w="0" w:type="auto"/>
        <w:tblLook w:val="04A0" w:firstRow="1" w:lastRow="0" w:firstColumn="1" w:lastColumn="0" w:noHBand="0" w:noVBand="1"/>
      </w:tblPr>
      <w:tblGrid>
        <w:gridCol w:w="9286"/>
      </w:tblGrid>
      <w:tr w:rsidR="002817B9">
        <w:tc>
          <w:tcPr>
            <w:tcW w:w="9286" w:type="dxa"/>
            <w:shd w:val="clear" w:color="auto" w:fill="1F497D" w:themeFill="text2"/>
          </w:tcPr>
          <w:p w:rsidR="002817B9" w:rsidRDefault="0009162B">
            <w:pPr>
              <w:shd w:val="clear" w:color="auto" w:fill="1F497D" w:themeFill="text2"/>
              <w:jc w:val="center"/>
              <w:rPr>
                <w:rFonts w:ascii="Times New Roman" w:hAnsi="Times New Roman"/>
                <w:b/>
                <w:noProof/>
                <w:color w:val="FFFFFF" w:themeColor="background1"/>
                <w:sz w:val="24"/>
                <w:szCs w:val="24"/>
                <w:lang w:val="bg-BG"/>
              </w:rPr>
            </w:pPr>
            <w:r>
              <w:rPr>
                <w:rFonts w:ascii="Times New Roman" w:hAnsi="Times New Roman"/>
                <w:b/>
                <w:noProof/>
                <w:color w:val="FFFFFF" w:themeColor="background1"/>
                <w:sz w:val="24"/>
                <w:lang w:val="bg-BG"/>
              </w:rPr>
              <w:t>Ключови следващи стъпки</w:t>
            </w:r>
          </w:p>
        </w:tc>
      </w:tr>
      <w:tr w:rsidR="002817B9" w:rsidRPr="0009162B">
        <w:tc>
          <w:tcPr>
            <w:tcW w:w="9286" w:type="dxa"/>
            <w:shd w:val="clear" w:color="auto" w:fill="C6D9F1" w:themeFill="text2" w:themeFillTint="33"/>
          </w:tcPr>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Институциите на ЕС трябва да гарантират, че</w:t>
            </w:r>
            <w:r>
              <w:rPr>
                <w:rFonts w:ascii="Times New Roman" w:eastAsiaTheme="minorHAnsi" w:hAnsi="Times New Roman"/>
                <w:b/>
                <w:i/>
                <w:noProof/>
                <w:color w:val="000000"/>
                <w:sz w:val="24"/>
                <w:lang w:val="bg-BG"/>
              </w:rPr>
              <w:t xml:space="preserve"> следващата многогодишна финансова рамка</w:t>
            </w:r>
            <w:r>
              <w:rPr>
                <w:rFonts w:ascii="Times New Roman" w:eastAsiaTheme="minorHAnsi" w:hAnsi="Times New Roman"/>
                <w:noProof/>
                <w:color w:val="000000"/>
                <w:sz w:val="24"/>
                <w:lang w:val="bg-BG"/>
              </w:rPr>
              <w:t xml:space="preserve"> осигурява мащаба и гъвкавостта, необходими за задълбочаване на сътрудничеството с трети държави партньори по въпросите на миграцията.</w:t>
            </w:r>
          </w:p>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Държавите членки и ЕС следва да предприемат последващи действия във връзка с мерките, приети през декември 2018 г. за </w:t>
            </w:r>
            <w:r>
              <w:rPr>
                <w:rFonts w:ascii="Times New Roman" w:eastAsiaTheme="minorHAnsi" w:hAnsi="Times New Roman"/>
                <w:b/>
                <w:i/>
                <w:noProof/>
                <w:color w:val="000000"/>
                <w:sz w:val="24"/>
                <w:lang w:val="bg-BG"/>
              </w:rPr>
              <w:t>борба с мрежите за контрабанда на мигранти</w:t>
            </w:r>
            <w:r>
              <w:rPr>
                <w:rFonts w:ascii="Times New Roman" w:eastAsiaTheme="minorHAnsi" w:hAnsi="Times New Roman"/>
                <w:noProof/>
                <w:color w:val="000000"/>
                <w:sz w:val="24"/>
                <w:lang w:val="bg-BG"/>
              </w:rPr>
              <w:t>, включително чрез засилване на работата на Европейския център за борба с контрабандата на мигра</w:t>
            </w:r>
            <w:r>
              <w:rPr>
                <w:rFonts w:ascii="Times New Roman" w:eastAsiaTheme="minorHAnsi" w:hAnsi="Times New Roman"/>
                <w:noProof/>
                <w:color w:val="000000"/>
                <w:sz w:val="24"/>
                <w:lang w:val="bg-BG"/>
              </w:rPr>
              <w:t>нти към Европол.</w:t>
            </w:r>
          </w:p>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Европейският парламент и Съветът следва да приключат преговорите по </w:t>
            </w:r>
            <w:r>
              <w:rPr>
                <w:rFonts w:ascii="Times New Roman" w:eastAsiaTheme="minorHAnsi" w:hAnsi="Times New Roman"/>
                <w:b/>
                <w:i/>
                <w:noProof/>
                <w:color w:val="000000"/>
                <w:sz w:val="24"/>
                <w:lang w:val="bg-BG"/>
              </w:rPr>
              <w:t>предложението на Комисията за насърчаване на връщането</w:t>
            </w:r>
            <w:r>
              <w:rPr>
                <w:rFonts w:ascii="Times New Roman" w:eastAsiaTheme="minorHAnsi" w:hAnsi="Times New Roman"/>
                <w:noProof/>
                <w:color w:val="000000"/>
                <w:sz w:val="24"/>
                <w:lang w:val="bg-BG"/>
              </w:rPr>
              <w:t>. Държавите членки следва вече да увеличат са оползотворили максимално потенциала за подобряване ефективността на връ</w:t>
            </w:r>
            <w:r>
              <w:rPr>
                <w:rFonts w:ascii="Times New Roman" w:eastAsiaTheme="minorHAnsi" w:hAnsi="Times New Roman"/>
                <w:noProof/>
                <w:color w:val="000000"/>
                <w:sz w:val="24"/>
                <w:lang w:val="bg-BG"/>
              </w:rPr>
              <w:t>щането съгласно съществуващата рамка.</w:t>
            </w:r>
          </w:p>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Държавите членки следва да гарантират пълното използване на </w:t>
            </w:r>
            <w:r>
              <w:rPr>
                <w:rFonts w:ascii="Times New Roman" w:eastAsiaTheme="minorHAnsi" w:hAnsi="Times New Roman"/>
                <w:b/>
                <w:i/>
                <w:noProof/>
                <w:color w:val="000000"/>
                <w:sz w:val="24"/>
                <w:lang w:val="bg-BG"/>
              </w:rPr>
              <w:t>споразуменията и договореностите за обратно приемане</w:t>
            </w:r>
            <w:r>
              <w:rPr>
                <w:rFonts w:ascii="Times New Roman" w:eastAsiaTheme="minorHAnsi" w:hAnsi="Times New Roman"/>
                <w:noProof/>
                <w:color w:val="000000"/>
                <w:sz w:val="24"/>
                <w:lang w:val="bg-BG"/>
              </w:rPr>
              <w:t xml:space="preserve">, а ЕС трябва да разработи </w:t>
            </w:r>
            <w:r>
              <w:rPr>
                <w:rFonts w:ascii="Times New Roman" w:eastAsiaTheme="minorHAnsi" w:hAnsi="Times New Roman"/>
                <w:b/>
                <w:i/>
                <w:noProof/>
                <w:color w:val="000000"/>
                <w:sz w:val="24"/>
                <w:lang w:val="bg-BG"/>
              </w:rPr>
              <w:t>нови споразумения и договорености за обратно приемане</w:t>
            </w:r>
            <w:r>
              <w:rPr>
                <w:rFonts w:ascii="Times New Roman" w:eastAsiaTheme="minorHAnsi" w:hAnsi="Times New Roman"/>
                <w:noProof/>
                <w:color w:val="000000"/>
                <w:sz w:val="24"/>
                <w:lang w:val="bg-BG"/>
              </w:rPr>
              <w:t xml:space="preserve"> с други трети държави. </w:t>
            </w:r>
          </w:p>
          <w:p w:rsidR="002817B9" w:rsidRDefault="0009162B" w:rsidP="0009162B">
            <w:pPr>
              <w:pStyle w:val="ListParagraph"/>
              <w:numPr>
                <w:ilvl w:val="0"/>
                <w:numId w:val="9"/>
              </w:numPr>
              <w:ind w:left="360"/>
              <w:jc w:val="both"/>
              <w:rPr>
                <w:rFonts w:ascii="Times New Roman" w:hAnsi="Times New Roman"/>
                <w:noProof/>
                <w:sz w:val="24"/>
                <w:szCs w:val="24"/>
                <w:lang w:val="bg-BG"/>
              </w:rPr>
            </w:pPr>
            <w:r>
              <w:rPr>
                <w:rFonts w:ascii="Times New Roman" w:eastAsiaTheme="minorHAnsi" w:hAnsi="Times New Roman"/>
                <w:noProof/>
                <w:color w:val="000000"/>
                <w:sz w:val="24"/>
                <w:lang w:val="bg-BG"/>
              </w:rPr>
              <w:t>Д</w:t>
            </w:r>
            <w:r>
              <w:rPr>
                <w:rFonts w:ascii="Times New Roman" w:eastAsiaTheme="minorHAnsi" w:hAnsi="Times New Roman"/>
                <w:noProof/>
                <w:color w:val="000000"/>
                <w:sz w:val="24"/>
                <w:lang w:val="bg-BG"/>
              </w:rPr>
              <w:t xml:space="preserve">ържавите членки и ЕС следва да разширят </w:t>
            </w:r>
            <w:r>
              <w:rPr>
                <w:rFonts w:ascii="Times New Roman" w:eastAsiaTheme="minorHAnsi" w:hAnsi="Times New Roman"/>
                <w:b/>
                <w:i/>
                <w:noProof/>
                <w:color w:val="000000"/>
                <w:sz w:val="24"/>
                <w:lang w:val="bg-BG"/>
              </w:rPr>
              <w:t>общите оперативни партньорства</w:t>
            </w:r>
            <w:r>
              <w:rPr>
                <w:rFonts w:ascii="Times New Roman" w:eastAsiaTheme="minorHAnsi" w:hAnsi="Times New Roman"/>
                <w:noProof/>
                <w:color w:val="000000"/>
                <w:sz w:val="24"/>
                <w:lang w:val="bg-BG"/>
              </w:rPr>
              <w:t xml:space="preserve"> с трети държави в подкрепа на дейности като съвместни екипи за разследване, изграждане на капацитет и обмен на служители за връзка.</w:t>
            </w:r>
          </w:p>
        </w:tc>
      </w:tr>
    </w:tbl>
    <w:p w:rsidR="002817B9" w:rsidRDefault="002817B9">
      <w:pPr>
        <w:jc w:val="both"/>
        <w:rPr>
          <w:rFonts w:ascii="Times New Roman" w:hAnsi="Times New Roman"/>
          <w:noProof/>
          <w:color w:val="000000"/>
          <w:sz w:val="24"/>
          <w:szCs w:val="24"/>
          <w:lang w:val="bg-BG"/>
        </w:rPr>
      </w:pPr>
    </w:p>
    <w:p w:rsidR="002817B9" w:rsidRDefault="002817B9">
      <w:pPr>
        <w:jc w:val="both"/>
        <w:rPr>
          <w:rFonts w:ascii="Times New Roman" w:hAnsi="Times New Roman"/>
          <w:noProof/>
          <w:color w:val="000000"/>
          <w:sz w:val="24"/>
          <w:szCs w:val="24"/>
          <w:lang w:val="bg-BG"/>
        </w:rPr>
      </w:pPr>
    </w:p>
    <w:p w:rsidR="002817B9" w:rsidRDefault="0009162B">
      <w:pPr>
        <w:pStyle w:val="ListParagraph"/>
        <w:numPr>
          <w:ilvl w:val="0"/>
          <w:numId w:val="3"/>
        </w:numPr>
        <w:jc w:val="both"/>
        <w:rPr>
          <w:rFonts w:ascii="Times New Roman" w:hAnsi="Times New Roman"/>
          <w:b/>
          <w:i/>
          <w:noProof/>
          <w:sz w:val="24"/>
          <w:szCs w:val="24"/>
          <w:lang w:val="bg-BG"/>
        </w:rPr>
      </w:pPr>
      <w:r>
        <w:rPr>
          <w:rFonts w:ascii="Times New Roman" w:hAnsi="Times New Roman"/>
          <w:b/>
          <w:i/>
          <w:noProof/>
          <w:sz w:val="24"/>
          <w:lang w:val="bg-BG"/>
        </w:rPr>
        <w:t>Управление на границите — спасяване на човешки жив</w:t>
      </w:r>
      <w:r>
        <w:rPr>
          <w:rFonts w:ascii="Times New Roman" w:hAnsi="Times New Roman"/>
          <w:b/>
          <w:i/>
          <w:noProof/>
          <w:sz w:val="24"/>
          <w:lang w:val="bg-BG"/>
        </w:rPr>
        <w:t>от и гарантиране на сигурността на външните граници</w:t>
      </w:r>
    </w:p>
    <w:p w:rsidR="002817B9" w:rsidRDefault="002817B9">
      <w:pPr>
        <w:jc w:val="both"/>
        <w:rPr>
          <w:rFonts w:ascii="Times New Roman" w:hAnsi="Times New Roman"/>
          <w:b/>
          <w:i/>
          <w:noProof/>
          <w:color w:val="000000"/>
          <w:sz w:val="24"/>
          <w:szCs w:val="24"/>
          <w:lang w:val="bg-BG"/>
        </w:rPr>
      </w:pPr>
    </w:p>
    <w:p w:rsidR="002817B9" w:rsidRDefault="0009162B">
      <w:pPr>
        <w:keepNext/>
        <w:spacing w:after="120"/>
        <w:jc w:val="both"/>
        <w:rPr>
          <w:rFonts w:ascii="Times New Roman" w:hAnsi="Times New Roman"/>
          <w:i/>
          <w:noProof/>
          <w:color w:val="000000"/>
          <w:sz w:val="24"/>
          <w:szCs w:val="24"/>
          <w:lang w:val="bg-BG"/>
        </w:rPr>
      </w:pPr>
      <w:r>
        <w:rPr>
          <w:rFonts w:ascii="Times New Roman" w:hAnsi="Times New Roman"/>
          <w:i/>
          <w:noProof/>
          <w:color w:val="000000"/>
          <w:sz w:val="24"/>
          <w:lang w:val="bg-BG"/>
        </w:rPr>
        <w:t>Операции по границите</w:t>
      </w:r>
    </w:p>
    <w:p w:rsidR="002817B9" w:rsidRDefault="0009162B">
      <w:pPr>
        <w:jc w:val="both"/>
        <w:rPr>
          <w:rFonts w:ascii="Times New Roman" w:hAnsi="Times New Roman"/>
          <w:i/>
          <w:noProof/>
          <w:color w:val="000000"/>
          <w:sz w:val="24"/>
          <w:szCs w:val="24"/>
          <w:lang w:val="bg-BG"/>
        </w:rPr>
      </w:pPr>
      <w:r>
        <w:rPr>
          <w:rFonts w:ascii="Times New Roman" w:hAnsi="Times New Roman"/>
          <w:noProof/>
          <w:color w:val="000000"/>
          <w:sz w:val="24"/>
          <w:lang w:val="bg-BG"/>
        </w:rPr>
        <w:t xml:space="preserve">Спасяване на живота на бедстващи хора в морето е основна цел на действията на ЕС във връзка с управлението на външните граници на ЕС. </w:t>
      </w:r>
      <w:r>
        <w:rPr>
          <w:rFonts w:ascii="Times New Roman" w:hAnsi="Times New Roman"/>
          <w:noProof/>
          <w:sz w:val="24"/>
          <w:lang w:val="bg-BG"/>
        </w:rPr>
        <w:t xml:space="preserve">Европейската агенция за гранична и брегова охрана </w:t>
      </w:r>
      <w:r>
        <w:rPr>
          <w:rFonts w:ascii="Times New Roman" w:hAnsi="Times New Roman"/>
          <w:noProof/>
          <w:color w:val="000000"/>
          <w:sz w:val="24"/>
          <w:lang w:val="bg-BG"/>
        </w:rPr>
        <w:t xml:space="preserve">координира съвместните морски операции с цел осигуряване на ефективен контрол на външните морски граници на ЕС. Всички участници в тези операции са обвързани от международното право и оказват съдействие на </w:t>
      </w:r>
      <w:r>
        <w:rPr>
          <w:rFonts w:ascii="Times New Roman" w:hAnsi="Times New Roman"/>
          <w:noProof/>
          <w:color w:val="000000"/>
          <w:sz w:val="24"/>
          <w:lang w:val="bg-BG"/>
        </w:rPr>
        <w:t xml:space="preserve">всички бедстващи плавателни съдове в морето. Съвместните операции Themis, Poseidon и Indalo, както и операция Sophia по линия на общата политика за сигурност и отбрана дават важен принос за граничния контрол и за действията по издирване и спасяване. Почти </w:t>
      </w:r>
      <w:r>
        <w:rPr>
          <w:rFonts w:ascii="Times New Roman" w:hAnsi="Times New Roman"/>
          <w:noProof/>
          <w:color w:val="000000"/>
          <w:sz w:val="24"/>
          <w:lang w:val="bg-BG"/>
        </w:rPr>
        <w:t>39 300 души бяха спасени  от участниците в морски операции на ЕС само през 2018 г.</w:t>
      </w:r>
      <w:r>
        <w:rPr>
          <w:rStyle w:val="FootnoteReference"/>
          <w:rFonts w:ascii="Times New Roman" w:hAnsi="Times New Roman"/>
          <w:noProof/>
          <w:color w:val="000000"/>
          <w:sz w:val="24"/>
          <w:lang w:val="bg-BG"/>
        </w:rPr>
        <w:footnoteReference w:id="41"/>
      </w:r>
      <w:r>
        <w:rPr>
          <w:rFonts w:ascii="Times New Roman" w:hAnsi="Times New Roman"/>
          <w:noProof/>
          <w:color w:val="000000"/>
          <w:sz w:val="24"/>
          <w:lang w:val="bg-BG"/>
        </w:rPr>
        <w:t xml:space="preserve"> </w:t>
      </w:r>
    </w:p>
    <w:p w:rsidR="002817B9" w:rsidRDefault="002817B9">
      <w:pPr>
        <w:jc w:val="both"/>
        <w:rPr>
          <w:rFonts w:ascii="Times New Roman" w:hAnsi="Times New Roman"/>
          <w:i/>
          <w:noProof/>
          <w:color w:val="000000"/>
          <w:sz w:val="24"/>
          <w:szCs w:val="24"/>
          <w:lang w:val="bg-BG"/>
        </w:rPr>
      </w:pPr>
    </w:p>
    <w:p w:rsidR="002817B9" w:rsidRDefault="0009162B">
      <w:pPr>
        <w:jc w:val="both"/>
        <w:rPr>
          <w:rFonts w:ascii="Times New Roman" w:hAnsi="Times New Roman"/>
          <w:noProof/>
          <w:sz w:val="24"/>
          <w:szCs w:val="24"/>
          <w:lang w:val="bg-BG"/>
        </w:rPr>
      </w:pPr>
      <w:r>
        <w:rPr>
          <w:rFonts w:ascii="Times New Roman" w:hAnsi="Times New Roman"/>
          <w:noProof/>
          <w:sz w:val="24"/>
          <w:lang w:val="bg-BG"/>
        </w:rPr>
        <w:t>Европейската агенция за гранична и брегова охрана</w:t>
      </w:r>
      <w:r>
        <w:rPr>
          <w:rFonts w:ascii="Times New Roman" w:hAnsi="Times New Roman"/>
          <w:noProof/>
          <w:color w:val="000000"/>
          <w:sz w:val="24"/>
          <w:lang w:val="bg-BG"/>
        </w:rPr>
        <w:t xml:space="preserve"> </w:t>
      </w:r>
      <w:r>
        <w:rPr>
          <w:rFonts w:ascii="Times New Roman" w:hAnsi="Times New Roman"/>
          <w:noProof/>
          <w:sz w:val="24"/>
          <w:lang w:val="bg-BG"/>
        </w:rPr>
        <w:t xml:space="preserve">също така извършва координирани </w:t>
      </w:r>
      <w:r>
        <w:rPr>
          <w:rFonts w:ascii="Times New Roman" w:hAnsi="Times New Roman"/>
          <w:noProof/>
          <w:color w:val="000000"/>
          <w:sz w:val="24"/>
          <w:lang w:val="bg-BG"/>
        </w:rPr>
        <w:t>оперативни дейности по външните сухоземни граници, като помага за контрол на незаконната</w:t>
      </w:r>
      <w:r>
        <w:rPr>
          <w:rFonts w:ascii="Times New Roman" w:hAnsi="Times New Roman"/>
          <w:noProof/>
          <w:color w:val="000000"/>
          <w:sz w:val="24"/>
          <w:lang w:val="bg-BG"/>
        </w:rPr>
        <w:t xml:space="preserve"> миграция и борба с контрабандата на хора, а също така предоставя разузнавателни сведения. От съществено значение е Агенцията да разполага с нужния капацитет да отговори на новите тенденции, като например повишения натиск в Западното Средиземноморие. Агенц</w:t>
      </w:r>
      <w:r>
        <w:rPr>
          <w:rFonts w:ascii="Times New Roman" w:hAnsi="Times New Roman"/>
          <w:noProof/>
          <w:color w:val="000000"/>
          <w:sz w:val="24"/>
          <w:lang w:val="bg-BG"/>
        </w:rPr>
        <w:t xml:space="preserve">ията обаче </w:t>
      </w:r>
      <w:r>
        <w:rPr>
          <w:rFonts w:ascii="Times New Roman" w:hAnsi="Times New Roman"/>
          <w:noProof/>
          <w:sz w:val="24"/>
          <w:lang w:val="bg-BG"/>
        </w:rPr>
        <w:t>все още редовно изпитва недостиг на човешки ресурси и техническо оборудване и споделената отговорност на държавите членки и Агенцията не се изпълнява на практика така, че да се предоставят необходимите ресурси. Двата компонента на Европейската а</w:t>
      </w:r>
      <w:r>
        <w:rPr>
          <w:rFonts w:ascii="Times New Roman" w:hAnsi="Times New Roman"/>
          <w:noProof/>
          <w:sz w:val="24"/>
          <w:lang w:val="bg-BG"/>
        </w:rPr>
        <w:t>генция за гранична и брегова охрана са взаимнозависими и могат да гарантират целостта на Шенгенското пространство само ако действат в унисон.</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При управлението на границите трябва да се използват всички налични инструменти. Това означава да се използва пот</w:t>
      </w:r>
      <w:r>
        <w:rPr>
          <w:rFonts w:ascii="Times New Roman" w:hAnsi="Times New Roman"/>
          <w:noProof/>
          <w:color w:val="000000"/>
          <w:sz w:val="24"/>
          <w:lang w:val="bg-BG"/>
        </w:rPr>
        <w:t>енциалът на информационните технологии в пълна степен. Разширяването и модернизирането на информационните системи, използвани за управлението на границите и за сигурността, разкри нови възможности за съвместното използване на тези инструменти. Изпълнението</w:t>
      </w:r>
      <w:r>
        <w:rPr>
          <w:rFonts w:ascii="Times New Roman" w:hAnsi="Times New Roman"/>
          <w:noProof/>
          <w:color w:val="000000"/>
          <w:sz w:val="24"/>
          <w:lang w:val="bg-BG"/>
        </w:rPr>
        <w:t xml:space="preserve"> на бъдещите регламенти относно оперативната съвместимост на информационните системи на ЕС, заедно с подходящите гаранции за защита на данните, ще даде възможност на органите да прилагат по-ефективно правилата. </w:t>
      </w:r>
    </w:p>
    <w:p w:rsidR="002817B9" w:rsidRDefault="002817B9">
      <w:pPr>
        <w:jc w:val="both"/>
        <w:rPr>
          <w:rFonts w:ascii="Times New Roman" w:hAnsi="Times New Roman"/>
          <w:noProof/>
          <w:sz w:val="24"/>
          <w:szCs w:val="24"/>
          <w:lang w:val="bg-BG"/>
        </w:rPr>
      </w:pPr>
    </w:p>
    <w:p w:rsidR="002817B9" w:rsidRDefault="0009162B">
      <w:pPr>
        <w:pStyle w:val="ListParagraph"/>
        <w:ind w:left="0"/>
        <w:jc w:val="both"/>
        <w:rPr>
          <w:rFonts w:ascii="Times New Roman" w:hAnsi="Times New Roman"/>
          <w:noProof/>
          <w:sz w:val="24"/>
          <w:szCs w:val="24"/>
          <w:lang w:val="bg-BG"/>
        </w:rPr>
      </w:pPr>
      <w:r>
        <w:rPr>
          <w:rFonts w:ascii="Times New Roman" w:hAnsi="Times New Roman"/>
          <w:noProof/>
          <w:sz w:val="24"/>
          <w:lang w:val="bg-BG"/>
        </w:rPr>
        <w:t>Предложението на Комисията от септември 201</w:t>
      </w:r>
      <w:r>
        <w:rPr>
          <w:rFonts w:ascii="Times New Roman" w:hAnsi="Times New Roman"/>
          <w:noProof/>
          <w:sz w:val="24"/>
          <w:lang w:val="bg-BG"/>
        </w:rPr>
        <w:t>8 г. за засилена и напълно оборудвана европейска гранична и брегова охрана има за цел предприемането на решителна стъпка към действително интегрирано управление на границите. Благодарение на това предложение Европейската агенция за гранична и брегова охран</w:t>
      </w:r>
      <w:r>
        <w:rPr>
          <w:rFonts w:ascii="Times New Roman" w:hAnsi="Times New Roman"/>
          <w:noProof/>
          <w:sz w:val="24"/>
          <w:lang w:val="bg-BG"/>
        </w:rPr>
        <w:t>а ще навлезе в нова оперативна фаза с постоянен корпус от 10 000 оперативни служители, упражняващи изпълнителни правомощия, и със собствено оборудване при пълно зачитане както на основните права, така и на суверенитета на държавите членки върху техните гра</w:t>
      </w:r>
      <w:r>
        <w:rPr>
          <w:rFonts w:ascii="Times New Roman" w:hAnsi="Times New Roman"/>
          <w:noProof/>
          <w:sz w:val="24"/>
          <w:lang w:val="bg-BG"/>
        </w:rPr>
        <w:t>ници. Причината за това е, че ЕС все още не е достатъчно добре подготвен да се справя с кризисни ситуации по външните граници, особено при внезапно масово пристигане на незаконни мигранти. Такава подготвеност е показател за това дали външните граници са до</w:t>
      </w:r>
      <w:r>
        <w:rPr>
          <w:rFonts w:ascii="Times New Roman" w:hAnsi="Times New Roman"/>
          <w:noProof/>
          <w:sz w:val="24"/>
          <w:lang w:val="bg-BG"/>
        </w:rPr>
        <w:t xml:space="preserve">статъчно силни, за да се възстанови доверието на гражданите на ЕС в Шенген. Преговорите относно това предложение се намират на етапа на тристранни преговори, което показва, че всички институции са ангажирани с приемането на това предложение преди изборите </w:t>
      </w:r>
      <w:r>
        <w:rPr>
          <w:rFonts w:ascii="Times New Roman" w:hAnsi="Times New Roman"/>
          <w:noProof/>
          <w:sz w:val="24"/>
          <w:lang w:val="bg-BG"/>
        </w:rPr>
        <w:t>за Европейски парламент през 2019 г.</w:t>
      </w:r>
    </w:p>
    <w:p w:rsidR="002817B9" w:rsidRDefault="002817B9">
      <w:pPr>
        <w:pStyle w:val="ListParagraph"/>
        <w:ind w:left="0"/>
        <w:jc w:val="both"/>
        <w:rPr>
          <w:rFonts w:ascii="Times New Roman" w:hAnsi="Times New Roman"/>
          <w:noProof/>
          <w:sz w:val="24"/>
          <w:szCs w:val="24"/>
          <w:lang w:val="bg-BG"/>
        </w:rPr>
      </w:pPr>
    </w:p>
    <w:p w:rsidR="002817B9" w:rsidRDefault="0009162B">
      <w:pPr>
        <w:keepNext/>
        <w:spacing w:after="120"/>
        <w:jc w:val="both"/>
        <w:rPr>
          <w:rFonts w:ascii="Times New Roman" w:hAnsi="Times New Roman"/>
          <w:i/>
          <w:noProof/>
          <w:sz w:val="24"/>
          <w:szCs w:val="24"/>
          <w:lang w:val="bg-BG"/>
        </w:rPr>
      </w:pPr>
      <w:r>
        <w:rPr>
          <w:rFonts w:ascii="Times New Roman" w:hAnsi="Times New Roman"/>
          <w:i/>
          <w:noProof/>
          <w:sz w:val="24"/>
          <w:lang w:val="bg-BG"/>
        </w:rPr>
        <w:t>Работа с трети държави партньори</w:t>
      </w:r>
    </w:p>
    <w:p w:rsidR="002817B9" w:rsidRDefault="0009162B">
      <w:pPr>
        <w:jc w:val="both"/>
        <w:rPr>
          <w:rFonts w:ascii="Times New Roman" w:hAnsi="Times New Roman"/>
          <w:noProof/>
          <w:sz w:val="24"/>
          <w:szCs w:val="24"/>
          <w:lang w:val="bg-BG"/>
        </w:rPr>
      </w:pPr>
      <w:r>
        <w:rPr>
          <w:rFonts w:ascii="Times New Roman" w:hAnsi="Times New Roman"/>
          <w:noProof/>
          <w:sz w:val="24"/>
          <w:lang w:val="bg-BG"/>
        </w:rPr>
        <w:t>Подкрепата и сътрудничеството с държави извън ЕС е от съществено значение за защитата на външните граници на ЕС. Първата стъпка е да се даде възможност за близки работни отношения, за д</w:t>
      </w:r>
      <w:r>
        <w:rPr>
          <w:rFonts w:ascii="Times New Roman" w:hAnsi="Times New Roman"/>
          <w:noProof/>
          <w:sz w:val="24"/>
          <w:lang w:val="bg-BG"/>
        </w:rPr>
        <w:t>а се разположат екипи при съвместни операции на двете страни на общите граници. За тази цел Комисията договори споразумения относно статуса с пет държави от Западните Балкани. Такова споразумение беше подписано с Албания, а споразумения бяха парафирани със</w:t>
      </w:r>
      <w:r>
        <w:rPr>
          <w:rFonts w:ascii="Times New Roman" w:hAnsi="Times New Roman"/>
          <w:noProof/>
          <w:sz w:val="24"/>
          <w:lang w:val="bg-BG"/>
        </w:rPr>
        <w:t xml:space="preserve"> Северна Македония</w:t>
      </w:r>
      <w:r>
        <w:rPr>
          <w:noProof/>
          <w:lang w:val="bg-BG"/>
        </w:rPr>
        <w:t xml:space="preserve"> </w:t>
      </w:r>
      <w:r>
        <w:rPr>
          <w:rFonts w:ascii="Times New Roman" w:hAnsi="Times New Roman"/>
          <w:noProof/>
          <w:sz w:val="24"/>
          <w:lang w:val="bg-BG"/>
        </w:rPr>
        <w:t>(юли 2018 г.), Сърбия (септември 2018 г.), Босна и Херцеговина (януари 2019 г.) и Черна гора (февруари 2019 г.).</w:t>
      </w:r>
    </w:p>
    <w:p w:rsidR="002817B9" w:rsidRDefault="002817B9">
      <w:pPr>
        <w:jc w:val="both"/>
        <w:rPr>
          <w:rFonts w:ascii="Times New Roman" w:hAnsi="Times New Roman"/>
          <w:noProof/>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Експертният опит на ЕС може също да бъде от решаващо значение посредством активно оперативно сътрудничество. ЕС помогна на </w:t>
      </w:r>
      <w:r>
        <w:rPr>
          <w:rFonts w:ascii="Times New Roman" w:hAnsi="Times New Roman"/>
          <w:noProof/>
          <w:color w:val="000000"/>
          <w:sz w:val="24"/>
          <w:lang w:val="bg-BG"/>
        </w:rPr>
        <w:t>либийската брегова охрана да увеличи значително капацитета си за спасяване на хора в морето, както и за възпрепятстване на контрабандистите да изпращат хора в морето в негодни за плаване по море съдове. Трябва да се засили обучението, включително в областт</w:t>
      </w:r>
      <w:r>
        <w:rPr>
          <w:rFonts w:ascii="Times New Roman" w:hAnsi="Times New Roman"/>
          <w:noProof/>
          <w:color w:val="000000"/>
          <w:sz w:val="24"/>
          <w:lang w:val="bg-BG"/>
        </w:rPr>
        <w:t xml:space="preserve">а на правата на човека и международното морско право. След като Либия </w:t>
      </w:r>
      <w:r>
        <w:rPr>
          <w:rFonts w:ascii="Times New Roman" w:hAnsi="Times New Roman"/>
          <w:noProof/>
          <w:sz w:val="24"/>
          <w:lang w:val="bg-BG"/>
        </w:rPr>
        <w:t>официално уведоми Международната морска организация за своя район за търсене и спасяване, сега капацитетът на страната трябва да бъде подкрепен с изцяло функциониращ център за координаци</w:t>
      </w:r>
      <w:r>
        <w:rPr>
          <w:rFonts w:ascii="Times New Roman" w:hAnsi="Times New Roman"/>
          <w:noProof/>
          <w:sz w:val="24"/>
          <w:lang w:val="bg-BG"/>
        </w:rPr>
        <w:t xml:space="preserve">я на морските спасителни дейности. </w:t>
      </w:r>
      <w:r>
        <w:rPr>
          <w:rFonts w:ascii="Times New Roman" w:hAnsi="Times New Roman"/>
          <w:noProof/>
          <w:color w:val="000000"/>
          <w:sz w:val="24"/>
          <w:lang w:val="bg-BG"/>
        </w:rPr>
        <w:t>Подкрепата на ЕС също е насочена към спасяването на човешки живот по сухопътните маршрути: подкрепата на ЕС и държавите членки в Нигер доведе до значително намаляване на миграционните потоци, а работата с Международната о</w:t>
      </w:r>
      <w:r>
        <w:rPr>
          <w:rFonts w:ascii="Times New Roman" w:hAnsi="Times New Roman"/>
          <w:noProof/>
          <w:color w:val="000000"/>
          <w:sz w:val="24"/>
          <w:lang w:val="bg-BG"/>
        </w:rPr>
        <w:t xml:space="preserve">рганизация по миграция доведе до издирването и спасяването на над 13 000 мигранти в пустинята в Нигер. </w:t>
      </w:r>
    </w:p>
    <w:p w:rsidR="002817B9" w:rsidRDefault="002817B9">
      <w:pPr>
        <w:contextualSpacing/>
        <w:jc w:val="both"/>
        <w:rPr>
          <w:rFonts w:ascii="Times New Roman" w:eastAsia="Calibri" w:hAnsi="Times New Roman"/>
          <w:noProof/>
          <w:sz w:val="24"/>
          <w:szCs w:val="24"/>
          <w:lang w:val="bg-BG"/>
        </w:rPr>
      </w:pPr>
    </w:p>
    <w:p w:rsidR="002817B9" w:rsidRDefault="0009162B">
      <w:pPr>
        <w:contextualSpacing/>
        <w:jc w:val="both"/>
        <w:rPr>
          <w:rFonts w:ascii="Times New Roman" w:hAnsi="Times New Roman"/>
          <w:noProof/>
          <w:sz w:val="24"/>
          <w:szCs w:val="24"/>
          <w:lang w:val="bg-BG"/>
        </w:rPr>
      </w:pPr>
      <w:r>
        <w:rPr>
          <w:rFonts w:ascii="Times New Roman" w:hAnsi="Times New Roman"/>
          <w:noProof/>
          <w:sz w:val="24"/>
          <w:lang w:val="bg-BG"/>
        </w:rPr>
        <w:t xml:space="preserve">ЕС и държавите членки предоставят значителна подкрепа и допринасят за изграждането на капацитета на партньорите, за да им помогнат при управлението на техните граници. Регионалните програми бяха обект на особено внимание: Програмата за по-добро управление </w:t>
      </w:r>
      <w:r>
        <w:rPr>
          <w:rFonts w:ascii="Times New Roman" w:hAnsi="Times New Roman"/>
          <w:noProof/>
          <w:sz w:val="24"/>
          <w:lang w:val="bg-BG"/>
        </w:rPr>
        <w:t xml:space="preserve">на миграцията в региона на Африканския спомогна за създадаването на съвместни трансгранични патрули и съвместни контролно-пропускателни пунктове между партньори като Етиопия и Южен Судан, както и за обмен на най-добри практики. </w:t>
      </w:r>
    </w:p>
    <w:p w:rsidR="002817B9" w:rsidRDefault="002817B9">
      <w:pPr>
        <w:contextualSpacing/>
        <w:jc w:val="both"/>
        <w:rPr>
          <w:rFonts w:ascii="Times New Roman" w:hAnsi="Times New Roman"/>
          <w:noProof/>
          <w:sz w:val="24"/>
          <w:szCs w:val="24"/>
          <w:lang w:val="bg-BG"/>
        </w:rPr>
      </w:pPr>
    </w:p>
    <w:p w:rsidR="002817B9" w:rsidRDefault="0009162B">
      <w:pPr>
        <w:contextualSpacing/>
        <w:jc w:val="both"/>
        <w:rPr>
          <w:rFonts w:ascii="Times New Roman" w:hAnsi="Times New Roman"/>
          <w:noProof/>
          <w:sz w:val="24"/>
          <w:szCs w:val="24"/>
          <w:lang w:val="bg-BG"/>
        </w:rPr>
      </w:pPr>
      <w:r>
        <w:rPr>
          <w:rFonts w:ascii="Times New Roman" w:hAnsi="Times New Roman"/>
          <w:noProof/>
          <w:sz w:val="24"/>
          <w:lang w:val="bg-BG"/>
        </w:rPr>
        <w:t>Тази работа се осъществява</w:t>
      </w:r>
      <w:r>
        <w:rPr>
          <w:rFonts w:ascii="Times New Roman" w:hAnsi="Times New Roman"/>
          <w:noProof/>
          <w:sz w:val="24"/>
          <w:lang w:val="bg-BG"/>
        </w:rPr>
        <w:t xml:space="preserve"> в тясно сътрудничество с работата в рамките на общата външна политика и политика на сигурност и с мисиите в рамките на общата политика за сигурност и отбрана. Мисия на ЕС за съдействие в областта на граничния контрол подкрепя Либия в разработването на по-</w:t>
      </w:r>
      <w:r>
        <w:rPr>
          <w:rFonts w:ascii="Times New Roman" w:hAnsi="Times New Roman"/>
          <w:noProof/>
          <w:sz w:val="24"/>
          <w:lang w:val="bg-BG"/>
        </w:rPr>
        <w:t>широка рамка за управление на границите и предоставя стратегически консултации на ключови министерства. Освен обучението на либийската брегова охрана мандатът на операция Sophia съчетава разбиване на мрежите за контрабанда на мигранти и трафик на оръжия съ</w:t>
      </w:r>
      <w:r>
        <w:rPr>
          <w:rFonts w:ascii="Times New Roman" w:hAnsi="Times New Roman"/>
          <w:noProof/>
          <w:sz w:val="24"/>
          <w:lang w:val="bg-BG"/>
        </w:rPr>
        <w:t>с свързани с наблюдение дейности (например по отношение на контрабандата на нефт). Това позволи на ЕС да даде съществен принос за подобряване на цялостната морска сигурност и за възстановяването на стабилността в района на Централното Средиземноморие. През</w:t>
      </w:r>
      <w:r>
        <w:rPr>
          <w:rFonts w:ascii="Times New Roman" w:hAnsi="Times New Roman"/>
          <w:noProof/>
          <w:sz w:val="24"/>
          <w:lang w:val="bg-BG"/>
        </w:rPr>
        <w:t xml:space="preserve"> декември 2018 г. мандатът на операция Sophia беше удължен с три месеца, но в отсъствието на решение относно свалянето на брега нейното удължаване продължава да бъде неуреден въпрос.</w:t>
      </w:r>
    </w:p>
    <w:p w:rsidR="002817B9" w:rsidRDefault="002817B9">
      <w:pPr>
        <w:jc w:val="both"/>
        <w:rPr>
          <w:noProof/>
          <w:lang w:val="bg-BG"/>
        </w:rPr>
      </w:pPr>
    </w:p>
    <w:tbl>
      <w:tblPr>
        <w:tblStyle w:val="TableGrid"/>
        <w:tblW w:w="0" w:type="auto"/>
        <w:tblLook w:val="04A0" w:firstRow="1" w:lastRow="0" w:firstColumn="1" w:lastColumn="0" w:noHBand="0" w:noVBand="1"/>
      </w:tblPr>
      <w:tblGrid>
        <w:gridCol w:w="9286"/>
      </w:tblGrid>
      <w:tr w:rsidR="002817B9">
        <w:tc>
          <w:tcPr>
            <w:tcW w:w="9286" w:type="dxa"/>
            <w:shd w:val="clear" w:color="auto" w:fill="1F497D" w:themeFill="text2"/>
          </w:tcPr>
          <w:p w:rsidR="002817B9" w:rsidRDefault="0009162B">
            <w:pPr>
              <w:shd w:val="clear" w:color="auto" w:fill="1F497D" w:themeFill="text2"/>
              <w:jc w:val="center"/>
              <w:rPr>
                <w:rFonts w:ascii="Times New Roman" w:hAnsi="Times New Roman"/>
                <w:b/>
                <w:noProof/>
                <w:color w:val="FFFFFF" w:themeColor="background1"/>
                <w:sz w:val="24"/>
                <w:szCs w:val="24"/>
                <w:lang w:val="bg-BG"/>
              </w:rPr>
            </w:pPr>
            <w:r>
              <w:rPr>
                <w:rFonts w:ascii="Times New Roman" w:hAnsi="Times New Roman"/>
                <w:b/>
                <w:noProof/>
                <w:color w:val="FFFFFF" w:themeColor="background1"/>
                <w:sz w:val="24"/>
                <w:lang w:val="bg-BG"/>
              </w:rPr>
              <w:t>Ключови следващи стъпки</w:t>
            </w:r>
          </w:p>
        </w:tc>
      </w:tr>
      <w:tr w:rsidR="002817B9" w:rsidRPr="0009162B">
        <w:tc>
          <w:tcPr>
            <w:tcW w:w="9286" w:type="dxa"/>
            <w:shd w:val="clear" w:color="auto" w:fill="C6D9F1" w:themeFill="text2" w:themeFillTint="33"/>
          </w:tcPr>
          <w:p w:rsidR="002817B9" w:rsidRDefault="0009162B" w:rsidP="0009162B">
            <w:pPr>
              <w:pStyle w:val="ListParagraph"/>
              <w:numPr>
                <w:ilvl w:val="0"/>
                <w:numId w:val="9"/>
              </w:numPr>
              <w:ind w:left="426" w:hanging="426"/>
              <w:jc w:val="both"/>
              <w:rPr>
                <w:rFonts w:ascii="Times New Roman" w:hAnsi="Times New Roman"/>
                <w:noProof/>
                <w:sz w:val="24"/>
                <w:szCs w:val="24"/>
                <w:lang w:val="bg-BG"/>
              </w:rPr>
            </w:pPr>
            <w:r>
              <w:rPr>
                <w:rFonts w:ascii="Times New Roman" w:hAnsi="Times New Roman"/>
                <w:noProof/>
                <w:sz w:val="24"/>
                <w:lang w:val="bg-BG"/>
              </w:rPr>
              <w:t xml:space="preserve">Европейският парламент и Съветът следва да приемат </w:t>
            </w:r>
            <w:r>
              <w:rPr>
                <w:rFonts w:ascii="Times New Roman" w:hAnsi="Times New Roman"/>
                <w:b/>
                <w:i/>
                <w:noProof/>
                <w:sz w:val="24"/>
                <w:lang w:val="bg-BG"/>
              </w:rPr>
              <w:t>измененото предложение относно Европейската гранична и брегова охрана</w:t>
            </w:r>
            <w:r>
              <w:rPr>
                <w:rFonts w:ascii="Times New Roman" w:hAnsi="Times New Roman"/>
                <w:noProof/>
                <w:sz w:val="24"/>
                <w:lang w:val="bg-BG"/>
              </w:rPr>
              <w:t xml:space="preserve"> преди изборите за Европейски парламент.</w:t>
            </w:r>
          </w:p>
          <w:p w:rsidR="002817B9" w:rsidRDefault="0009162B" w:rsidP="0009162B">
            <w:pPr>
              <w:pStyle w:val="ListParagraph"/>
              <w:numPr>
                <w:ilvl w:val="0"/>
                <w:numId w:val="9"/>
              </w:numPr>
              <w:ind w:left="426" w:hanging="426"/>
              <w:jc w:val="both"/>
              <w:rPr>
                <w:rFonts w:ascii="Times New Roman" w:hAnsi="Times New Roman"/>
                <w:noProof/>
                <w:sz w:val="24"/>
                <w:szCs w:val="24"/>
                <w:lang w:val="bg-BG"/>
              </w:rPr>
            </w:pPr>
            <w:r>
              <w:rPr>
                <w:rFonts w:ascii="Times New Roman" w:hAnsi="Times New Roman"/>
                <w:noProof/>
                <w:sz w:val="24"/>
                <w:lang w:val="bg-BG"/>
              </w:rPr>
              <w:t>Държавите членки следва да гарантират, че Европейската агенция за гранична и брегова охрана раз</w:t>
            </w:r>
            <w:r>
              <w:rPr>
                <w:rFonts w:ascii="Times New Roman" w:hAnsi="Times New Roman"/>
                <w:noProof/>
                <w:sz w:val="24"/>
                <w:lang w:val="bg-BG"/>
              </w:rPr>
              <w:t xml:space="preserve">полага с ресурсите, необходими за редовно извършване на оценка на ситуацията по места и за осъществяване на </w:t>
            </w:r>
            <w:r>
              <w:rPr>
                <w:rFonts w:ascii="Times New Roman" w:hAnsi="Times New Roman"/>
                <w:b/>
                <w:i/>
                <w:noProof/>
                <w:sz w:val="24"/>
                <w:lang w:val="bg-BG"/>
              </w:rPr>
              <w:t>съществени гранични операции</w:t>
            </w:r>
            <w:r>
              <w:rPr>
                <w:rFonts w:ascii="Times New Roman" w:hAnsi="Times New Roman"/>
                <w:noProof/>
                <w:sz w:val="24"/>
                <w:lang w:val="bg-BG"/>
              </w:rPr>
              <w:t>. Работата на агенциите на ЕС по маршрута през Западното Средиземноморие следва да се засили.</w:t>
            </w:r>
          </w:p>
          <w:p w:rsidR="002817B9" w:rsidRDefault="0009162B" w:rsidP="0009162B">
            <w:pPr>
              <w:pStyle w:val="ListParagraph"/>
              <w:numPr>
                <w:ilvl w:val="0"/>
                <w:numId w:val="9"/>
              </w:numPr>
              <w:ind w:left="426" w:hanging="426"/>
              <w:jc w:val="both"/>
              <w:rPr>
                <w:rFonts w:ascii="Times New Roman" w:hAnsi="Times New Roman"/>
                <w:noProof/>
                <w:sz w:val="24"/>
                <w:szCs w:val="24"/>
                <w:lang w:val="bg-BG"/>
              </w:rPr>
            </w:pPr>
            <w:r>
              <w:rPr>
                <w:rFonts w:ascii="Times New Roman" w:hAnsi="Times New Roman"/>
                <w:noProof/>
                <w:sz w:val="24"/>
                <w:lang w:val="bg-BG"/>
              </w:rPr>
              <w:t>Комисията и агенциите на Е</w:t>
            </w:r>
            <w:r>
              <w:rPr>
                <w:rFonts w:ascii="Times New Roman" w:hAnsi="Times New Roman"/>
                <w:noProof/>
                <w:sz w:val="24"/>
                <w:lang w:val="bg-BG"/>
              </w:rPr>
              <w:t xml:space="preserve">С следва да гарантират, че </w:t>
            </w:r>
            <w:r>
              <w:rPr>
                <w:rFonts w:ascii="Times New Roman" w:hAnsi="Times New Roman"/>
                <w:b/>
                <w:i/>
                <w:noProof/>
                <w:sz w:val="24"/>
                <w:lang w:val="bg-BG"/>
              </w:rPr>
              <w:t>оперативната съвместимост</w:t>
            </w:r>
            <w:r>
              <w:rPr>
                <w:rFonts w:ascii="Times New Roman" w:hAnsi="Times New Roman"/>
                <w:noProof/>
                <w:sz w:val="24"/>
                <w:lang w:val="bg-BG"/>
              </w:rPr>
              <w:t xml:space="preserve"> на системите за границите и за сигурността се разработва и се внедрява бързо, като първите елементи следва да са функциониращи още през 2020 г.</w:t>
            </w:r>
          </w:p>
          <w:p w:rsidR="002817B9" w:rsidRDefault="0009162B" w:rsidP="0009162B">
            <w:pPr>
              <w:pStyle w:val="ListParagraph"/>
              <w:numPr>
                <w:ilvl w:val="0"/>
                <w:numId w:val="9"/>
              </w:numPr>
              <w:ind w:left="426" w:hanging="426"/>
              <w:jc w:val="both"/>
              <w:rPr>
                <w:rFonts w:ascii="Times New Roman" w:hAnsi="Times New Roman"/>
                <w:noProof/>
                <w:sz w:val="24"/>
                <w:szCs w:val="24"/>
                <w:lang w:val="bg-BG"/>
              </w:rPr>
            </w:pPr>
            <w:r>
              <w:rPr>
                <w:rFonts w:ascii="Times New Roman" w:hAnsi="Times New Roman"/>
                <w:noProof/>
                <w:sz w:val="24"/>
                <w:lang w:val="bg-BG"/>
              </w:rPr>
              <w:t>Съветът, след като получи одобрението на Европейския парлам</w:t>
            </w:r>
            <w:r>
              <w:rPr>
                <w:rFonts w:ascii="Times New Roman" w:hAnsi="Times New Roman"/>
                <w:noProof/>
                <w:sz w:val="24"/>
                <w:lang w:val="bg-BG"/>
              </w:rPr>
              <w:t xml:space="preserve">ент, следва бързо да сключи </w:t>
            </w:r>
            <w:r>
              <w:rPr>
                <w:rFonts w:ascii="Times New Roman" w:hAnsi="Times New Roman"/>
                <w:b/>
                <w:i/>
                <w:noProof/>
                <w:sz w:val="24"/>
                <w:lang w:val="bg-BG"/>
              </w:rPr>
              <w:t>споразуменията за статуса, договорени със страните от Западните Балкани</w:t>
            </w:r>
            <w:r>
              <w:rPr>
                <w:rFonts w:ascii="Times New Roman" w:hAnsi="Times New Roman"/>
                <w:noProof/>
                <w:sz w:val="24"/>
                <w:lang w:val="bg-BG"/>
              </w:rPr>
              <w:t>, и да гарантира незабавното им изпълнение.</w:t>
            </w:r>
          </w:p>
        </w:tc>
      </w:tr>
    </w:tbl>
    <w:p w:rsidR="002817B9" w:rsidRDefault="002817B9">
      <w:pPr>
        <w:jc w:val="both"/>
        <w:rPr>
          <w:noProof/>
          <w:lang w:val="bg-BG"/>
        </w:rPr>
      </w:pPr>
    </w:p>
    <w:p w:rsidR="002817B9" w:rsidRDefault="002817B9">
      <w:pPr>
        <w:jc w:val="both"/>
        <w:rPr>
          <w:rFonts w:ascii="Times New Roman" w:hAnsi="Times New Roman"/>
          <w:noProof/>
          <w:color w:val="000000"/>
          <w:sz w:val="24"/>
          <w:szCs w:val="24"/>
          <w:lang w:val="bg-BG"/>
        </w:rPr>
      </w:pPr>
    </w:p>
    <w:p w:rsidR="002817B9" w:rsidRDefault="0009162B">
      <w:pPr>
        <w:pStyle w:val="ListParagraph"/>
        <w:numPr>
          <w:ilvl w:val="0"/>
          <w:numId w:val="3"/>
        </w:numPr>
        <w:jc w:val="both"/>
        <w:rPr>
          <w:rFonts w:ascii="Times New Roman" w:hAnsi="Times New Roman"/>
          <w:b/>
          <w:i/>
          <w:noProof/>
          <w:sz w:val="24"/>
          <w:szCs w:val="24"/>
          <w:lang w:val="bg-BG"/>
        </w:rPr>
      </w:pPr>
      <w:r>
        <w:rPr>
          <w:rFonts w:ascii="Times New Roman" w:hAnsi="Times New Roman"/>
          <w:b/>
          <w:i/>
          <w:noProof/>
          <w:sz w:val="24"/>
          <w:lang w:val="bg-BG"/>
        </w:rPr>
        <w:t xml:space="preserve">ЕС, който предоставя закрила и убежище </w:t>
      </w:r>
    </w:p>
    <w:p w:rsidR="002817B9" w:rsidRDefault="002817B9">
      <w:pPr>
        <w:pStyle w:val="ListParagraph"/>
        <w:ind w:left="360"/>
        <w:jc w:val="both"/>
        <w:rPr>
          <w:rFonts w:ascii="Times New Roman" w:hAnsi="Times New Roman"/>
          <w:b/>
          <w:noProof/>
          <w:color w:val="000000"/>
          <w:sz w:val="24"/>
          <w:szCs w:val="24"/>
          <w:u w:val="single"/>
          <w:lang w:val="bg-BG"/>
        </w:rPr>
      </w:pPr>
    </w:p>
    <w:p w:rsidR="002817B9" w:rsidRDefault="0009162B">
      <w:pPr>
        <w:keepNext/>
        <w:spacing w:after="120"/>
        <w:jc w:val="both"/>
        <w:rPr>
          <w:rFonts w:ascii="Times New Roman" w:hAnsi="Times New Roman"/>
          <w:i/>
          <w:noProof/>
          <w:color w:val="000000"/>
          <w:sz w:val="24"/>
          <w:szCs w:val="24"/>
          <w:lang w:val="bg-BG"/>
        </w:rPr>
      </w:pPr>
      <w:r>
        <w:rPr>
          <w:rFonts w:ascii="Times New Roman" w:hAnsi="Times New Roman"/>
          <w:i/>
          <w:noProof/>
          <w:color w:val="000000"/>
          <w:sz w:val="24"/>
          <w:lang w:val="bg-BG"/>
        </w:rPr>
        <w:t>Модернизиране на общата европейска система за убежище</w:t>
      </w: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Комисията е </w:t>
      </w:r>
      <w:r>
        <w:rPr>
          <w:rFonts w:ascii="Times New Roman" w:hAnsi="Times New Roman"/>
          <w:noProof/>
          <w:color w:val="000000"/>
          <w:sz w:val="24"/>
          <w:lang w:val="bg-BG"/>
        </w:rPr>
        <w:t xml:space="preserve">убедена, че ЕС е в състояние да реформира своята система за убежище, за да осигури по-добра защита на мигрантите в нужда и да им предостави достойни условия, като същевременно връща лицата, които нямат право на пребиваване в Европа. ЕС трябва да покаже на </w:t>
      </w:r>
      <w:r>
        <w:rPr>
          <w:rFonts w:ascii="Times New Roman" w:hAnsi="Times New Roman"/>
          <w:noProof/>
          <w:color w:val="000000"/>
          <w:sz w:val="24"/>
          <w:lang w:val="bg-BG"/>
        </w:rPr>
        <w:t>своите граждани, че е в състояние да изпълни ангажимента си за система за убежище, която е справедлива и подходяща за целта и която може, в комбинация със засилени мерки за граничен контрол, да се справи с всяко бъдещо увеличение на миграционния натиск. Об</w:t>
      </w:r>
      <w:r>
        <w:rPr>
          <w:rFonts w:ascii="Times New Roman" w:hAnsi="Times New Roman"/>
          <w:noProof/>
          <w:color w:val="000000"/>
          <w:sz w:val="24"/>
          <w:lang w:val="bg-BG"/>
        </w:rPr>
        <w:t>стоятелството, че броят на незаконно пристигналите е спаднал до равнищата отпреди кризата, не може да прикрие съществуващите недостатъци и необходимостта от цялостна реформа на системата за убежище.</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Има съществена нужда от общ подход на равнището на ЕС. Т</w:t>
      </w:r>
      <w:r>
        <w:rPr>
          <w:rFonts w:ascii="Times New Roman" w:hAnsi="Times New Roman"/>
          <w:noProof/>
          <w:color w:val="000000"/>
          <w:sz w:val="24"/>
          <w:lang w:val="bg-BG"/>
        </w:rPr>
        <w:t>ой трябва да се основава на силни гаранции, че всяка държава членка ще обработва молбите за предоставяне на убежище, за които тя отговоря, както и на структуриран, предвидим механизъм за солидарност, за да се гарантира, че никоя държава членка не носи непр</w:t>
      </w:r>
      <w:r>
        <w:rPr>
          <w:rFonts w:ascii="Times New Roman" w:hAnsi="Times New Roman"/>
          <w:noProof/>
          <w:color w:val="000000"/>
          <w:sz w:val="24"/>
          <w:lang w:val="bg-BG"/>
        </w:rPr>
        <w:t xml:space="preserve">опорционална тежест. Системата на ЕС за убежище може да бъде напълно ефективна и в състояние да вдъхва доверие, ако тази солидарност е системна, а не </w:t>
      </w:r>
      <w:r>
        <w:rPr>
          <w:rFonts w:ascii="Times New Roman" w:hAnsi="Times New Roman"/>
          <w:i/>
          <w:noProof/>
          <w:color w:val="000000"/>
          <w:sz w:val="24"/>
          <w:lang w:val="bg-BG"/>
        </w:rPr>
        <w:t>ad hoc</w:t>
      </w:r>
      <w:r>
        <w:rPr>
          <w:rFonts w:ascii="Times New Roman" w:hAnsi="Times New Roman"/>
          <w:noProof/>
          <w:color w:val="000000"/>
          <w:sz w:val="24"/>
          <w:lang w:val="bg-BG"/>
        </w:rPr>
        <w:t>. Това върви ръка за ръка с ясни, прости и общи правила за начина на обработване на молбите за предо</w:t>
      </w:r>
      <w:r>
        <w:rPr>
          <w:rFonts w:ascii="Times New Roman" w:hAnsi="Times New Roman"/>
          <w:noProof/>
          <w:color w:val="000000"/>
          <w:sz w:val="24"/>
          <w:lang w:val="bg-BG"/>
        </w:rPr>
        <w:t xml:space="preserve">ставяне на убежище, с по-силни биометрични доказателства, върху които се основава прилагането на правилата, и с достатъчна оперативна и финансова подкрепа за държавите членки.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Докато третирането на лицата, търсещи убежище, се различава значително между </w:t>
      </w:r>
      <w:r>
        <w:rPr>
          <w:rFonts w:ascii="Times New Roman" w:hAnsi="Times New Roman"/>
          <w:noProof/>
          <w:color w:val="000000"/>
          <w:sz w:val="24"/>
          <w:lang w:val="bg-BG"/>
        </w:rPr>
        <w:t>отделните държави членки и отговорността на държавите членки за разглеждане на молбите за предоставяне на убежище може лесно да се прехвърля от една държава членка на друга, системата на ЕС за убежище ще продължи да бъде податлива на злоупотреба, на подава</w:t>
      </w:r>
      <w:r>
        <w:rPr>
          <w:rFonts w:ascii="Times New Roman" w:hAnsi="Times New Roman"/>
          <w:noProof/>
          <w:color w:val="000000"/>
          <w:sz w:val="24"/>
          <w:lang w:val="bg-BG"/>
        </w:rPr>
        <w:t>не на многократни молби за предоставяне убежище и на вторични движения. Съществува необходимост от по-строги правила и хармонизирани критерии за предоставяне на закрила, както и от справедливи и равни условия както за търсещите, така и за получилите убежищ</w:t>
      </w:r>
      <w:r>
        <w:rPr>
          <w:rFonts w:ascii="Times New Roman" w:hAnsi="Times New Roman"/>
          <w:noProof/>
          <w:color w:val="000000"/>
          <w:sz w:val="24"/>
          <w:lang w:val="bg-BG"/>
        </w:rPr>
        <w:t>е в целия ЕС. Системата за предоставяне на убежище може да бъде надеждна само ако лицата, търсещи убежище, чиито молби за убежище са били отхвърлени и вече нямат право да останат в ЕС, бъдат връщани бързо. За тази цел, при пълно зачитане на основните права</w:t>
      </w:r>
      <w:r>
        <w:rPr>
          <w:rFonts w:ascii="Times New Roman" w:hAnsi="Times New Roman"/>
          <w:noProof/>
          <w:color w:val="000000"/>
          <w:sz w:val="24"/>
          <w:lang w:val="bg-BG"/>
        </w:rPr>
        <w:t>, трябва да се осигури безпроблемна връзка между системата за убежище и една ефективна системата за връщане.</w:t>
      </w:r>
    </w:p>
    <w:p w:rsidR="002817B9" w:rsidRDefault="002817B9">
      <w:pPr>
        <w:jc w:val="both"/>
        <w:rPr>
          <w:rFonts w:ascii="Times New Roman" w:hAnsi="Times New Roman"/>
          <w:noProof/>
          <w:color w:val="000000"/>
          <w:sz w:val="24"/>
          <w:szCs w:val="24"/>
          <w:lang w:val="bg-BG"/>
        </w:rPr>
      </w:pPr>
    </w:p>
    <w:p w:rsidR="002817B9" w:rsidRDefault="0009162B">
      <w:pPr>
        <w:jc w:val="both"/>
        <w:rPr>
          <w:noProof/>
          <w:color w:val="000000"/>
          <w:lang w:val="bg-BG"/>
        </w:rPr>
      </w:pPr>
      <w:r>
        <w:rPr>
          <w:rFonts w:ascii="Times New Roman" w:hAnsi="Times New Roman"/>
          <w:noProof/>
          <w:color w:val="000000"/>
          <w:sz w:val="24"/>
          <w:lang w:val="bg-BG"/>
        </w:rPr>
        <w:t>За да може да бъде постигнато това, Комисията е внесла всички необходими предложения и твърдо подкрепя поетапен подход за постигане на напредък по</w:t>
      </w:r>
      <w:r>
        <w:rPr>
          <w:rFonts w:ascii="Times New Roman" w:hAnsi="Times New Roman"/>
          <w:noProof/>
          <w:color w:val="000000"/>
          <w:sz w:val="24"/>
          <w:lang w:val="bg-BG"/>
        </w:rPr>
        <w:t xml:space="preserve"> всяко предложение. Понастоящем по пет предложения за реформа в областта на убежището е постижимо постигането на балансирани политически споразумения. </w:t>
      </w:r>
      <w:r>
        <w:rPr>
          <w:noProof/>
          <w:lang w:val="bg-BG"/>
        </w:rPr>
        <w:t xml:space="preserve">Сега </w:t>
      </w:r>
      <w:r>
        <w:rPr>
          <w:rFonts w:ascii="Times New Roman" w:hAnsi="Times New Roman"/>
          <w:noProof/>
          <w:color w:val="000000"/>
          <w:sz w:val="24"/>
          <w:lang w:val="bg-BG"/>
        </w:rPr>
        <w:t>Европейският парламент и Съветът следва да се възползват от възможността за приключване на процеса н</w:t>
      </w:r>
      <w:r>
        <w:rPr>
          <w:rFonts w:ascii="Times New Roman" w:hAnsi="Times New Roman"/>
          <w:noProof/>
          <w:color w:val="000000"/>
          <w:sz w:val="24"/>
          <w:lang w:val="bg-BG"/>
        </w:rPr>
        <w:t>авреме за изборите за Европейски парламент</w:t>
      </w:r>
      <w:r>
        <w:rPr>
          <w:noProof/>
          <w:lang w:val="bg-BG"/>
        </w:rPr>
        <w:t xml:space="preserve"> </w:t>
      </w:r>
      <w:r>
        <w:rPr>
          <w:rFonts w:ascii="Times New Roman" w:hAnsi="Times New Roman"/>
          <w:noProof/>
          <w:color w:val="000000"/>
          <w:sz w:val="24"/>
          <w:lang w:val="bg-BG"/>
        </w:rPr>
        <w:t xml:space="preserve"> и да покажат на гражданите способността на ЕС за постигане на напредък. Както бе посочено от Комисията през декември 2018 г.,</w:t>
      </w:r>
      <w:r>
        <w:rPr>
          <w:rStyle w:val="FootnoteReference"/>
          <w:rFonts w:ascii="Times New Roman" w:hAnsi="Times New Roman"/>
          <w:noProof/>
          <w:color w:val="000000"/>
          <w:sz w:val="24"/>
          <w:lang w:val="bg-BG"/>
        </w:rPr>
        <w:footnoteReference w:id="42"/>
      </w:r>
      <w:r>
        <w:rPr>
          <w:rFonts w:ascii="Times New Roman" w:hAnsi="Times New Roman"/>
          <w:noProof/>
          <w:color w:val="000000"/>
          <w:sz w:val="24"/>
          <w:lang w:val="bg-BG"/>
        </w:rPr>
        <w:t xml:space="preserve"> всяко от тези предложения само по себе си предоставя значителни ползи и няма техничес</w:t>
      </w:r>
      <w:r>
        <w:rPr>
          <w:rFonts w:ascii="Times New Roman" w:hAnsi="Times New Roman"/>
          <w:noProof/>
          <w:color w:val="000000"/>
          <w:sz w:val="24"/>
          <w:lang w:val="bg-BG"/>
        </w:rPr>
        <w:t>ка или правна пречка за приемането на едно или няколко от тях поотделно. Регламент за квалификациите ще гарантира правата на лицата, признати за бежанци, и ще действа като демотивиращ фактор за вторични движения. Директива за условията на приемане също так</w:t>
      </w:r>
      <w:r>
        <w:rPr>
          <w:rFonts w:ascii="Times New Roman" w:hAnsi="Times New Roman"/>
          <w:noProof/>
          <w:color w:val="000000"/>
          <w:sz w:val="24"/>
          <w:lang w:val="bg-BG"/>
        </w:rPr>
        <w:t>а ще ограничи вторичните движения, като гарантира хармонизирани и достойни условия за лицата, търсещи убежище, в целия ЕС. Регламентът относно Агенцията за убежището ще даде възможност на Агенцията да увеличи помощта си за държавите членки посредством пред</w:t>
      </w:r>
      <w:r>
        <w:rPr>
          <w:rFonts w:ascii="Times New Roman" w:hAnsi="Times New Roman"/>
          <w:noProof/>
          <w:color w:val="000000"/>
          <w:sz w:val="24"/>
          <w:lang w:val="bg-BG"/>
        </w:rPr>
        <w:t xml:space="preserve">оставяне на бърза и цялостна подкрепа. Новите правила относно базата данни „ЕВРОДАК“ ще позволят на държавите членки да проследяват вторичните движения и по-добре да идентифицират лицата, които нямат право на пребиваване в ЕС. Посредством Рамката на Съюза </w:t>
      </w:r>
      <w:r>
        <w:rPr>
          <w:rFonts w:ascii="Times New Roman" w:hAnsi="Times New Roman"/>
          <w:noProof/>
          <w:color w:val="000000"/>
          <w:sz w:val="24"/>
          <w:lang w:val="bg-BG"/>
        </w:rPr>
        <w:t xml:space="preserve">за презаселване ще се гарантират безопасни и законни пътища, ще се намалят незаконните потоци и ще се улеснят отношенията с нашите външни партньори. Комисията ще продължи да работи с Европейския парламент и Съвета за постигане на напредък по приемането на </w:t>
      </w:r>
      <w:r>
        <w:rPr>
          <w:rFonts w:ascii="Times New Roman" w:hAnsi="Times New Roman"/>
          <w:noProof/>
          <w:color w:val="000000"/>
          <w:sz w:val="24"/>
          <w:lang w:val="bg-BG"/>
        </w:rPr>
        <w:t>тези предложения.</w:t>
      </w:r>
      <w:r>
        <w:rPr>
          <w:noProof/>
          <w:color w:val="000000"/>
          <w:lang w:val="bg-BG"/>
        </w:rPr>
        <w:t xml:space="preserve">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Комисията също така продължава да наблюдава начина, по който сегашната система за убежище на ЕС се прилага в държавите — членки на ЕС, включително като анализира недостатъци в изпълнението на законодателство за транспониране на различни</w:t>
      </w:r>
      <w:r>
        <w:rPr>
          <w:rFonts w:ascii="Times New Roman" w:hAnsi="Times New Roman"/>
          <w:noProof/>
          <w:color w:val="000000"/>
          <w:sz w:val="24"/>
          <w:lang w:val="bg-BG"/>
        </w:rPr>
        <w:t xml:space="preserve">те инструменти в областта на убежището или пропуски в него. </w:t>
      </w:r>
    </w:p>
    <w:p w:rsidR="002817B9" w:rsidRDefault="002817B9">
      <w:pPr>
        <w:jc w:val="both"/>
        <w:rPr>
          <w:rFonts w:ascii="Times New Roman" w:hAnsi="Times New Roman"/>
          <w:noProof/>
          <w:color w:val="000000"/>
          <w:sz w:val="24"/>
          <w:szCs w:val="24"/>
          <w:lang w:val="bg-BG"/>
        </w:rPr>
      </w:pPr>
    </w:p>
    <w:p w:rsidR="002817B9" w:rsidRDefault="0009162B">
      <w:pPr>
        <w:keepNext/>
        <w:spacing w:after="120"/>
        <w:jc w:val="both"/>
        <w:rPr>
          <w:rFonts w:ascii="Times New Roman" w:hAnsi="Times New Roman"/>
          <w:i/>
          <w:noProof/>
          <w:color w:val="000000"/>
          <w:sz w:val="24"/>
          <w:szCs w:val="24"/>
          <w:lang w:val="bg-BG"/>
        </w:rPr>
      </w:pPr>
      <w:r>
        <w:rPr>
          <w:rFonts w:ascii="Times New Roman" w:hAnsi="Times New Roman"/>
          <w:i/>
          <w:noProof/>
          <w:color w:val="000000"/>
          <w:sz w:val="24"/>
          <w:lang w:val="bg-BG"/>
        </w:rPr>
        <w:t>Подкрепа на ЕС за закрилата в чужбина</w:t>
      </w:r>
    </w:p>
    <w:p w:rsidR="002817B9" w:rsidRDefault="0009162B">
      <w:pPr>
        <w:jc w:val="both"/>
        <w:rPr>
          <w:rFonts w:ascii="Times New Roman" w:hAnsi="Times New Roman"/>
          <w:noProof/>
          <w:color w:val="000000"/>
          <w:sz w:val="24"/>
          <w:szCs w:val="24"/>
          <w:lang w:val="bg-BG"/>
        </w:rPr>
      </w:pPr>
      <w:r>
        <w:rPr>
          <w:rFonts w:ascii="Times New Roman" w:hAnsi="Times New Roman"/>
          <w:noProof/>
          <w:sz w:val="24"/>
          <w:lang w:val="bg-BG"/>
        </w:rPr>
        <w:t>Предлагането на безопасни и организирани пътища за презаселване на тези, които са в най-голяма нужда, отразява ценностите на ЕС и повишава доверието на трет</w:t>
      </w:r>
      <w:r>
        <w:rPr>
          <w:rFonts w:ascii="Times New Roman" w:hAnsi="Times New Roman"/>
          <w:noProof/>
          <w:sz w:val="24"/>
          <w:lang w:val="bg-BG"/>
        </w:rPr>
        <w:t xml:space="preserve">ите държави партньори. </w:t>
      </w:r>
      <w:r>
        <w:rPr>
          <w:rFonts w:ascii="Times New Roman" w:hAnsi="Times New Roman"/>
          <w:noProof/>
          <w:color w:val="000000"/>
          <w:sz w:val="24"/>
          <w:lang w:val="bg-BG"/>
        </w:rPr>
        <w:t>Презаселването осигурява безопасен път към Европа за лицата, които имат право на международна закрила. Съгласно действащата схема на ЕС за презаселване 20 държави членки са поели ангажимент да осигурят над 50 000 места за онези, коит</w:t>
      </w:r>
      <w:r>
        <w:rPr>
          <w:rFonts w:ascii="Times New Roman" w:hAnsi="Times New Roman"/>
          <w:noProof/>
          <w:color w:val="000000"/>
          <w:sz w:val="24"/>
          <w:lang w:val="bg-BG"/>
        </w:rPr>
        <w:t>о имат най-голяма нужда, до октомври 2019 г. Ангажиментите за над 24 000 от тези места вече са изпълнени, което позволява на съответните лица да намерят подслон в ЕС. Така например продължаващото презаселване на над 2 000 души от Либия е от основно значени</w:t>
      </w:r>
      <w:r>
        <w:rPr>
          <w:rFonts w:ascii="Times New Roman" w:hAnsi="Times New Roman"/>
          <w:noProof/>
          <w:color w:val="000000"/>
          <w:sz w:val="24"/>
          <w:lang w:val="bg-BG"/>
        </w:rPr>
        <w:t>е за това ЕС, в сътрудничество с Агенцията на ООН за бежанците (ВКБООН) и нигерийските власти, да може да осигури защита на хората в крайна нужда. Сега държавите членки трябва да запазят динамиката и да осигурят изпълнението на оставащите ангажименти преди</w:t>
      </w:r>
      <w:r>
        <w:rPr>
          <w:rFonts w:ascii="Times New Roman" w:hAnsi="Times New Roman"/>
          <w:noProof/>
          <w:color w:val="000000"/>
          <w:sz w:val="24"/>
          <w:lang w:val="bg-BG"/>
        </w:rPr>
        <w:t xml:space="preserve"> крайния срок през октомври.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Закрилата на бежанците и мигрантите извън ЕС е една от основните теми на политиката на ЕС от 2015 г. насам. Милиони хора получиха подкрепа чрез схеми за посрещане на основни нужди и за подобряване на качеството на живот на хо</w:t>
      </w:r>
      <w:r>
        <w:rPr>
          <w:rFonts w:ascii="Times New Roman" w:hAnsi="Times New Roman"/>
          <w:noProof/>
          <w:color w:val="000000"/>
          <w:sz w:val="24"/>
          <w:lang w:val="bg-BG"/>
        </w:rPr>
        <w:t xml:space="preserve">рата, принудени да бягат от конфликти в техните собствени държави. </w:t>
      </w:r>
      <w:r>
        <w:rPr>
          <w:rFonts w:ascii="Times New Roman" w:hAnsi="Times New Roman"/>
          <w:noProof/>
          <w:sz w:val="24"/>
          <w:lang w:val="bg-BG"/>
        </w:rPr>
        <w:t xml:space="preserve">По-специално продължителната криза в Сирия доведе до огромни хуманитарни нужди за над 13 милиона души в страната и 5,6 милиона души в съседните държави. </w:t>
      </w:r>
    </w:p>
    <w:p w:rsidR="002817B9" w:rsidRDefault="002817B9">
      <w:pPr>
        <w:jc w:val="both"/>
        <w:rPr>
          <w:rFonts w:ascii="Times New Roman" w:hAnsi="Times New Roman"/>
          <w:noProof/>
          <w:color w:val="000000"/>
          <w:sz w:val="24"/>
          <w:szCs w:val="24"/>
          <w:lang w:val="bg-BG"/>
        </w:rPr>
      </w:pPr>
    </w:p>
    <w:p w:rsidR="002817B9" w:rsidRDefault="0009162B" w:rsidP="0009162B">
      <w:pPr>
        <w:pStyle w:val="ListParagraph"/>
        <w:numPr>
          <w:ilvl w:val="0"/>
          <w:numId w:val="8"/>
        </w:numPr>
        <w:spacing w:after="120"/>
        <w:ind w:left="425" w:hanging="357"/>
        <w:contextualSpacing w:val="0"/>
        <w:jc w:val="both"/>
        <w:rPr>
          <w:rFonts w:ascii="Times New Roman" w:hAnsi="Times New Roman"/>
          <w:noProof/>
          <w:color w:val="000000"/>
          <w:sz w:val="24"/>
          <w:szCs w:val="24"/>
          <w:lang w:val="bg-BG"/>
        </w:rPr>
      </w:pPr>
      <w:r>
        <w:rPr>
          <w:rFonts w:ascii="Times New Roman" w:hAnsi="Times New Roman"/>
          <w:noProof/>
          <w:color w:val="000000"/>
          <w:sz w:val="24"/>
          <w:lang w:val="bg-BG"/>
        </w:rPr>
        <w:t>Помощта на ЕС по линия на Механизм</w:t>
      </w:r>
      <w:r>
        <w:rPr>
          <w:rFonts w:ascii="Times New Roman" w:hAnsi="Times New Roman"/>
          <w:noProof/>
          <w:color w:val="000000"/>
          <w:sz w:val="24"/>
          <w:lang w:val="bg-BG"/>
        </w:rPr>
        <w:t xml:space="preserve">а за бежанците в Турция подкрепя изпълнението на огромната задача по подслоняването на близо 4 милиона бежанци в Турция. До края на 2018 г. хуманитарната помощ подпомогна </w:t>
      </w:r>
      <w:r>
        <w:rPr>
          <w:rFonts w:ascii="Times New Roman" w:hAnsi="Times New Roman"/>
          <w:noProof/>
          <w:sz w:val="24"/>
          <w:lang w:val="bg-BG"/>
        </w:rPr>
        <w:t xml:space="preserve">1,5 милиона от най-уязвимите бежанци чрез Мрежата за социална закрила при извънредни </w:t>
      </w:r>
      <w:r>
        <w:rPr>
          <w:rFonts w:ascii="Times New Roman" w:hAnsi="Times New Roman"/>
          <w:noProof/>
          <w:sz w:val="24"/>
          <w:lang w:val="bg-BG"/>
        </w:rPr>
        <w:t>обстоятелства — защитна мрежа за социално подпомагане, и оказа подкрепа над 410 000 ученици да посещават училище</w:t>
      </w:r>
      <w:r>
        <w:rPr>
          <w:rStyle w:val="FootnoteReference"/>
          <w:rFonts w:ascii="Times New Roman" w:hAnsi="Times New Roman"/>
          <w:noProof/>
          <w:sz w:val="24"/>
          <w:lang w:val="bg-BG"/>
        </w:rPr>
        <w:footnoteReference w:id="43"/>
      </w:r>
      <w:r>
        <w:rPr>
          <w:rFonts w:ascii="Times New Roman" w:hAnsi="Times New Roman"/>
          <w:noProof/>
          <w:sz w:val="24"/>
          <w:lang w:val="bg-BG"/>
        </w:rPr>
        <w:t xml:space="preserve">. Още 600 000 деца получиха помощ, за да се интегрират в турската училищна система. Беше отпусната помощ за над четири милиона здравни </w:t>
      </w:r>
      <w:r>
        <w:rPr>
          <w:rFonts w:ascii="Times New Roman" w:hAnsi="Times New Roman"/>
          <w:noProof/>
          <w:sz w:val="24"/>
          <w:lang w:val="bg-BG"/>
        </w:rPr>
        <w:t>консултации и над 500 000 сирийски деца бяха ваксинирани. Вече са отпуснати 1,2 милиарда евро от втория транш в размер на 3 милиарда евро.</w:t>
      </w:r>
    </w:p>
    <w:p w:rsidR="002817B9" w:rsidRDefault="0009162B" w:rsidP="0009162B">
      <w:pPr>
        <w:pStyle w:val="ListParagraph"/>
        <w:numPr>
          <w:ilvl w:val="0"/>
          <w:numId w:val="8"/>
        </w:numPr>
        <w:spacing w:after="120"/>
        <w:ind w:left="425" w:hanging="357"/>
        <w:contextualSpacing w:val="0"/>
        <w:jc w:val="both"/>
        <w:rPr>
          <w:rFonts w:ascii="Times New Roman" w:hAnsi="Times New Roman"/>
          <w:noProof/>
          <w:sz w:val="24"/>
          <w:lang w:val="bg-BG"/>
        </w:rPr>
      </w:pPr>
      <w:r>
        <w:rPr>
          <w:rFonts w:ascii="Times New Roman" w:hAnsi="Times New Roman"/>
          <w:noProof/>
          <w:sz w:val="24"/>
          <w:lang w:val="bg-BG"/>
        </w:rPr>
        <w:t>През 2018 г. ЕС изпълни своя ангажимент, поет на втората конференция в Брюксел „Подкрепа за Сирия и региона“, с което</w:t>
      </w:r>
      <w:r>
        <w:rPr>
          <w:rFonts w:ascii="Times New Roman" w:hAnsi="Times New Roman"/>
          <w:noProof/>
          <w:sz w:val="24"/>
          <w:lang w:val="bg-BG"/>
        </w:rPr>
        <w:t xml:space="preserve"> общият размер на подкрепата на </w:t>
      </w:r>
      <w:r>
        <w:rPr>
          <w:rStyle w:val="Strong"/>
          <w:b w:val="0"/>
          <w:noProof/>
          <w:sz w:val="24"/>
          <w:lang w:val="bg-BG"/>
        </w:rPr>
        <w:t>ЕС и неговите държави членки</w:t>
      </w:r>
      <w:r>
        <w:rPr>
          <w:rFonts w:ascii="Times New Roman" w:hAnsi="Times New Roman"/>
          <w:noProof/>
          <w:sz w:val="24"/>
          <w:lang w:val="bg-BG"/>
        </w:rPr>
        <w:t xml:space="preserve"> от началото на кризата достигна почти </w:t>
      </w:r>
      <w:r>
        <w:rPr>
          <w:rStyle w:val="Strong"/>
          <w:b w:val="0"/>
          <w:noProof/>
          <w:sz w:val="24"/>
          <w:lang w:val="bg-BG"/>
        </w:rPr>
        <w:t>17 милиарда евро</w:t>
      </w:r>
      <w:r>
        <w:rPr>
          <w:noProof/>
          <w:lang w:val="bg-BG"/>
        </w:rPr>
        <w:t>, като така</w:t>
      </w:r>
      <w:r>
        <w:rPr>
          <w:rFonts w:ascii="Times New Roman" w:hAnsi="Times New Roman"/>
          <w:noProof/>
          <w:sz w:val="24"/>
          <w:lang w:val="bg-BG"/>
        </w:rPr>
        <w:t xml:space="preserve"> ЕС се превърна в най-големия донор. Както и на територията на Турция, ЕС предостави значителна хуманитарна помощ за вътрешно разс</w:t>
      </w:r>
      <w:r>
        <w:rPr>
          <w:rFonts w:ascii="Times New Roman" w:hAnsi="Times New Roman"/>
          <w:noProof/>
          <w:sz w:val="24"/>
          <w:lang w:val="bg-BG"/>
        </w:rPr>
        <w:t>елени лица в самата Сирия и за</w:t>
      </w:r>
      <w:r>
        <w:rPr>
          <w:rStyle w:val="Strong"/>
          <w:b w:val="0"/>
          <w:noProof/>
          <w:sz w:val="24"/>
          <w:lang w:val="bg-BG"/>
        </w:rPr>
        <w:t xml:space="preserve"> бежанци и приемащи общности в Йордания и Ливан. Съюзът предостави също така помощ на Ирак и Египет.</w:t>
      </w:r>
      <w:r>
        <w:rPr>
          <w:rFonts w:ascii="Times New Roman" w:hAnsi="Times New Roman"/>
          <w:noProof/>
          <w:sz w:val="24"/>
          <w:lang w:val="bg-BG"/>
        </w:rPr>
        <w:t xml:space="preserve"> Като цяло </w:t>
      </w:r>
      <w:r>
        <w:rPr>
          <w:rFonts w:ascii="Times New Roman" w:hAnsi="Times New Roman"/>
          <w:noProof/>
          <w:color w:val="000000"/>
          <w:sz w:val="24"/>
          <w:lang w:val="bg-BG"/>
        </w:rPr>
        <w:t>регионалният доверителен фонд на ЕС в отговор на кризата в Сирия подпомогна около 2 милиона сирийски бежанци и прие</w:t>
      </w:r>
      <w:r>
        <w:rPr>
          <w:rFonts w:ascii="Times New Roman" w:hAnsi="Times New Roman"/>
          <w:noProof/>
          <w:color w:val="000000"/>
          <w:sz w:val="24"/>
          <w:lang w:val="bg-BG"/>
        </w:rPr>
        <w:t>мащи общности през 2018 г.</w:t>
      </w:r>
      <w:r>
        <w:rPr>
          <w:rStyle w:val="FootnoteReference"/>
          <w:rFonts w:ascii="Times New Roman" w:hAnsi="Times New Roman"/>
          <w:noProof/>
          <w:color w:val="000000"/>
          <w:sz w:val="24"/>
          <w:lang w:val="bg-BG"/>
        </w:rPr>
        <w:footnoteReference w:id="44"/>
      </w:r>
      <w:r>
        <w:rPr>
          <w:rFonts w:ascii="Times New Roman" w:hAnsi="Times New Roman"/>
          <w:noProof/>
          <w:color w:val="000000"/>
          <w:sz w:val="24"/>
          <w:lang w:val="bg-BG"/>
        </w:rPr>
        <w:t xml:space="preserve"> </w:t>
      </w:r>
      <w:r>
        <w:rPr>
          <w:rFonts w:ascii="Times New Roman" w:hAnsi="Times New Roman"/>
          <w:noProof/>
          <w:sz w:val="24"/>
          <w:lang w:val="bg-BG"/>
        </w:rPr>
        <w:t>Предстоящата трета конференция в Брюксел</w:t>
      </w:r>
      <w:r>
        <w:rPr>
          <w:rFonts w:ascii="Times New Roman" w:hAnsi="Times New Roman"/>
          <w:b/>
          <w:noProof/>
          <w:sz w:val="24"/>
          <w:lang w:val="bg-BG"/>
        </w:rPr>
        <w:t xml:space="preserve"> </w:t>
      </w:r>
      <w:r>
        <w:rPr>
          <w:rFonts w:ascii="Times New Roman" w:hAnsi="Times New Roman"/>
          <w:noProof/>
          <w:sz w:val="24"/>
          <w:lang w:val="bg-BG"/>
        </w:rPr>
        <w:t>ще бъде основното събитие за поемане на ангажименти в отговор на кризата в Сирия през 2019 г. и ЕС възнамерява да поддържа ангажимента, поет от него през последните години.</w:t>
      </w:r>
    </w:p>
    <w:p w:rsidR="002817B9" w:rsidRDefault="0009162B" w:rsidP="0009162B">
      <w:pPr>
        <w:pStyle w:val="ListParagraph"/>
        <w:numPr>
          <w:ilvl w:val="0"/>
          <w:numId w:val="8"/>
        </w:numPr>
        <w:spacing w:after="120"/>
        <w:ind w:left="425" w:hanging="357"/>
        <w:contextualSpacing w:val="0"/>
        <w:jc w:val="both"/>
        <w:rPr>
          <w:rFonts w:ascii="Times New Roman" w:hAnsi="Times New Roman"/>
          <w:noProof/>
          <w:color w:val="000000"/>
          <w:sz w:val="24"/>
          <w:szCs w:val="24"/>
          <w:lang w:val="bg-BG"/>
        </w:rPr>
      </w:pPr>
      <w:r>
        <w:rPr>
          <w:rFonts w:ascii="Times New Roman" w:hAnsi="Times New Roman"/>
          <w:noProof/>
          <w:color w:val="000000"/>
          <w:sz w:val="24"/>
          <w:lang w:val="bg-BG"/>
        </w:rPr>
        <w:t>Регионалните п</w:t>
      </w:r>
      <w:r>
        <w:rPr>
          <w:rFonts w:ascii="Times New Roman" w:hAnsi="Times New Roman"/>
          <w:noProof/>
          <w:color w:val="000000"/>
          <w:sz w:val="24"/>
          <w:lang w:val="bg-BG"/>
        </w:rPr>
        <w:t>рограми за развитие и закрила, насочени основно към Северна Африка и региона на Африканския рог, подпомагат трети държави, даващи подслон на голям брой бежанци, за посрещане на нуждите от закрила и развитие на бежанците.</w:t>
      </w:r>
      <w:r>
        <w:rPr>
          <w:rStyle w:val="FootnoteReference"/>
          <w:rFonts w:ascii="Times New Roman" w:hAnsi="Times New Roman"/>
          <w:noProof/>
          <w:color w:val="000000"/>
          <w:sz w:val="24"/>
          <w:lang w:val="bg-BG"/>
        </w:rPr>
        <w:footnoteReference w:id="45"/>
      </w:r>
    </w:p>
    <w:p w:rsidR="002817B9" w:rsidRDefault="0009162B" w:rsidP="0009162B">
      <w:pPr>
        <w:pStyle w:val="ListParagraph"/>
        <w:numPr>
          <w:ilvl w:val="0"/>
          <w:numId w:val="8"/>
        </w:numPr>
        <w:spacing w:after="120"/>
        <w:ind w:left="426"/>
        <w:jc w:val="both"/>
        <w:rPr>
          <w:rFonts w:ascii="Times New Roman" w:hAnsi="Times New Roman"/>
          <w:noProof/>
          <w:color w:val="000000"/>
          <w:sz w:val="24"/>
          <w:szCs w:val="24"/>
          <w:lang w:val="bg-BG"/>
        </w:rPr>
      </w:pPr>
      <w:r>
        <w:rPr>
          <w:rFonts w:ascii="Times New Roman" w:hAnsi="Times New Roman"/>
          <w:noProof/>
          <w:color w:val="000000"/>
          <w:sz w:val="24"/>
          <w:lang w:val="bg-BG"/>
        </w:rPr>
        <w:t>Закрилата също така е основна тема</w:t>
      </w:r>
      <w:r>
        <w:rPr>
          <w:rFonts w:ascii="Times New Roman" w:hAnsi="Times New Roman"/>
          <w:noProof/>
          <w:color w:val="000000"/>
          <w:sz w:val="24"/>
          <w:lang w:val="bg-BG"/>
        </w:rPr>
        <w:t xml:space="preserve"> на Доверителния фонд на ЕС за Африка, посредством който се допълва хуманитарната помощ и се посрещат основните нужди на принудително разселените лица. В региона на Африканския рог, където има над 4 милиона бежанци и приблизително 10 милиона вътрешно разсе</w:t>
      </w:r>
      <w:r>
        <w:rPr>
          <w:rFonts w:ascii="Times New Roman" w:hAnsi="Times New Roman"/>
          <w:noProof/>
          <w:color w:val="000000"/>
          <w:sz w:val="24"/>
          <w:lang w:val="bg-BG"/>
        </w:rPr>
        <w:t>лени лица, Доверителният фонд инвестира в подпомагане на бежанците да станат самоиздържащи се, като същевременно подкрепя приемащите общности. Особено внимание в рамките на Доверителния фонд се отделя на съществените усилия за стабилизиране в Сомалия и Суд</w:t>
      </w:r>
      <w:r>
        <w:rPr>
          <w:rFonts w:ascii="Times New Roman" w:hAnsi="Times New Roman"/>
          <w:noProof/>
          <w:color w:val="000000"/>
          <w:sz w:val="24"/>
          <w:lang w:val="bg-BG"/>
        </w:rPr>
        <w:t>ан.</w:t>
      </w: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Принудителното разселване е глобално явление, което изисква глобални решения. Наличието на функциониращи системи за убежище както в трети държави партньори, така и в ЕС е от ключово значение. ЕС следва да използва стимула от Глобалния пакт за бежанците</w:t>
      </w:r>
      <w:r>
        <w:rPr>
          <w:rFonts w:ascii="Times New Roman" w:hAnsi="Times New Roman"/>
          <w:noProof/>
          <w:color w:val="000000"/>
          <w:sz w:val="24"/>
          <w:lang w:val="bg-BG"/>
        </w:rPr>
        <w:t xml:space="preserve"> като платформа, за да продължи да използва съществуващите рамки на равнището на ЕС и да помага на трети държави да предоставят подкрепа на бежанците извън ЕС.</w:t>
      </w:r>
    </w:p>
    <w:p w:rsidR="002817B9" w:rsidRDefault="002817B9">
      <w:pPr>
        <w:jc w:val="both"/>
        <w:rPr>
          <w:rFonts w:ascii="Times New Roman" w:hAnsi="Times New Roman"/>
          <w:noProof/>
          <w:color w:val="000000"/>
          <w:sz w:val="24"/>
          <w:szCs w:val="24"/>
          <w:lang w:val="bg-BG"/>
        </w:rPr>
      </w:pPr>
    </w:p>
    <w:tbl>
      <w:tblPr>
        <w:tblStyle w:val="TableGrid"/>
        <w:tblW w:w="0" w:type="auto"/>
        <w:tblLook w:val="04A0" w:firstRow="1" w:lastRow="0" w:firstColumn="1" w:lastColumn="0" w:noHBand="0" w:noVBand="1"/>
      </w:tblPr>
      <w:tblGrid>
        <w:gridCol w:w="9286"/>
      </w:tblGrid>
      <w:tr w:rsidR="002817B9">
        <w:tc>
          <w:tcPr>
            <w:tcW w:w="9286" w:type="dxa"/>
            <w:shd w:val="clear" w:color="auto" w:fill="1F497D" w:themeFill="text2"/>
          </w:tcPr>
          <w:p w:rsidR="002817B9" w:rsidRDefault="0009162B">
            <w:pPr>
              <w:shd w:val="clear" w:color="auto" w:fill="1F497D" w:themeFill="text2"/>
              <w:jc w:val="center"/>
              <w:rPr>
                <w:rFonts w:ascii="Times New Roman" w:hAnsi="Times New Roman"/>
                <w:b/>
                <w:noProof/>
                <w:color w:val="FFFFFF" w:themeColor="background1"/>
                <w:sz w:val="24"/>
                <w:szCs w:val="24"/>
                <w:lang w:val="bg-BG"/>
              </w:rPr>
            </w:pPr>
            <w:r>
              <w:rPr>
                <w:rFonts w:ascii="Times New Roman" w:hAnsi="Times New Roman"/>
                <w:b/>
                <w:noProof/>
                <w:color w:val="FFFFFF" w:themeColor="background1"/>
                <w:sz w:val="24"/>
                <w:lang w:val="bg-BG"/>
              </w:rPr>
              <w:t>Ключови следващи стъпки</w:t>
            </w:r>
          </w:p>
        </w:tc>
      </w:tr>
      <w:tr w:rsidR="002817B9" w:rsidRPr="0009162B">
        <w:tc>
          <w:tcPr>
            <w:tcW w:w="9286" w:type="dxa"/>
            <w:shd w:val="clear" w:color="auto" w:fill="C6D9F1" w:themeFill="text2" w:themeFillTint="33"/>
          </w:tcPr>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Европейският парламент и Съветът следва да приемат </w:t>
            </w:r>
            <w:r>
              <w:rPr>
                <w:rFonts w:ascii="Times New Roman" w:eastAsiaTheme="minorHAnsi" w:hAnsi="Times New Roman"/>
                <w:b/>
                <w:i/>
                <w:noProof/>
                <w:color w:val="000000"/>
                <w:sz w:val="24"/>
                <w:lang w:val="bg-BG"/>
              </w:rPr>
              <w:t xml:space="preserve">новата </w:t>
            </w:r>
            <w:r>
              <w:rPr>
                <w:rFonts w:ascii="Times New Roman" w:eastAsiaTheme="minorHAnsi" w:hAnsi="Times New Roman"/>
                <w:b/>
                <w:i/>
                <w:noProof/>
                <w:color w:val="000000"/>
                <w:sz w:val="24"/>
                <w:lang w:val="bg-BG"/>
              </w:rPr>
              <w:t>законодателна рамка</w:t>
            </w:r>
            <w:r>
              <w:rPr>
                <w:rFonts w:ascii="Times New Roman" w:eastAsiaTheme="minorHAnsi" w:hAnsi="Times New Roman"/>
                <w:noProof/>
                <w:color w:val="000000"/>
                <w:sz w:val="24"/>
                <w:lang w:val="bg-BG"/>
              </w:rPr>
              <w:t xml:space="preserve">, необходима за въвеждане на обща европейска система за убежище, която е в състояние да се справи с предизвикателствата на бъдещето. </w:t>
            </w:r>
            <w:r>
              <w:rPr>
                <w:noProof/>
                <w:lang w:val="bg-BG"/>
              </w:rPr>
              <w:t>П</w:t>
            </w:r>
            <w:r>
              <w:rPr>
                <w:rFonts w:ascii="Times New Roman" w:eastAsiaTheme="minorHAnsi" w:hAnsi="Times New Roman"/>
                <w:noProof/>
                <w:color w:val="000000"/>
                <w:sz w:val="24"/>
                <w:lang w:val="bg-BG"/>
              </w:rPr>
              <w:t>редложенията</w:t>
            </w:r>
            <w:r>
              <w:rPr>
                <w:rFonts w:ascii="Times New Roman" w:hAnsi="Times New Roman"/>
                <w:noProof/>
                <w:sz w:val="24"/>
                <w:lang w:val="bg-BG"/>
              </w:rPr>
              <w:t xml:space="preserve">, които са на път да бъдат финализирани, следва да бъдат </w:t>
            </w:r>
            <w:r>
              <w:rPr>
                <w:rFonts w:ascii="Times New Roman" w:eastAsiaTheme="minorHAnsi" w:hAnsi="Times New Roman"/>
                <w:noProof/>
                <w:color w:val="000000"/>
                <w:sz w:val="24"/>
                <w:lang w:val="bg-BG"/>
              </w:rPr>
              <w:t>приети преди изборите за Европейск</w:t>
            </w:r>
            <w:r>
              <w:rPr>
                <w:rFonts w:ascii="Times New Roman" w:eastAsiaTheme="minorHAnsi" w:hAnsi="Times New Roman"/>
                <w:noProof/>
                <w:color w:val="000000"/>
                <w:sz w:val="24"/>
                <w:lang w:val="bg-BG"/>
              </w:rPr>
              <w:t>и парламент.</w:t>
            </w:r>
          </w:p>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 xml:space="preserve">Държавите членки следва да гарантират изпълнението на ангажимента за 50 000 места за </w:t>
            </w:r>
            <w:r>
              <w:rPr>
                <w:rFonts w:ascii="Times New Roman" w:eastAsiaTheme="minorHAnsi" w:hAnsi="Times New Roman"/>
                <w:b/>
                <w:i/>
                <w:noProof/>
                <w:color w:val="000000"/>
                <w:sz w:val="24"/>
                <w:lang w:val="bg-BG"/>
              </w:rPr>
              <w:t>презаселване</w:t>
            </w:r>
            <w:r>
              <w:rPr>
                <w:rFonts w:ascii="Times New Roman" w:eastAsiaTheme="minorHAnsi" w:hAnsi="Times New Roman"/>
                <w:noProof/>
                <w:color w:val="000000"/>
                <w:sz w:val="24"/>
                <w:lang w:val="bg-BG"/>
              </w:rPr>
              <w:t xml:space="preserve"> до изтичането на крайния срок през октомври 2019 г.</w:t>
            </w:r>
          </w:p>
          <w:p w:rsidR="002817B9"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eastAsiaTheme="minorHAnsi" w:hAnsi="Times New Roman"/>
                <w:noProof/>
                <w:color w:val="000000"/>
                <w:sz w:val="24"/>
                <w:lang w:val="bg-BG"/>
              </w:rPr>
              <w:t>ЕС и държавите членки следва да продължат да поддържат подкрепата от съществено значение за</w:t>
            </w:r>
            <w:r>
              <w:rPr>
                <w:rFonts w:ascii="Times New Roman" w:eastAsiaTheme="minorHAnsi" w:hAnsi="Times New Roman"/>
                <w:b/>
                <w:i/>
                <w:noProof/>
                <w:color w:val="000000"/>
                <w:sz w:val="24"/>
                <w:lang w:val="bg-BG"/>
              </w:rPr>
              <w:t xml:space="preserve"> з</w:t>
            </w:r>
            <w:r>
              <w:rPr>
                <w:rFonts w:ascii="Times New Roman" w:eastAsiaTheme="minorHAnsi" w:hAnsi="Times New Roman"/>
                <w:b/>
                <w:i/>
                <w:noProof/>
                <w:color w:val="000000"/>
                <w:sz w:val="24"/>
                <w:lang w:val="bg-BG"/>
              </w:rPr>
              <w:t>акрилата на бежанците и мигрантите в трети държави</w:t>
            </w:r>
            <w:r>
              <w:rPr>
                <w:rFonts w:ascii="Times New Roman" w:eastAsiaTheme="minorHAnsi" w:hAnsi="Times New Roman"/>
                <w:noProof/>
                <w:color w:val="000000"/>
                <w:sz w:val="24"/>
                <w:lang w:val="bg-BG"/>
              </w:rPr>
              <w:t>, включително предишните си ангажименти, на третата конференция за Сирия в Брюксел.</w:t>
            </w:r>
          </w:p>
        </w:tc>
      </w:tr>
    </w:tbl>
    <w:p w:rsidR="002817B9" w:rsidRDefault="002817B9">
      <w:pPr>
        <w:jc w:val="both"/>
        <w:rPr>
          <w:rFonts w:ascii="Times New Roman" w:hAnsi="Times New Roman"/>
          <w:noProof/>
          <w:color w:val="000000"/>
          <w:sz w:val="24"/>
          <w:szCs w:val="24"/>
          <w:lang w:val="bg-BG"/>
        </w:rPr>
      </w:pPr>
    </w:p>
    <w:p w:rsidR="002817B9" w:rsidRDefault="002817B9">
      <w:pPr>
        <w:jc w:val="both"/>
        <w:rPr>
          <w:rFonts w:ascii="Times New Roman" w:hAnsi="Times New Roman"/>
          <w:noProof/>
          <w:color w:val="000000"/>
          <w:sz w:val="24"/>
          <w:szCs w:val="24"/>
          <w:lang w:val="bg-BG"/>
        </w:rPr>
      </w:pPr>
    </w:p>
    <w:p w:rsidR="002817B9" w:rsidRDefault="0009162B">
      <w:pPr>
        <w:pStyle w:val="ListParagraph"/>
        <w:numPr>
          <w:ilvl w:val="0"/>
          <w:numId w:val="3"/>
        </w:numPr>
        <w:rPr>
          <w:rFonts w:ascii="Times New Roman" w:hAnsi="Times New Roman"/>
          <w:b/>
          <w:i/>
          <w:noProof/>
          <w:sz w:val="24"/>
          <w:szCs w:val="24"/>
          <w:lang w:val="bg-BG"/>
        </w:rPr>
      </w:pPr>
      <w:r>
        <w:rPr>
          <w:rFonts w:ascii="Times New Roman" w:hAnsi="Times New Roman"/>
          <w:b/>
          <w:i/>
          <w:noProof/>
          <w:sz w:val="24"/>
          <w:lang w:val="bg-BG"/>
        </w:rPr>
        <w:t xml:space="preserve">Законна миграция и интеграция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Законните пътища за миграция са основен елемент от управлението на миграцията в ЕС, пре</w:t>
      </w:r>
      <w:r>
        <w:rPr>
          <w:rFonts w:ascii="Times New Roman" w:hAnsi="Times New Roman"/>
          <w:noProof/>
          <w:color w:val="000000"/>
          <w:sz w:val="24"/>
          <w:lang w:val="bg-BG"/>
        </w:rPr>
        <w:t xml:space="preserve">дставлявайки демотивиращ фактор за използване на незаконни пътища и доказателство за ангажимента на ЕС към истински дългосрочни партньорства. Също така те са от съществено значение, за да може ЕС да отговори на настоящите и бъдещите потребности от умения. </w:t>
      </w:r>
      <w:r>
        <w:rPr>
          <w:rFonts w:ascii="Times New Roman" w:hAnsi="Times New Roman"/>
          <w:noProof/>
          <w:color w:val="000000"/>
          <w:sz w:val="24"/>
          <w:lang w:val="bg-BG"/>
        </w:rPr>
        <w:t>Законната миграция се извършва съгласно добре развита правна рамка на равнището на ЕС относно условията за приемане и процедурите и правата на гражданите на трети държави, като държавите членки отговарят за вземането на решения относно броя на гражданите н</w:t>
      </w:r>
      <w:r>
        <w:rPr>
          <w:rFonts w:ascii="Times New Roman" w:hAnsi="Times New Roman"/>
          <w:noProof/>
          <w:color w:val="000000"/>
          <w:sz w:val="24"/>
          <w:lang w:val="bg-BG"/>
        </w:rPr>
        <w:t>а трети държави, които приемат за икономически цели. Същевременно най-важното предложение в тази област, предложението относно изменението на Директивата за синята карта, понастоящем е в застой. Скоро Комисията ще представи за допълнителни консултации резу</w:t>
      </w:r>
      <w:r>
        <w:rPr>
          <w:rFonts w:ascii="Times New Roman" w:hAnsi="Times New Roman"/>
          <w:noProof/>
          <w:color w:val="000000"/>
          <w:sz w:val="24"/>
          <w:lang w:val="bg-BG"/>
        </w:rPr>
        <w:t xml:space="preserve">лтатите от цялостна оценка („проверка за пригодност“) на регулаторната рамка за законна миграция. </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Междувременно няколко пилотни проекта за трудова миграция са в ход или в процес на подготовка. Те са важен елемент от подготовката на нов подход към законна</w:t>
      </w:r>
      <w:r>
        <w:rPr>
          <w:rFonts w:ascii="Times New Roman" w:hAnsi="Times New Roman"/>
          <w:noProof/>
          <w:color w:val="000000"/>
          <w:sz w:val="24"/>
          <w:lang w:val="bg-BG"/>
        </w:rPr>
        <w:t>та миграция. Посредством подобни пилотни проекти може да се изпробват и въведат нови структури и подходи за по-ефективно управление на законната миграция с ключови държави партньори. Проекти, в които участват Белгия, Литва, Мароко и Нигерия, съчетават дейс</w:t>
      </w:r>
      <w:r>
        <w:rPr>
          <w:rFonts w:ascii="Times New Roman" w:hAnsi="Times New Roman"/>
          <w:noProof/>
          <w:color w:val="000000"/>
          <w:sz w:val="24"/>
          <w:lang w:val="bg-BG"/>
        </w:rPr>
        <w:t>твия за справяне с недостига на квалифицирана работна ръка в сектора на информационните технологии с възможна реинтеграция в края на проекта. В процес на оценяване са други предложения за проекти от Испания и Франция, които си сътрудничат с държави от Севе</w:t>
      </w:r>
      <w:r>
        <w:rPr>
          <w:rFonts w:ascii="Times New Roman" w:hAnsi="Times New Roman"/>
          <w:noProof/>
          <w:color w:val="000000"/>
          <w:sz w:val="24"/>
          <w:lang w:val="bg-BG"/>
        </w:rPr>
        <w:t>рна Африка. Тези конкретни проекти са в допълнение към приетата през декември 2018 г. регионална програма в областта на законната миграция с участието на Германия в схеми за мобилност с избрани държави от Северна Африка.</w:t>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Интеграцията е ключова стъпка в пр</w:t>
      </w:r>
      <w:r>
        <w:rPr>
          <w:rFonts w:ascii="Times New Roman" w:hAnsi="Times New Roman"/>
          <w:noProof/>
          <w:color w:val="000000"/>
          <w:sz w:val="24"/>
          <w:lang w:val="bg-BG"/>
        </w:rPr>
        <w:t>оцеса на миграция и има за цел да се гарантира, че уменията и компетентностите на лицата, които имат право на пребиваване, се използват и развиват в полза на всички, но също така и че се развиват приобщаващи и сплотени общества. Успешното интегриране на за</w:t>
      </w:r>
      <w:r>
        <w:rPr>
          <w:rFonts w:ascii="Times New Roman" w:hAnsi="Times New Roman"/>
          <w:noProof/>
          <w:color w:val="000000"/>
          <w:sz w:val="24"/>
          <w:lang w:val="bg-BG"/>
        </w:rPr>
        <w:t xml:space="preserve">конно пребиваващите граждани на трети държави е от решаващо значение за превръщане на миграцията в успех както от икономическа, така и от социална гледна точка, имайки предвид съществуващите различия между гражданите на трети държави и гражданите на ЕС по </w:t>
      </w:r>
      <w:r>
        <w:rPr>
          <w:rFonts w:ascii="Times New Roman" w:hAnsi="Times New Roman"/>
          <w:noProof/>
          <w:color w:val="000000"/>
          <w:sz w:val="24"/>
          <w:lang w:val="bg-BG"/>
        </w:rPr>
        <w:t>отношение на заетостта, бедността и достъпа до основни услуги като образование и здравно обслужване. Подкрепата за и</w:t>
      </w:r>
      <w:r>
        <w:rPr>
          <w:rFonts w:ascii="Times New Roman" w:hAnsi="Times New Roman"/>
          <w:noProof/>
          <w:sz w:val="24"/>
          <w:lang w:val="bg-BG"/>
        </w:rPr>
        <w:t>нтеграцията на законно пребиваващите граждани на трети държави и лицата с мигрантски произход е централен елемент в предложената многогодишн</w:t>
      </w:r>
      <w:r>
        <w:rPr>
          <w:rFonts w:ascii="Times New Roman" w:hAnsi="Times New Roman"/>
          <w:noProof/>
          <w:sz w:val="24"/>
          <w:lang w:val="bg-BG"/>
        </w:rPr>
        <w:t>а финансова рамка за периода 2021—2027 г.</w:t>
      </w:r>
      <w:r>
        <w:rPr>
          <w:rStyle w:val="FootnoteReference"/>
          <w:rFonts w:ascii="Times New Roman" w:hAnsi="Times New Roman"/>
          <w:noProof/>
          <w:sz w:val="24"/>
          <w:lang w:val="bg-BG"/>
        </w:rPr>
        <w:footnoteReference w:id="46"/>
      </w:r>
      <w:r>
        <w:rPr>
          <w:noProof/>
          <w:lang w:val="bg-BG"/>
        </w:rPr>
        <w:t>.</w:t>
      </w:r>
      <w:r>
        <w:rPr>
          <w:rFonts w:ascii="Times New Roman" w:hAnsi="Times New Roman"/>
          <w:noProof/>
          <w:sz w:val="24"/>
          <w:lang w:val="bg-BG"/>
        </w:rPr>
        <w:t xml:space="preserve"> Действията, които по принцип са съсредоточени върху ранните етапи на интеграция, включват основно езиково обучение, гражданска ориентация и центрове за консултации, предлагащи цялостно обслужване.</w:t>
      </w:r>
      <w:r>
        <w:rPr>
          <w:rStyle w:val="FootnoteReference"/>
          <w:rFonts w:ascii="Times New Roman" w:hAnsi="Times New Roman"/>
          <w:noProof/>
          <w:sz w:val="24"/>
          <w:lang w:val="bg-BG"/>
        </w:rPr>
        <w:footnoteReference w:id="47"/>
      </w:r>
      <w:r>
        <w:rPr>
          <w:rFonts w:ascii="Times New Roman" w:hAnsi="Times New Roman"/>
          <w:noProof/>
          <w:sz w:val="24"/>
          <w:lang w:val="bg-BG"/>
        </w:rPr>
        <w:t xml:space="preserve"> Други видове м</w:t>
      </w:r>
      <w:r>
        <w:rPr>
          <w:rFonts w:ascii="Times New Roman" w:hAnsi="Times New Roman"/>
          <w:noProof/>
          <w:sz w:val="24"/>
          <w:lang w:val="bg-BG"/>
        </w:rPr>
        <w:t>ерки обхващат по-систематичната интеграция на пазара на труда</w:t>
      </w:r>
      <w:r>
        <w:rPr>
          <w:rStyle w:val="FootnoteReference"/>
          <w:rFonts w:ascii="Times New Roman" w:hAnsi="Times New Roman"/>
          <w:noProof/>
          <w:sz w:val="24"/>
          <w:lang w:val="bg-BG"/>
        </w:rPr>
        <w:footnoteReference w:id="48"/>
      </w:r>
      <w:r>
        <w:rPr>
          <w:rFonts w:ascii="Times New Roman" w:hAnsi="Times New Roman"/>
          <w:noProof/>
          <w:sz w:val="24"/>
          <w:lang w:val="bg-BG"/>
        </w:rPr>
        <w:t xml:space="preserve"> и социално приобщаване на гражданите на трети държави и лицата с мигрантски произход.</w:t>
      </w:r>
      <w:r>
        <w:rPr>
          <w:rStyle w:val="FootnoteReference"/>
          <w:rFonts w:ascii="Times New Roman" w:hAnsi="Times New Roman"/>
          <w:noProof/>
          <w:sz w:val="24"/>
          <w:lang w:val="bg-BG"/>
        </w:rPr>
        <w:footnoteReference w:id="49"/>
      </w:r>
    </w:p>
    <w:p w:rsidR="002817B9" w:rsidRDefault="002817B9">
      <w:pPr>
        <w:jc w:val="both"/>
        <w:rPr>
          <w:rFonts w:ascii="Times New Roman" w:hAnsi="Times New Roman"/>
          <w:noProof/>
          <w:color w:val="000000"/>
          <w:sz w:val="24"/>
          <w:szCs w:val="24"/>
          <w:lang w:val="bg-BG"/>
        </w:rPr>
      </w:pPr>
    </w:p>
    <w:p w:rsidR="002817B9" w:rsidRDefault="0009162B">
      <w:pPr>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Друг важен аспект е предотвратяването и противодействието на експлоатацията на труда, която действа и </w:t>
      </w:r>
      <w:r>
        <w:rPr>
          <w:rFonts w:ascii="Times New Roman" w:hAnsi="Times New Roman"/>
          <w:noProof/>
          <w:color w:val="000000"/>
          <w:sz w:val="24"/>
          <w:lang w:val="bg-BG"/>
        </w:rPr>
        <w:t>като притегателен фактор за незаконната миграция. Законодателството на ЕС забранява наемането на работа на незаконно пребиваващи граждани на трети държави, включително на тези, които са подложени на експлоататорски условия на труд, и изисква минимални стан</w:t>
      </w:r>
      <w:r>
        <w:rPr>
          <w:rFonts w:ascii="Times New Roman" w:hAnsi="Times New Roman"/>
          <w:noProof/>
          <w:color w:val="000000"/>
          <w:sz w:val="24"/>
          <w:lang w:val="bg-BG"/>
        </w:rPr>
        <w:t>дарти за предотвратяване, откриване и санкциониране на нарушенията.</w:t>
      </w:r>
    </w:p>
    <w:p w:rsidR="002817B9" w:rsidRDefault="002817B9">
      <w:pPr>
        <w:jc w:val="both"/>
        <w:rPr>
          <w:rFonts w:ascii="Times New Roman" w:hAnsi="Times New Roman"/>
          <w:noProof/>
          <w:color w:val="000000"/>
          <w:sz w:val="24"/>
          <w:szCs w:val="24"/>
          <w:lang w:val="bg-BG"/>
        </w:rPr>
      </w:pPr>
    </w:p>
    <w:tbl>
      <w:tblPr>
        <w:tblStyle w:val="TableGrid"/>
        <w:tblW w:w="0" w:type="auto"/>
        <w:tblLook w:val="04A0" w:firstRow="1" w:lastRow="0" w:firstColumn="1" w:lastColumn="0" w:noHBand="0" w:noVBand="1"/>
      </w:tblPr>
      <w:tblGrid>
        <w:gridCol w:w="9286"/>
      </w:tblGrid>
      <w:tr w:rsidR="002817B9">
        <w:tc>
          <w:tcPr>
            <w:tcW w:w="9286" w:type="dxa"/>
            <w:shd w:val="clear" w:color="auto" w:fill="1F497D" w:themeFill="text2"/>
          </w:tcPr>
          <w:p w:rsidR="002817B9" w:rsidRDefault="0009162B">
            <w:pPr>
              <w:shd w:val="clear" w:color="auto" w:fill="1F497D" w:themeFill="text2"/>
              <w:jc w:val="center"/>
              <w:rPr>
                <w:rFonts w:ascii="Times New Roman" w:hAnsi="Times New Roman"/>
                <w:b/>
                <w:noProof/>
                <w:color w:val="FFFFFF" w:themeColor="background1"/>
                <w:sz w:val="24"/>
                <w:szCs w:val="24"/>
                <w:lang w:val="bg-BG"/>
              </w:rPr>
            </w:pPr>
            <w:r>
              <w:rPr>
                <w:rFonts w:ascii="Times New Roman" w:hAnsi="Times New Roman"/>
                <w:b/>
                <w:noProof/>
                <w:color w:val="FFFFFF" w:themeColor="background1"/>
                <w:sz w:val="24"/>
                <w:lang w:val="bg-BG"/>
              </w:rPr>
              <w:t>Ключови следващи стъпки</w:t>
            </w:r>
          </w:p>
        </w:tc>
      </w:tr>
      <w:tr w:rsidR="002817B9" w:rsidRPr="0009162B">
        <w:tc>
          <w:tcPr>
            <w:tcW w:w="9286" w:type="dxa"/>
            <w:shd w:val="clear" w:color="auto" w:fill="C6D9F1" w:themeFill="text2" w:themeFillTint="33"/>
          </w:tcPr>
          <w:p w:rsidR="002817B9" w:rsidRDefault="0009162B" w:rsidP="0009162B">
            <w:pPr>
              <w:numPr>
                <w:ilvl w:val="0"/>
                <w:numId w:val="9"/>
              </w:numPr>
              <w:ind w:left="360"/>
              <w:contextualSpacing/>
              <w:jc w:val="both"/>
              <w:rPr>
                <w:rFonts w:ascii="Times New Roman" w:hAnsi="Times New Roman"/>
                <w:noProof/>
                <w:sz w:val="24"/>
                <w:szCs w:val="24"/>
                <w:lang w:val="bg-BG"/>
              </w:rPr>
            </w:pPr>
            <w:r>
              <w:rPr>
                <w:rFonts w:ascii="Times New Roman" w:hAnsi="Times New Roman"/>
                <w:noProof/>
                <w:sz w:val="24"/>
                <w:lang w:val="bg-BG"/>
              </w:rPr>
              <w:t>Комисията ще завърши цялостната оценка („</w:t>
            </w:r>
            <w:r>
              <w:rPr>
                <w:rFonts w:ascii="Times New Roman" w:hAnsi="Times New Roman"/>
                <w:b/>
                <w:i/>
                <w:noProof/>
                <w:sz w:val="24"/>
                <w:lang w:val="bg-BG"/>
              </w:rPr>
              <w:t>проверка за пригодност</w:t>
            </w:r>
            <w:r>
              <w:rPr>
                <w:rFonts w:ascii="Times New Roman" w:hAnsi="Times New Roman"/>
                <w:noProof/>
                <w:sz w:val="24"/>
                <w:lang w:val="bg-BG"/>
              </w:rPr>
              <w:t xml:space="preserve">“) на действащата регулаторна рамка на законната миграция и ще започне консултация със </w:t>
            </w:r>
            <w:r>
              <w:rPr>
                <w:rFonts w:ascii="Times New Roman" w:hAnsi="Times New Roman"/>
                <w:noProof/>
                <w:sz w:val="24"/>
                <w:lang w:val="bg-BG"/>
              </w:rPr>
              <w:t>заинтересованите страни относно резултатите от оценката.</w:t>
            </w:r>
          </w:p>
          <w:p w:rsidR="002817B9" w:rsidRDefault="0009162B" w:rsidP="0009162B">
            <w:pPr>
              <w:numPr>
                <w:ilvl w:val="0"/>
                <w:numId w:val="9"/>
              </w:numPr>
              <w:ind w:left="360"/>
              <w:contextualSpacing/>
              <w:jc w:val="both"/>
              <w:rPr>
                <w:rFonts w:ascii="Times New Roman" w:hAnsi="Times New Roman"/>
                <w:noProof/>
                <w:sz w:val="24"/>
                <w:szCs w:val="24"/>
                <w:lang w:val="bg-BG"/>
              </w:rPr>
            </w:pPr>
            <w:r>
              <w:rPr>
                <w:rFonts w:ascii="Times New Roman" w:hAnsi="Times New Roman"/>
                <w:noProof/>
                <w:sz w:val="24"/>
                <w:lang w:val="bg-BG"/>
              </w:rPr>
              <w:t xml:space="preserve">Държавите членки, с подкрепата на ЕС, следва да разширят </w:t>
            </w:r>
            <w:r>
              <w:rPr>
                <w:rFonts w:ascii="Times New Roman" w:hAnsi="Times New Roman"/>
                <w:b/>
                <w:i/>
                <w:noProof/>
                <w:sz w:val="24"/>
                <w:lang w:val="bg-BG"/>
              </w:rPr>
              <w:t>пилотните проекти в областта на законната миграция</w:t>
            </w:r>
            <w:r>
              <w:rPr>
                <w:rFonts w:ascii="Times New Roman" w:hAnsi="Times New Roman"/>
                <w:noProof/>
                <w:sz w:val="24"/>
                <w:lang w:val="bg-BG"/>
              </w:rPr>
              <w:t>, като увеличат подкрепата за нови проекти и създадат полезно взаимодействие между съществув</w:t>
            </w:r>
            <w:r>
              <w:rPr>
                <w:rFonts w:ascii="Times New Roman" w:hAnsi="Times New Roman"/>
                <w:noProof/>
                <w:sz w:val="24"/>
                <w:lang w:val="bg-BG"/>
              </w:rPr>
              <w:t xml:space="preserve">ащите проекти на държавите членки. </w:t>
            </w:r>
          </w:p>
          <w:p w:rsidR="002817B9" w:rsidRDefault="0009162B" w:rsidP="0009162B">
            <w:pPr>
              <w:numPr>
                <w:ilvl w:val="0"/>
                <w:numId w:val="9"/>
              </w:numPr>
              <w:ind w:left="360"/>
              <w:contextualSpacing/>
              <w:jc w:val="both"/>
              <w:rPr>
                <w:rFonts w:ascii="Times New Roman" w:hAnsi="Times New Roman"/>
                <w:noProof/>
                <w:sz w:val="24"/>
                <w:szCs w:val="24"/>
                <w:lang w:val="bg-BG"/>
              </w:rPr>
            </w:pPr>
            <w:r>
              <w:rPr>
                <w:rFonts w:ascii="Times New Roman" w:hAnsi="Times New Roman"/>
                <w:noProof/>
                <w:sz w:val="24"/>
                <w:lang w:val="bg-BG"/>
              </w:rPr>
              <w:t xml:space="preserve">Европейският парламент и Съветът следва да осигурят подкрепа за </w:t>
            </w:r>
            <w:r>
              <w:rPr>
                <w:rFonts w:ascii="Times New Roman" w:hAnsi="Times New Roman"/>
                <w:b/>
                <w:i/>
                <w:noProof/>
                <w:sz w:val="24"/>
                <w:lang w:val="bg-BG"/>
              </w:rPr>
              <w:t>мерките за интеграция в следващата многогодишна финансова рамка</w:t>
            </w:r>
            <w:r>
              <w:rPr>
                <w:rFonts w:ascii="Times New Roman" w:hAnsi="Times New Roman"/>
                <w:noProof/>
                <w:sz w:val="24"/>
                <w:lang w:val="bg-BG"/>
              </w:rPr>
              <w:t xml:space="preserve">. </w:t>
            </w:r>
          </w:p>
          <w:p w:rsidR="0009162B" w:rsidRDefault="0009162B" w:rsidP="0009162B">
            <w:pPr>
              <w:numPr>
                <w:ilvl w:val="0"/>
                <w:numId w:val="9"/>
              </w:numPr>
              <w:ind w:left="360"/>
              <w:contextualSpacing/>
              <w:jc w:val="both"/>
              <w:rPr>
                <w:rFonts w:ascii="Times New Roman" w:eastAsiaTheme="minorHAnsi" w:hAnsi="Times New Roman"/>
                <w:noProof/>
                <w:color w:val="000000"/>
                <w:sz w:val="24"/>
                <w:szCs w:val="24"/>
                <w:lang w:val="bg-BG"/>
              </w:rPr>
            </w:pPr>
            <w:r>
              <w:rPr>
                <w:rFonts w:ascii="Times New Roman" w:hAnsi="Times New Roman"/>
                <w:noProof/>
                <w:sz w:val="24"/>
                <w:lang w:val="bg-BG"/>
              </w:rPr>
              <w:t>ЕС следва да използва новите програми за финансиране като възможност за подобряване на коо</w:t>
            </w:r>
            <w:r>
              <w:rPr>
                <w:rFonts w:ascii="Times New Roman" w:hAnsi="Times New Roman"/>
                <w:noProof/>
                <w:sz w:val="24"/>
                <w:lang w:val="bg-BG"/>
              </w:rPr>
              <w:t xml:space="preserve">рдинацията, съгласуването на уменията с нуждите на пазара и наблюдението на </w:t>
            </w:r>
            <w:r>
              <w:rPr>
                <w:rFonts w:ascii="Times New Roman" w:hAnsi="Times New Roman"/>
                <w:b/>
                <w:i/>
                <w:noProof/>
                <w:sz w:val="24"/>
                <w:lang w:val="bg-BG"/>
              </w:rPr>
              <w:t>мерките за интеграция</w:t>
            </w:r>
            <w:r>
              <w:rPr>
                <w:rFonts w:ascii="Times New Roman" w:hAnsi="Times New Roman"/>
                <w:noProof/>
                <w:sz w:val="24"/>
                <w:lang w:val="bg-BG"/>
              </w:rPr>
              <w:t>, прилагани в отделните държави членки.</w:t>
            </w:r>
            <w:r>
              <w:rPr>
                <w:rFonts w:ascii="Times New Roman" w:eastAsiaTheme="minorHAnsi" w:hAnsi="Times New Roman"/>
                <w:noProof/>
                <w:color w:val="000000"/>
                <w:sz w:val="24"/>
                <w:szCs w:val="24"/>
                <w:lang w:val="bg-BG"/>
              </w:rPr>
              <w:t xml:space="preserve"> </w:t>
            </w:r>
          </w:p>
        </w:tc>
      </w:tr>
    </w:tbl>
    <w:p w:rsidR="0009162B" w:rsidRDefault="0009162B" w:rsidP="0009162B">
      <w:pPr>
        <w:rPr>
          <w:noProof/>
          <w:lang w:val="bg-BG"/>
        </w:rPr>
      </w:pPr>
      <w:r>
        <w:rPr>
          <w:noProof/>
          <w:lang w:val="bg-BG"/>
        </w:rPr>
        <w:br w:type="page"/>
      </w:r>
    </w:p>
    <w:p w:rsidR="0009162B" w:rsidRDefault="0009162B" w:rsidP="0009162B">
      <w:pPr>
        <w:pStyle w:val="ListParagraph"/>
        <w:numPr>
          <w:ilvl w:val="0"/>
          <w:numId w:val="2"/>
        </w:numPr>
        <w:jc w:val="both"/>
        <w:rPr>
          <w:rFonts w:ascii="Times New Roman" w:hAnsi="Times New Roman"/>
          <w:b/>
          <w:noProof/>
          <w:sz w:val="24"/>
          <w:lang w:val="bg-BG"/>
        </w:rPr>
      </w:pPr>
      <w:bookmarkStart w:id="1" w:name="_GoBack"/>
      <w:bookmarkEnd w:id="1"/>
      <w:r>
        <w:rPr>
          <w:rFonts w:ascii="Times New Roman" w:hAnsi="Times New Roman"/>
          <w:b/>
          <w:noProof/>
          <w:sz w:val="24"/>
          <w:lang w:val="bg-BG"/>
        </w:rPr>
        <w:t>ЗАКЛЮЧЕНИЕ</w:t>
      </w:r>
    </w:p>
    <w:p w:rsidR="002817B9" w:rsidRDefault="002817B9">
      <w:pPr>
        <w:jc w:val="both"/>
        <w:rPr>
          <w:rFonts w:ascii="Times New Roman" w:hAnsi="Times New Roman"/>
          <w:noProof/>
          <w:sz w:val="24"/>
          <w:szCs w:val="24"/>
          <w:lang w:val="bg-BG"/>
        </w:rPr>
      </w:pPr>
    </w:p>
    <w:p w:rsidR="002817B9" w:rsidRDefault="0009162B">
      <w:pPr>
        <w:jc w:val="both"/>
        <w:rPr>
          <w:rFonts w:ascii="Times New Roman" w:hAnsi="Times New Roman"/>
          <w:noProof/>
          <w:sz w:val="24"/>
          <w:lang w:val="bg-BG"/>
        </w:rPr>
      </w:pPr>
      <w:r>
        <w:rPr>
          <w:rFonts w:ascii="Times New Roman" w:hAnsi="Times New Roman"/>
          <w:noProof/>
          <w:sz w:val="24"/>
          <w:lang w:val="bg-BG"/>
        </w:rPr>
        <w:t xml:space="preserve">Поради постоянно нарастване на миграционния натиск и риска от нестабилност отвъд границите на ЕС </w:t>
      </w:r>
      <w:r>
        <w:rPr>
          <w:rFonts w:ascii="Times New Roman" w:hAnsi="Times New Roman"/>
          <w:noProof/>
          <w:sz w:val="24"/>
          <w:lang w:val="bg-BG"/>
        </w:rPr>
        <w:t>миграцията ще остане начело на предизвикателствата, пред които е изправен ЕС. Ето защо е от съществено значение ЕС да разполага с инструментите, които ще му бъдат необходими през идните години: силно партньорство с държавите на произход и транзитните държа</w:t>
      </w:r>
      <w:r>
        <w:rPr>
          <w:rFonts w:ascii="Times New Roman" w:hAnsi="Times New Roman"/>
          <w:noProof/>
          <w:sz w:val="24"/>
          <w:lang w:val="bg-BG"/>
        </w:rPr>
        <w:t>ви, необходимите финансови ресурси, както и правна рамка и оперативен капацитет, които отразяват адекватно съчетанието от солидарност и отговорност, което трябва да е в основата на всеобхватния подход на ЕС. Комисията е на мнение, че приемането на предложе</w:t>
      </w:r>
      <w:r>
        <w:rPr>
          <w:rFonts w:ascii="Times New Roman" w:hAnsi="Times New Roman"/>
          <w:noProof/>
          <w:sz w:val="24"/>
          <w:lang w:val="bg-BG"/>
        </w:rPr>
        <w:t>нията ѝ за реформа на общата европейска система за убежище и за усъвършенстване на Европейската агенция за гранична и брегова охрана и осигуряването на достатъчно финансиране в следващата многогодишна финансова рамка — при постоянно поддържане на равнището</w:t>
      </w:r>
      <w:r>
        <w:rPr>
          <w:rFonts w:ascii="Times New Roman" w:hAnsi="Times New Roman"/>
          <w:noProof/>
          <w:sz w:val="24"/>
          <w:lang w:val="bg-BG"/>
        </w:rPr>
        <w:t xml:space="preserve"> на амбиция — са верният път напред, позволяващ на ЕС да се справи с предизвикателствата.</w:t>
      </w:r>
    </w:p>
    <w:p w:rsidR="002817B9" w:rsidRDefault="002817B9">
      <w:pPr>
        <w:jc w:val="both"/>
        <w:rPr>
          <w:rFonts w:ascii="Times New Roman" w:hAnsi="Times New Roman"/>
          <w:noProof/>
          <w:sz w:val="24"/>
          <w:lang w:val="bg-BG"/>
        </w:rPr>
      </w:pPr>
    </w:p>
    <w:p w:rsidR="002817B9" w:rsidRDefault="0009162B">
      <w:pPr>
        <w:pStyle w:val="ListParagraph"/>
        <w:ind w:left="0"/>
        <w:jc w:val="both"/>
        <w:rPr>
          <w:rFonts w:ascii="Times New Roman" w:hAnsi="Times New Roman"/>
          <w:noProof/>
          <w:sz w:val="24"/>
          <w:lang w:val="bg-BG"/>
        </w:rPr>
      </w:pPr>
      <w:r>
        <w:rPr>
          <w:rFonts w:ascii="Times New Roman" w:hAnsi="Times New Roman"/>
          <w:noProof/>
          <w:sz w:val="24"/>
          <w:lang w:val="bg-BG"/>
        </w:rPr>
        <w:t>Абсолютно необходим е всеобхватен подход, включващ действия с партньорите извън ЕС, действия по външните граници и действия в рамките на ЕС. Съществува ясна връзка м</w:t>
      </w:r>
      <w:r>
        <w:rPr>
          <w:rFonts w:ascii="Times New Roman" w:hAnsi="Times New Roman"/>
          <w:noProof/>
          <w:sz w:val="24"/>
          <w:lang w:val="bg-BG"/>
        </w:rPr>
        <w:t>ежду силните политики в областта на миграцията и управлението на границите, от една страна, и и способността ни да запазим ползите от Шенгенското пространство, от друга страна. Понастоящем шест държави от Шенгенското пространство осъществяват граничен конт</w:t>
      </w:r>
      <w:r>
        <w:rPr>
          <w:rFonts w:ascii="Times New Roman" w:hAnsi="Times New Roman"/>
          <w:noProof/>
          <w:sz w:val="24"/>
          <w:lang w:val="bg-BG"/>
        </w:rPr>
        <w:t>рол по вътрешните граници</w:t>
      </w:r>
      <w:r>
        <w:rPr>
          <w:rStyle w:val="FootnoteReference"/>
          <w:rFonts w:ascii="Times New Roman" w:hAnsi="Times New Roman"/>
          <w:noProof/>
          <w:sz w:val="24"/>
          <w:lang w:val="bg-BG"/>
        </w:rPr>
        <w:footnoteReference w:id="50"/>
      </w:r>
      <w:r>
        <w:rPr>
          <w:noProof/>
          <w:lang w:val="bg-BG"/>
        </w:rPr>
        <w:t>.</w:t>
      </w:r>
      <w:r>
        <w:rPr>
          <w:rFonts w:ascii="Times New Roman" w:hAnsi="Times New Roman"/>
          <w:noProof/>
          <w:sz w:val="24"/>
          <w:lang w:val="bg-BG"/>
        </w:rPr>
        <w:t xml:space="preserve"> Комисията изложи начина, по който сигурността може да бъде засилена чрез пропорционални полицейски проверки и полицейско сътрудничество, без да е необходимо осъществяването на граничен контрол, </w:t>
      </w:r>
      <w:r>
        <w:rPr>
          <w:rFonts w:ascii="Times New Roman" w:hAnsi="Times New Roman"/>
          <w:noProof/>
          <w:color w:val="000000"/>
          <w:sz w:val="24"/>
          <w:lang w:val="bg-BG"/>
        </w:rPr>
        <w:t xml:space="preserve">и предложи изменение на правилата </w:t>
      </w:r>
      <w:r>
        <w:rPr>
          <w:rFonts w:ascii="Times New Roman" w:hAnsi="Times New Roman"/>
          <w:noProof/>
          <w:color w:val="000000"/>
          <w:sz w:val="24"/>
          <w:lang w:val="bg-BG"/>
        </w:rPr>
        <w:t>за временното повторно въвеждане на граничен контрол по вътрешните граници</w:t>
      </w:r>
      <w:r>
        <w:rPr>
          <w:rStyle w:val="FootnoteReference"/>
          <w:rFonts w:ascii="Times New Roman" w:hAnsi="Times New Roman"/>
          <w:noProof/>
          <w:sz w:val="24"/>
          <w:lang w:val="bg-BG"/>
        </w:rPr>
        <w:footnoteReference w:id="51"/>
      </w:r>
      <w:r>
        <w:rPr>
          <w:noProof/>
          <w:lang w:val="bg-BG"/>
        </w:rPr>
        <w:t>.</w:t>
      </w:r>
      <w:r>
        <w:rPr>
          <w:rFonts w:ascii="Times New Roman" w:hAnsi="Times New Roman"/>
          <w:noProof/>
          <w:sz w:val="24"/>
          <w:lang w:val="bg-BG"/>
        </w:rPr>
        <w:t xml:space="preserve"> Като се отчитат всички усилия за укрепване на управлението на външните граници и предвид намаляването на броя на пристигащите незаконни мигранти, е време да се направи преглед на </w:t>
      </w:r>
      <w:r>
        <w:rPr>
          <w:rFonts w:ascii="Times New Roman" w:hAnsi="Times New Roman"/>
          <w:noProof/>
          <w:sz w:val="24"/>
          <w:lang w:val="bg-BG"/>
        </w:rPr>
        <w:t xml:space="preserve">положението с цел да се премахне контролът по вътрешните граници и да се възстанови напълно функционирането на Шенгенското пространство. </w:t>
      </w:r>
    </w:p>
    <w:p w:rsidR="002817B9" w:rsidRDefault="002817B9">
      <w:pPr>
        <w:jc w:val="both"/>
        <w:rPr>
          <w:rFonts w:ascii="Times New Roman" w:hAnsi="Times New Roman"/>
          <w:noProof/>
          <w:color w:val="000000"/>
          <w:sz w:val="24"/>
          <w:szCs w:val="24"/>
          <w:lang w:val="bg-BG"/>
        </w:rPr>
      </w:pPr>
    </w:p>
    <w:p w:rsidR="002817B9" w:rsidRDefault="0009162B">
      <w:pPr>
        <w:pStyle w:val="ListParagraph"/>
        <w:ind w:left="0"/>
        <w:jc w:val="both"/>
        <w:rPr>
          <w:rFonts w:ascii="Times New Roman" w:hAnsi="Times New Roman"/>
          <w:noProof/>
          <w:color w:val="000000"/>
          <w:sz w:val="24"/>
          <w:szCs w:val="24"/>
          <w:lang w:val="bg-BG"/>
        </w:rPr>
      </w:pPr>
      <w:r>
        <w:rPr>
          <w:rFonts w:ascii="Times New Roman" w:hAnsi="Times New Roman"/>
          <w:noProof/>
          <w:color w:val="000000"/>
          <w:sz w:val="24"/>
          <w:lang w:val="bg-BG"/>
        </w:rPr>
        <w:t xml:space="preserve">Четирите години, които изтекоха след приемането на Европейската програма за миграцията, показаха, че положението </w:t>
      </w:r>
      <w:r>
        <w:rPr>
          <w:rFonts w:ascii="Times New Roman" w:hAnsi="Times New Roman"/>
          <w:noProof/>
          <w:color w:val="000000"/>
          <w:sz w:val="24"/>
          <w:lang w:val="bg-BG"/>
        </w:rPr>
        <w:t>изисква непрекъснати решителни действия от целия спектър на всеобхватния подход. Поуката е, че единните действия и съвместните усилия на държавите членки и ЕС, в тясно сътрудничество с партньори извън ЕС, дадоха резултати и са единственият начин за постига</w:t>
      </w:r>
      <w:r>
        <w:rPr>
          <w:rFonts w:ascii="Times New Roman" w:hAnsi="Times New Roman"/>
          <w:noProof/>
          <w:color w:val="000000"/>
          <w:sz w:val="24"/>
          <w:lang w:val="bg-BG"/>
        </w:rPr>
        <w:t>не на по-добро управление на миграцията и за гарантиране на това, че ценностите на ЕС остават крайъгълният камък на политиката ни в областта на миграцията. Това е, което гражданите на ЕС очакват от Европейския съюз.</w:t>
      </w:r>
    </w:p>
    <w:p w:rsidR="002817B9" w:rsidRDefault="002817B9">
      <w:pPr>
        <w:jc w:val="both"/>
        <w:rPr>
          <w:rFonts w:ascii="Times New Roman" w:hAnsi="Times New Roman"/>
          <w:noProof/>
          <w:color w:val="000000"/>
          <w:sz w:val="24"/>
          <w:szCs w:val="24"/>
          <w:lang w:val="bg-BG"/>
        </w:rPr>
      </w:pPr>
    </w:p>
    <w:sectPr w:rsidR="002817B9">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B9" w:rsidRDefault="0009162B">
      <w:r>
        <w:separator/>
      </w:r>
    </w:p>
  </w:endnote>
  <w:endnote w:type="continuationSeparator" w:id="0">
    <w:p w:rsidR="002817B9" w:rsidRDefault="0009162B">
      <w:r>
        <w:continuationSeparator/>
      </w:r>
    </w:p>
  </w:endnote>
  <w:endnote w:type="continuationNotice" w:id="1">
    <w:p w:rsidR="002817B9" w:rsidRDefault="00281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09162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144033853"/>
      <w:docPartObj>
        <w:docPartGallery w:val="Page Numbers (Bottom of Page)"/>
        <w:docPartUnique/>
      </w:docPartObj>
    </w:sdtPr>
    <w:sdtEndPr>
      <w:rPr>
        <w:noProof/>
      </w:rPr>
    </w:sdtEndPr>
    <w:sdtContent>
      <w:p w:rsidR="002817B9" w:rsidRDefault="0009162B">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20</w:t>
        </w:r>
        <w:r>
          <w:rPr>
            <w:rFonts w:ascii="Times New Roman" w:hAnsi="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B9" w:rsidRDefault="0009162B">
      <w:r>
        <w:separator/>
      </w:r>
    </w:p>
  </w:footnote>
  <w:footnote w:type="continuationSeparator" w:id="0">
    <w:p w:rsidR="002817B9" w:rsidRDefault="0009162B">
      <w:r>
        <w:continuationSeparator/>
      </w:r>
    </w:p>
  </w:footnote>
  <w:footnote w:type="continuationNotice" w:id="1">
    <w:p w:rsidR="002817B9" w:rsidRDefault="002817B9"/>
  </w:footnote>
  <w:footnote w:id="2">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COM(2015) 240 final, 13.5.2015 г.</w:t>
      </w:r>
    </w:p>
  </w:footnote>
  <w:footnote w:id="3">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В допълнение към помощта в рамките на съществуващите програми на ЕС за развитие.</w:t>
      </w:r>
    </w:p>
  </w:footnote>
  <w:footnote w:id="4">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Държавите членки понастоящем представят своите доклади за изпълнение, обхващащи действията през 2018 г. Много бежанци и законни мигра</w:t>
      </w:r>
      <w:r>
        <w:rPr>
          <w:rFonts w:ascii="Times New Roman" w:hAnsi="Times New Roman"/>
          <w:sz w:val="18"/>
          <w:lang w:val="bg-BG"/>
        </w:rPr>
        <w:t xml:space="preserve">нти са възползваха също така от програмите за интеграция по линия на Европейския социален фонд и Европейския фонд за регионално развитие. </w:t>
      </w:r>
    </w:p>
  </w:footnote>
  <w:footnote w:id="5">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color w:val="000000"/>
          <w:sz w:val="18"/>
          <w:lang w:val="bg-BG"/>
        </w:rPr>
        <w:t>Принудително разселените лица са бежанците и вътрешно разселените лица. Подкрепа се предоставя и на приемащите ги о</w:t>
      </w:r>
      <w:r>
        <w:rPr>
          <w:rFonts w:ascii="Times New Roman" w:hAnsi="Times New Roman"/>
          <w:color w:val="000000"/>
          <w:sz w:val="18"/>
          <w:lang w:val="bg-BG"/>
        </w:rPr>
        <w:t>бщности.</w:t>
      </w:r>
      <w:r>
        <w:rPr>
          <w:rFonts w:ascii="Times New Roman" w:hAnsi="Times New Roman"/>
          <w:sz w:val="18"/>
          <w:lang w:val="bg-BG"/>
        </w:rPr>
        <w:t xml:space="preserve"> Хуманитарната помощ на ЕС се предоставя в съответствие с принципите на хуманност, неутралност, безпристрастност и независимост.</w:t>
      </w:r>
    </w:p>
  </w:footnote>
  <w:footnote w:id="6">
    <w:p w:rsidR="002817B9" w:rsidRDefault="0009162B">
      <w:pPr>
        <w:pStyle w:val="FootnoteText"/>
        <w:ind w:left="284" w:hanging="284"/>
        <w:rPr>
          <w:lang w:val="bg-BG"/>
        </w:rPr>
      </w:pPr>
      <w:r>
        <w:rPr>
          <w:rStyle w:val="FootnoteReference"/>
          <w:rFonts w:ascii="Times New Roman" w:hAnsi="Times New Roman"/>
          <w:sz w:val="18"/>
          <w:lang w:val="bg-BG"/>
        </w:rPr>
        <w:footnoteRef/>
      </w:r>
      <w:r>
        <w:rPr>
          <w:lang w:val="bg-BG"/>
        </w:rPr>
        <w:tab/>
      </w:r>
      <w:r>
        <w:rPr>
          <w:rFonts w:ascii="Times New Roman" w:hAnsi="Times New Roman"/>
          <w:color w:val="000000"/>
          <w:sz w:val="18"/>
          <w:lang w:val="bg-BG"/>
        </w:rPr>
        <w:t>Тази работа включва финансова помощ в размер на 13 милиарда евро непосредствено от бюджета на ЕС, както и действия по</w:t>
      </w:r>
      <w:r>
        <w:rPr>
          <w:rFonts w:ascii="Times New Roman" w:hAnsi="Times New Roman"/>
          <w:color w:val="000000"/>
          <w:sz w:val="18"/>
          <w:lang w:val="bg-BG"/>
        </w:rPr>
        <w:t xml:space="preserve"> линия на доверителните фондове на ЕС и Механизма за бежанците в Турция.</w:t>
      </w:r>
    </w:p>
  </w:footnote>
  <w:footnote w:id="7">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Всички данни са от Европейската агенция за гранична и брегова охрана освен ако е посочено друго.</w:t>
      </w:r>
    </w:p>
  </w:footnote>
  <w:footnote w:id="8">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Данни на испанските органи.</w:t>
      </w:r>
    </w:p>
  </w:footnote>
  <w:footnote w:id="9">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Данни на Агенцията на ООН за бежанците (ВКБООН).</w:t>
      </w:r>
    </w:p>
  </w:footnote>
  <w:footnote w:id="10">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О</w:t>
      </w:r>
      <w:r>
        <w:rPr>
          <w:rFonts w:ascii="Times New Roman" w:hAnsi="Times New Roman"/>
          <w:sz w:val="18"/>
          <w:lang w:val="bg-BG"/>
        </w:rPr>
        <w:t>т 21 март 2016 г. насам 1 836 мигранти са върнати от Гърция в Турция по силата на Изявлението на ЕС и Турция и 601 — по силата на двустранния протокол между Гърция и Турция.</w:t>
      </w:r>
    </w:p>
  </w:footnote>
  <w:footnote w:id="11">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Данни на Международната организация по миграция.</w:t>
      </w:r>
    </w:p>
  </w:footnote>
  <w:footnote w:id="12">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Предварителни данни за 2018 г</w:t>
      </w:r>
      <w:r>
        <w:rPr>
          <w:rFonts w:ascii="Times New Roman" w:hAnsi="Times New Roman"/>
          <w:sz w:val="18"/>
          <w:lang w:val="bg-BG"/>
        </w:rPr>
        <w:t>. на Европейската служба за подкрепа в областта на убежището.</w:t>
      </w:r>
    </w:p>
  </w:footnote>
  <w:footnote w:id="13">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Германия продължи да бъде основната държава на дестинация, въпреки намаляването на молбите с една пета, докато във Франция и Испания се наблюдава значително увеличение.</w:t>
      </w:r>
    </w:p>
  </w:footnote>
  <w:footnote w:id="14">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„Положителен отговор“</w:t>
      </w:r>
      <w:r>
        <w:rPr>
          <w:rFonts w:ascii="Times New Roman" w:hAnsi="Times New Roman"/>
          <w:sz w:val="18"/>
          <w:lang w:val="bg-BG"/>
        </w:rPr>
        <w:t xml:space="preserve"> означава едно или повече съответствия при сравнението между данните за дактилоскопичните отпечатъци, записани в базата данни, и данните, които са предадени от държава членка. Броят на положителните отговори не съответства на броя на лицата.</w:t>
      </w:r>
    </w:p>
  </w:footnote>
  <w:footnote w:id="15">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Държавите, в</w:t>
      </w:r>
      <w:r>
        <w:rPr>
          <w:rFonts w:ascii="Times New Roman" w:hAnsi="Times New Roman"/>
          <w:sz w:val="18"/>
          <w:lang w:val="bg-BG"/>
        </w:rPr>
        <w:t xml:space="preserve"> които е регистриран най-голям брой случаи на незаконно пребиване на лица, търсещи убежище, които преди това са били регистрирани в друга държава членка, бяха основно Белгия и Германия.</w:t>
      </w:r>
    </w:p>
  </w:footnote>
  <w:footnote w:id="16">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rFonts w:ascii="Times New Roman" w:hAnsi="Times New Roman"/>
          <w:sz w:val="18"/>
          <w:lang w:val="bg-BG"/>
        </w:rPr>
        <w:t xml:space="preserve"> </w:t>
      </w:r>
      <w:r>
        <w:rPr>
          <w:lang w:val="bg-BG"/>
        </w:rPr>
        <w:tab/>
      </w:r>
      <w:r>
        <w:rPr>
          <w:rFonts w:ascii="Times New Roman" w:hAnsi="Times New Roman"/>
          <w:sz w:val="18"/>
          <w:lang w:val="bg-BG"/>
        </w:rPr>
        <w:t>В допълнение на това бяха отпуснати 14,5 милиона евро за подобряван</w:t>
      </w:r>
      <w:r>
        <w:rPr>
          <w:rFonts w:ascii="Times New Roman" w:hAnsi="Times New Roman"/>
          <w:sz w:val="18"/>
          <w:lang w:val="bg-BG"/>
        </w:rPr>
        <w:t>е на управлението на миграцията на регионално равнище, насочени към мигрантите, завърналите се лица и мароканците, живеещи в чужбина.</w:t>
      </w:r>
      <w:r>
        <w:rPr>
          <w:rFonts w:ascii="Times New Roman" w:hAnsi="Times New Roman"/>
          <w:color w:val="000000"/>
          <w:sz w:val="18"/>
          <w:lang w:val="bg-BG"/>
        </w:rPr>
        <w:t xml:space="preserve"> Общата стойност на програмите, които понастоящем са в действие, е 232 милиона евро.</w:t>
      </w:r>
    </w:p>
  </w:footnote>
  <w:footnote w:id="17">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Според данни от приложението за докл</w:t>
      </w:r>
      <w:r>
        <w:rPr>
          <w:rFonts w:ascii="Times New Roman" w:hAnsi="Times New Roman"/>
          <w:sz w:val="18"/>
          <w:lang w:val="bg-BG"/>
        </w:rPr>
        <w:t xml:space="preserve">адване на съвместни операции (JORA — Joint Operations Reporting Application) на европейската гранична и брегова охрана през 2018 г. мароканските органи са предотвратили заминаването на почти 15 000 незаконни мигранти от Мароко по море. Мароканските органи </w:t>
      </w:r>
      <w:r>
        <w:rPr>
          <w:rFonts w:ascii="Times New Roman" w:hAnsi="Times New Roman"/>
          <w:sz w:val="18"/>
          <w:lang w:val="bg-BG"/>
        </w:rPr>
        <w:t>провеждат и превантивни действия във вътрешността на страната. Според Министерството на вътрешните работи на Мароко през 2018 г. е предотвратено заминаването на 88 761 мигранти от Мароко.</w:t>
      </w:r>
    </w:p>
  </w:footnote>
  <w:footnote w:id="18">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COM(2015) 7293 final, 20.10.2015 г.</w:t>
      </w:r>
    </w:p>
  </w:footnote>
  <w:footnote w:id="19">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color w:val="000000"/>
          <w:sz w:val="18"/>
          <w:lang w:val="bg-BG"/>
        </w:rPr>
        <w:t xml:space="preserve">Това допълва съществуващите </w:t>
      </w:r>
      <w:r>
        <w:rPr>
          <w:rFonts w:ascii="Times New Roman" w:hAnsi="Times New Roman"/>
          <w:color w:val="000000"/>
          <w:sz w:val="18"/>
          <w:lang w:val="bg-BG"/>
        </w:rPr>
        <w:t>финансирани от ЕС програми в подкрепа на управлението на миграцията, управлението на границите, борбата с трафика на хора и с престъпните мрежи, както и борбата с тероризма.</w:t>
      </w:r>
    </w:p>
  </w:footnote>
  <w:footnote w:id="20">
    <w:p w:rsidR="002817B9" w:rsidRDefault="0009162B">
      <w:pPr>
        <w:pStyle w:val="FootnoteText"/>
        <w:ind w:left="284" w:hanging="284"/>
        <w:jc w:val="both"/>
        <w:rPr>
          <w:sz w:val="18"/>
          <w:szCs w:val="18"/>
          <w:lang w:val="bg-BG"/>
        </w:rPr>
      </w:pPr>
      <w:r>
        <w:rPr>
          <w:rStyle w:val="FootnoteReference"/>
          <w:rFonts w:ascii="Times New Roman" w:hAnsi="Times New Roman"/>
          <w:sz w:val="18"/>
          <w:lang w:val="bg-BG"/>
        </w:rPr>
        <w:footnoteRef/>
      </w:r>
      <w:r>
        <w:rPr>
          <w:sz w:val="18"/>
          <w:lang w:val="bg-BG"/>
        </w:rPr>
        <w:t xml:space="preserve"> </w:t>
      </w:r>
      <w:r>
        <w:rPr>
          <w:lang w:val="bg-BG"/>
        </w:rPr>
        <w:tab/>
      </w:r>
      <w:r>
        <w:rPr>
          <w:rFonts w:ascii="Times New Roman" w:hAnsi="Times New Roman"/>
          <w:sz w:val="18"/>
          <w:lang w:val="bg-BG"/>
        </w:rPr>
        <w:t xml:space="preserve">Този въпрос ще бъде обсъден на следващото заседание на Комитета по Европейския </w:t>
      </w:r>
      <w:r>
        <w:rPr>
          <w:rFonts w:ascii="Times New Roman" w:hAnsi="Times New Roman"/>
          <w:sz w:val="18"/>
          <w:lang w:val="bg-BG"/>
        </w:rPr>
        <w:t>инструмент за съседство през април 2019 г.</w:t>
      </w:r>
    </w:p>
  </w:footnote>
  <w:footnote w:id="21">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Оценка на Агенцията на ООН за бежанците (ВКБООН) и Международната организация по миграция.</w:t>
      </w:r>
    </w:p>
  </w:footnote>
  <w:footnote w:id="22">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С последващо презаселване в Белгия, Канада, Финландия, Франция, Германия, Нидерландия, Норвегия, Швеция, Швейцария, Об</w:t>
      </w:r>
      <w:r>
        <w:rPr>
          <w:rFonts w:ascii="Times New Roman" w:hAnsi="Times New Roman"/>
          <w:sz w:val="18"/>
          <w:lang w:val="bg-BG"/>
        </w:rPr>
        <w:t>единеното кралство и Съединените щати. С допълнително евакуираните от ВКБООН в Италия и Центъра за транзитно преминаване при кризисни ситуации в Румъния броят достига 3 175.</w:t>
      </w:r>
    </w:p>
  </w:footnote>
  <w:footnote w:id="23">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Предоставената наскоро подкрепа включва увеличеното осигуряване на устен превод,</w:t>
      </w:r>
      <w:r>
        <w:rPr>
          <w:rFonts w:ascii="Times New Roman" w:hAnsi="Times New Roman"/>
          <w:sz w:val="18"/>
          <w:lang w:val="bg-BG"/>
        </w:rPr>
        <w:t xml:space="preserve"> повишения капацитет за приемане и разполагането на военни лекари, както и приемането на финансовото планиране за 2019 г. с цел да се осигурят подходящи условия на прием и да се гарантира подкрепата в континенталната част на страната (вж. следващата бележк</w:t>
      </w:r>
      <w:r>
        <w:rPr>
          <w:rFonts w:ascii="Times New Roman" w:hAnsi="Times New Roman"/>
          <w:sz w:val="18"/>
          <w:lang w:val="bg-BG"/>
        </w:rPr>
        <w:t xml:space="preserve">а под линия). </w:t>
      </w:r>
    </w:p>
  </w:footnote>
  <w:footnote w:id="24">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noProof/>
          <w:sz w:val="18"/>
          <w:lang w:val="bg-BG"/>
        </w:rPr>
        <w:t>Последната помощ, предоставена през декември 2018 г., включваше 190 милиона евро в полза на Програмата за спешна подкрепа за интеграцията и жилищната политика (ESTIA), управлявана от Агенцията на ООН за бежанците (ВКБООН), и 61 милиона евр</w:t>
      </w:r>
      <w:r>
        <w:rPr>
          <w:rFonts w:ascii="Times New Roman" w:hAnsi="Times New Roman"/>
          <w:noProof/>
          <w:sz w:val="18"/>
          <w:lang w:val="bg-BG"/>
        </w:rPr>
        <w:t xml:space="preserve">о за продължаването на програмата за подкрепа на място в структури за приемане в континенталната част на страната, реализирана от Международната организация по миграция (МОМ) и Фонда на ООН за децата (УНИЦЕФ). През март 2019 г. дейността на Инструмента за </w:t>
      </w:r>
      <w:r>
        <w:rPr>
          <w:rFonts w:ascii="Times New Roman" w:hAnsi="Times New Roman"/>
          <w:noProof/>
          <w:sz w:val="18"/>
          <w:lang w:val="bg-BG"/>
        </w:rPr>
        <w:t>спешна подкрепа ще приключи. Продължаването на основните проекти в Гърция през 2019 г. се подкрепя от други източници на финансиране от ЕС.</w:t>
      </w:r>
    </w:p>
  </w:footnote>
  <w:footnote w:id="25">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Ключовите групи включват уязвимите лица, включително непридружените малолетни и непълнолетни лица, сирийците и нац</w:t>
      </w:r>
      <w:r>
        <w:rPr>
          <w:rFonts w:ascii="Times New Roman" w:hAnsi="Times New Roman"/>
          <w:sz w:val="18"/>
          <w:lang w:val="bg-BG"/>
        </w:rPr>
        <w:t>ионалностите с нисък среден процент на признаване въз основа на официалните национални статистически данни.</w:t>
      </w:r>
    </w:p>
  </w:footnote>
  <w:footnote w:id="26">
    <w:p w:rsidR="002817B9" w:rsidRDefault="0009162B">
      <w:pPr>
        <w:pStyle w:val="FootnoteText"/>
        <w:ind w:left="284" w:hanging="284"/>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COM(2018) 798 final, 4.12.2018 г.</w:t>
      </w:r>
    </w:p>
  </w:footnote>
  <w:footnote w:id="27">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COM(2016) 385 final, 7.6.2016 г.</w:t>
      </w:r>
    </w:p>
  </w:footnote>
  <w:footnote w:id="28">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color w:val="000000"/>
          <w:sz w:val="18"/>
          <w:lang w:val="bg-BG"/>
        </w:rPr>
        <w:t>Проекти, одобрени от оперативните комитети, на обща стойност от приблизител</w:t>
      </w:r>
      <w:r>
        <w:rPr>
          <w:rFonts w:ascii="Times New Roman" w:hAnsi="Times New Roman"/>
          <w:color w:val="000000"/>
          <w:sz w:val="18"/>
          <w:lang w:val="bg-BG"/>
        </w:rPr>
        <w:t xml:space="preserve">но 3,6 милиарда евро. </w:t>
      </w:r>
      <w:r>
        <w:rPr>
          <w:rFonts w:ascii="Times New Roman" w:hAnsi="Times New Roman"/>
          <w:sz w:val="18"/>
          <w:lang w:val="bg-BG"/>
        </w:rPr>
        <w:t>До момента са сключени 393 договора на обща стойност от 2,6 милиарда евро.</w:t>
      </w:r>
    </w:p>
  </w:footnote>
  <w:footnote w:id="29">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Окончателните суми и разпределението на тези гаранции ще бъдат определени от гаранционни споразумения, които трябва да бъдат подписани от банките за развитие</w:t>
      </w:r>
      <w:r>
        <w:rPr>
          <w:rFonts w:ascii="Times New Roman" w:hAnsi="Times New Roman"/>
          <w:sz w:val="18"/>
          <w:lang w:val="bg-BG"/>
        </w:rPr>
        <w:t xml:space="preserve"> и Европейската комисия. </w:t>
      </w:r>
    </w:p>
  </w:footnote>
  <w:footnote w:id="30">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Документ 15250/18, 6.12.2018 г.</w:t>
      </w:r>
    </w:p>
  </w:footnote>
  <w:footnote w:id="31">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COM(2015) 285 final, 27.5.2015 г.</w:t>
      </w:r>
    </w:p>
  </w:footnote>
  <w:footnote w:id="32">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Те са финансирани по линия на фонд „Убежище, миграция и интеграция“.</w:t>
      </w:r>
    </w:p>
  </w:footnote>
  <w:footnote w:id="33">
    <w:p w:rsidR="002817B9" w:rsidRDefault="0009162B">
      <w:pPr>
        <w:pStyle w:val="FootnoteText"/>
        <w:ind w:left="284" w:hanging="284"/>
        <w:rPr>
          <w:rFonts w:ascii="Times New Roman" w:hAnsi="Times New Roman"/>
          <w:sz w:val="18"/>
          <w:lang w:val="bg-BG"/>
        </w:rPr>
      </w:pPr>
      <w:r>
        <w:rPr>
          <w:rStyle w:val="FootnoteReference"/>
          <w:rFonts w:ascii="Times New Roman" w:hAnsi="Times New Roman"/>
          <w:sz w:val="18"/>
          <w:lang w:val="bg-BG"/>
        </w:rPr>
        <w:footnoteRef/>
      </w:r>
      <w:r>
        <w:rPr>
          <w:rFonts w:ascii="Times New Roman" w:hAnsi="Times New Roman"/>
          <w:sz w:val="18"/>
          <w:lang w:val="bg-BG"/>
        </w:rPr>
        <w:t xml:space="preserve"> </w:t>
      </w:r>
      <w:r>
        <w:rPr>
          <w:lang w:val="bg-BG"/>
        </w:rPr>
        <w:tab/>
      </w:r>
      <w:r>
        <w:rPr>
          <w:rFonts w:ascii="Times New Roman" w:hAnsi="Times New Roman"/>
          <w:sz w:val="18"/>
          <w:lang w:val="bg-BG"/>
        </w:rPr>
        <w:t>Етиопия, Йордания, Ливан, Мали, Мароко, Нигер, Нигерия, Пакистан, Сенегал, Сърбия, Суд</w:t>
      </w:r>
      <w:r>
        <w:rPr>
          <w:rFonts w:ascii="Times New Roman" w:hAnsi="Times New Roman"/>
          <w:sz w:val="18"/>
          <w:lang w:val="bg-BG"/>
        </w:rPr>
        <w:t>ан и Тунис.</w:t>
      </w:r>
    </w:p>
  </w:footnote>
  <w:footnote w:id="34">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COM(2018) 303 final, 16.5.2018 г.</w:t>
      </w:r>
      <w:r>
        <w:rPr>
          <w:lang w:val="bg-BG"/>
        </w:rPr>
        <w:tab/>
      </w:r>
    </w:p>
  </w:footnote>
  <w:footnote w:id="35">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 xml:space="preserve">Те се организират в рамките на цикъла на политиката на ЕС/EMPACT (European multidisciplinary platform against criminal threats — Европейската мултидисциплинарна платформа за борба с криминални заплахи). </w:t>
      </w:r>
    </w:p>
  </w:footnote>
  <w:footnote w:id="36">
    <w:p w:rsidR="002817B9" w:rsidRDefault="0009162B">
      <w:pPr>
        <w:pStyle w:val="FootnoteText"/>
        <w:ind w:left="284" w:hanging="284"/>
        <w:jc w:val="both"/>
        <w:rPr>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COM(2017) 200 и C(2017) 1600</w:t>
      </w:r>
      <w:r>
        <w:rPr>
          <w:rFonts w:ascii="Times New Roman" w:hAnsi="Times New Roman"/>
          <w:color w:val="000000"/>
          <w:sz w:val="18"/>
          <w:lang w:val="bg-BG"/>
        </w:rPr>
        <w:t xml:space="preserve">, основаващ се на </w:t>
      </w:r>
      <w:r>
        <w:rPr>
          <w:rFonts w:ascii="Times New Roman" w:hAnsi="Times New Roman"/>
          <w:sz w:val="18"/>
          <w:lang w:val="bg-BG"/>
        </w:rPr>
        <w:t>COM(2015) 453</w:t>
      </w:r>
      <w:r>
        <w:rPr>
          <w:rFonts w:ascii="Times New Roman" w:hAnsi="Times New Roman"/>
          <w:color w:val="000000"/>
          <w:sz w:val="18"/>
          <w:lang w:val="bg-BG"/>
        </w:rPr>
        <w:t xml:space="preserve">. </w:t>
      </w:r>
    </w:p>
  </w:footnote>
  <w:footnote w:id="37">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Регламент (ЕС) 2018/1861 от 28 ноември 2018 г. за създаването, функционирането и използването на Шенгенската информационна система (ШИС) в областта на граничните проверки, както и Регламент (</w:t>
      </w:r>
      <w:r>
        <w:rPr>
          <w:rFonts w:ascii="Times New Roman" w:hAnsi="Times New Roman"/>
          <w:sz w:val="18"/>
          <w:lang w:val="bg-BG"/>
        </w:rPr>
        <w:t>ЕС) 2018/1860 от 28 ноември 2018 г. за използването на Шенгенската информационна система за целите на връщането на незаконно пребиваващи граждани на трети държави.</w:t>
      </w:r>
    </w:p>
  </w:footnote>
  <w:footnote w:id="38">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Тя ще бъде засилена чрез новото предложение относно Европейската гранична и брегова охрана</w:t>
      </w:r>
      <w:r>
        <w:rPr>
          <w:rFonts w:ascii="Times New Roman" w:hAnsi="Times New Roman"/>
          <w:sz w:val="18"/>
          <w:lang w:val="bg-BG"/>
        </w:rPr>
        <w:t xml:space="preserve"> (COM (2018) 631 final, 12.9.2018 г.).</w:t>
      </w:r>
    </w:p>
  </w:footnote>
  <w:footnote w:id="39">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COM(2018) 634 final, 9.12.2018 г.</w:t>
      </w:r>
    </w:p>
  </w:footnote>
  <w:footnote w:id="40">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 xml:space="preserve">Забрана за връщане означава, че дадено лице не може да бъде върнато в държава, в която това лице има основание да се опасява от преследване. </w:t>
      </w:r>
    </w:p>
  </w:footnote>
  <w:footnote w:id="41">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 xml:space="preserve">Източник: Европейската агенция за </w:t>
      </w:r>
      <w:r>
        <w:rPr>
          <w:rFonts w:ascii="Times New Roman" w:hAnsi="Times New Roman"/>
          <w:sz w:val="18"/>
          <w:lang w:val="bg-BG"/>
        </w:rPr>
        <w:t>гранична и брегова охрана и операция Sophia.</w:t>
      </w:r>
    </w:p>
  </w:footnote>
  <w:footnote w:id="42">
    <w:p w:rsidR="002817B9" w:rsidRDefault="0009162B">
      <w:pPr>
        <w:pStyle w:val="FootnoteText"/>
        <w:ind w:left="284" w:hanging="284"/>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sz w:val="18"/>
          <w:lang w:val="bg-BG"/>
        </w:rPr>
        <w:t>COM(2018) 798 final, 4.12.2018 г.</w:t>
      </w:r>
    </w:p>
  </w:footnote>
  <w:footnote w:id="43">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Съгласно Програмата за обвързано с условия предоставяне на парични обезщетения за образование (CCTE).</w:t>
      </w:r>
    </w:p>
  </w:footnote>
  <w:footnote w:id="44">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cs="Times New Roman"/>
          <w:sz w:val="18"/>
          <w:szCs w:val="18"/>
          <w:lang w:val="bg-BG"/>
        </w:rPr>
        <w:t>Б</w:t>
      </w:r>
      <w:r>
        <w:rPr>
          <w:rFonts w:ascii="Times New Roman" w:hAnsi="Times New Roman" w:cs="Times New Roman"/>
          <w:color w:val="000000"/>
          <w:sz w:val="18"/>
          <w:szCs w:val="18"/>
          <w:lang w:val="bg-BG"/>
        </w:rPr>
        <w:t>юджетът на доверителния фонд достигна размер от 1,6 милиарда евро до</w:t>
      </w:r>
      <w:r>
        <w:rPr>
          <w:rFonts w:ascii="Times New Roman" w:hAnsi="Times New Roman" w:cs="Times New Roman"/>
          <w:color w:val="000000"/>
          <w:sz w:val="18"/>
          <w:szCs w:val="18"/>
          <w:lang w:val="bg-BG"/>
        </w:rPr>
        <w:t xml:space="preserve"> края на 2018 г., а подкрепата за него идва от 22 държави членки, Турция и бюджета на ЕС. За 94 % от него са поети ангажименти, за 74 % са сключени договори, а 690 милиарда евро са изплатени. </w:t>
      </w:r>
      <w:r>
        <w:rPr>
          <w:rFonts w:ascii="Times New Roman" w:hAnsi="Times New Roman" w:cs="Times New Roman"/>
          <w:sz w:val="18"/>
          <w:szCs w:val="18"/>
          <w:lang w:val="bg-BG"/>
        </w:rPr>
        <w:t>В стратегическа средносрочна оценка бе препоръчано срокът на дей</w:t>
      </w:r>
      <w:r>
        <w:rPr>
          <w:rFonts w:ascii="Times New Roman" w:hAnsi="Times New Roman" w:cs="Times New Roman"/>
          <w:sz w:val="18"/>
          <w:szCs w:val="18"/>
          <w:lang w:val="bg-BG"/>
        </w:rPr>
        <w:t xml:space="preserve">ствие на Доверителния фонд на ЕС </w:t>
      </w:r>
      <w:r>
        <w:rPr>
          <w:rFonts w:ascii="Times New Roman" w:hAnsi="Times New Roman" w:cs="Times New Roman"/>
          <w:color w:val="000000"/>
          <w:sz w:val="18"/>
          <w:szCs w:val="18"/>
          <w:lang w:val="bg-BG"/>
        </w:rPr>
        <w:t xml:space="preserve"> да бъде удължен след неговото изтичане през декември 2019 г.</w:t>
      </w:r>
    </w:p>
  </w:footnote>
  <w:footnote w:id="45">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 xml:space="preserve">Финансирани по линия на </w:t>
      </w:r>
      <w:r>
        <w:rPr>
          <w:rFonts w:ascii="Times New Roman" w:hAnsi="Times New Roman"/>
          <w:color w:val="000000"/>
          <w:sz w:val="18"/>
          <w:lang w:val="bg-BG"/>
        </w:rPr>
        <w:t xml:space="preserve">фонд „Убежище, миграция и интеграция“. От 2015 г. насам около 37 милиона евро бяха предоставени за проекти, съсредоточени върху </w:t>
      </w:r>
      <w:r>
        <w:rPr>
          <w:rFonts w:ascii="Times New Roman" w:hAnsi="Times New Roman"/>
          <w:color w:val="000000"/>
          <w:sz w:val="18"/>
          <w:lang w:val="bg-BG"/>
        </w:rPr>
        <w:t>закрилата в Северна Африка, а 27,5 милиона евро — за проекти в региона на Африканския рог.</w:t>
      </w:r>
      <w:r>
        <w:rPr>
          <w:rFonts w:ascii="Times New Roman" w:hAnsi="Times New Roman"/>
          <w:color w:val="000000"/>
          <w:sz w:val="24"/>
          <w:lang w:val="bg-BG"/>
        </w:rPr>
        <w:t xml:space="preserve"> </w:t>
      </w:r>
    </w:p>
  </w:footnote>
  <w:footnote w:id="46">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С предложението на Комисията се въвеждат общи разпоредби за седем фонда, което следва да гарантира повишено полезно взаимодействие и оттам по-голяма ефективност н</w:t>
      </w:r>
      <w:r>
        <w:rPr>
          <w:rFonts w:ascii="Times New Roman" w:hAnsi="Times New Roman"/>
          <w:sz w:val="18"/>
          <w:lang w:val="bg-BG"/>
        </w:rPr>
        <w:t>а действията за интеграцията на законно пребиваващите граждани на трети държави и лицата с мигрантски произход.</w:t>
      </w:r>
    </w:p>
  </w:footnote>
  <w:footnote w:id="47">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Основно по линия на фонд „Убежище и миграция“. Други действия включват подпомагане в области като жилищното настаняване и здравеопазването, ка</w:t>
      </w:r>
      <w:r>
        <w:rPr>
          <w:rFonts w:ascii="Times New Roman" w:hAnsi="Times New Roman"/>
          <w:sz w:val="18"/>
          <w:lang w:val="bg-BG"/>
        </w:rPr>
        <w:t>кто и дейности за насърчаване на взаимодействието с приемащите общества.</w:t>
      </w:r>
    </w:p>
  </w:footnote>
  <w:footnote w:id="48">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Те включват езиково обучение в процеса на работа, професионално образование и програми за обучение, действия за подкрепа на самостоятелната заетост, насърчаване на участието на жени</w:t>
      </w:r>
      <w:r>
        <w:rPr>
          <w:rFonts w:ascii="Times New Roman" w:hAnsi="Times New Roman"/>
          <w:sz w:val="18"/>
          <w:lang w:val="bg-BG"/>
        </w:rPr>
        <w:t>те на пазара на труда, социално приобщаване и др. съгласно специфичните цели, определени в предложението за регламент относно Европейския социален фонд+.</w:t>
      </w:r>
    </w:p>
  </w:footnote>
  <w:footnote w:id="49">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По-специално чрез предложеното заделяне на 25 % за социално приобщаване по линия на Европейския соци</w:t>
      </w:r>
      <w:r>
        <w:rPr>
          <w:rFonts w:ascii="Times New Roman" w:hAnsi="Times New Roman"/>
          <w:sz w:val="18"/>
          <w:lang w:val="bg-BG"/>
        </w:rPr>
        <w:t>ален фонд +. Европейският фонд за регионално развитие може също да предоставя подкрепа за инвестиции в нови структури за приемане и социални жилища, както и за възстановяването на необлагодетелствани градски и селски райони.</w:t>
      </w:r>
    </w:p>
  </w:footnote>
  <w:footnote w:id="50">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Австрия, Германия, Дания, Шве</w:t>
      </w:r>
      <w:r>
        <w:rPr>
          <w:rFonts w:ascii="Times New Roman" w:hAnsi="Times New Roman"/>
          <w:sz w:val="18"/>
          <w:lang w:val="bg-BG"/>
        </w:rPr>
        <w:t xml:space="preserve">ция и Норвегия — по съображения, свързани с миграционната криза и вторичните движения; Франция — най-вече по съображения, свързани с терористичните заплахи. </w:t>
      </w:r>
    </w:p>
  </w:footnote>
  <w:footnote w:id="51">
    <w:p w:rsidR="002817B9" w:rsidRDefault="0009162B">
      <w:pPr>
        <w:pStyle w:val="FootnoteText"/>
        <w:ind w:left="284" w:hanging="284"/>
        <w:jc w:val="both"/>
        <w:rPr>
          <w:rFonts w:ascii="Times New Roman" w:hAnsi="Times New Roman" w:cs="Times New Roman"/>
          <w:sz w:val="18"/>
          <w:szCs w:val="18"/>
          <w:lang w:val="bg-BG"/>
        </w:rPr>
      </w:pPr>
      <w:r>
        <w:rPr>
          <w:rStyle w:val="FootnoteReference"/>
          <w:rFonts w:ascii="Times New Roman" w:hAnsi="Times New Roman"/>
          <w:sz w:val="18"/>
          <w:lang w:val="bg-BG"/>
        </w:rPr>
        <w:footnoteRef/>
      </w:r>
      <w:r>
        <w:rPr>
          <w:lang w:val="bg-BG"/>
        </w:rPr>
        <w:tab/>
      </w:r>
      <w:r>
        <w:rPr>
          <w:rFonts w:ascii="Times New Roman" w:hAnsi="Times New Roman"/>
          <w:sz w:val="18"/>
          <w:lang w:val="bg-BG"/>
        </w:rPr>
        <w:t>C(2017) 3349 final, 12.5.2017 г. и C(2017) 6560 final, 27.9.2017 г., както и COM(2017) 571 final</w:t>
      </w:r>
      <w:r>
        <w:rPr>
          <w:rFonts w:ascii="Times New Roman" w:hAnsi="Times New Roman"/>
          <w:sz w:val="18"/>
          <w:lang w:val="bg-BG"/>
        </w:rPr>
        <w:t>, 27.9.2017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Header"/>
      <w:jc w:val="right"/>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B9" w:rsidRDefault="00281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931"/>
    <w:multiLevelType w:val="hybridMultilevel"/>
    <w:tmpl w:val="723AA55E"/>
    <w:lvl w:ilvl="0" w:tplc="71D0C3A8">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CDF52C3"/>
    <w:multiLevelType w:val="hybridMultilevel"/>
    <w:tmpl w:val="3C5613BA"/>
    <w:lvl w:ilvl="0" w:tplc="0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185B6E"/>
    <w:multiLevelType w:val="hybridMultilevel"/>
    <w:tmpl w:val="9746070E"/>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318C75F2"/>
    <w:multiLevelType w:val="hybridMultilevel"/>
    <w:tmpl w:val="7C2AEBFC"/>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93A07"/>
    <w:multiLevelType w:val="hybridMultilevel"/>
    <w:tmpl w:val="A85E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D018D"/>
    <w:multiLevelType w:val="hybridMultilevel"/>
    <w:tmpl w:val="4240E5B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7452F8"/>
    <w:multiLevelType w:val="hybridMultilevel"/>
    <w:tmpl w:val="79C29E54"/>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628DC"/>
    <w:multiLevelType w:val="hybridMultilevel"/>
    <w:tmpl w:val="7B445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7031DDD"/>
    <w:multiLevelType w:val="hybridMultilevel"/>
    <w:tmpl w:val="C630B036"/>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3A12E4"/>
    <w:multiLevelType w:val="hybridMultilevel"/>
    <w:tmpl w:val="E3D611A4"/>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0"/>
  </w:num>
  <w:num w:numId="6">
    <w:abstractNumId w:val="8"/>
  </w:num>
  <w:num w:numId="7">
    <w:abstractNumId w:val="9"/>
  </w:num>
  <w:num w:numId="8">
    <w:abstractNumId w:val="3"/>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848F68-3B29-40A6-AE70-2A8C5F5C050A"/>
    <w:docVar w:name="LW_COVERPAGE_TYPE" w:val="1"/>
    <w:docVar w:name="LW_CROSSREFERENCE" w:val="&lt;UNUSED&gt;"/>
    <w:docVar w:name="LW_DocType" w:val="NORMAL"/>
    <w:docVar w:name="LW_EMISSION" w:val="6.3.2019"/>
    <w:docVar w:name="LW_EMISSION_ISODATE" w:val="2019-03-06"/>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86?\u1082?\u1083?\u1072?\u1076? \u1079?\u1072? \u1085?\u1072?\u1087?\u1088?\u1077?\u1076?\u1098?\u1082?\u1072? \u1087?\u1086? \u1080?\u1079?\u1087?\u1098?\u1083?\u1085?\u1077?\u1085?\u1080?\u1077?\u1090?\u1086? \u1085?\u1072? \u1045?\u1074?\u1088?\u1086?\u1087?\u1077?\u1081?\u1089?\u1082?\u1072?\u1090?\u1072? \u1087?\u1088?\u1086?\u1075?\u1088?\u1072?\u1084?\u1072? \u1079?\u1072? \u1084?\u1080?\u1075?\u1088?\u1072?\u1094?\u1080?\u1103?\u1090?\u1072?&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w:rsids>
    <w:rsidRoot w:val="002817B9"/>
    <w:rsid w:val="0009162B"/>
    <w:rsid w:val="002817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5C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tabs>
        <w:tab w:val="num" w:pos="480"/>
      </w:tabs>
      <w:spacing w:before="240" w:after="240"/>
      <w:ind w:left="480" w:hanging="48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rFonts w:ascii="Times New Roman" w:hAnsi="Times New Roman"/>
      <w:b/>
      <w:sz w:val="24"/>
      <w:szCs w:val="20"/>
    </w:rPr>
  </w:style>
  <w:style w:type="paragraph" w:styleId="Heading3">
    <w:name w:val="heading 3"/>
    <w:basedOn w:val="Normal"/>
    <w:next w:val="Normal"/>
    <w:link w:val="Heading3Char"/>
    <w:qFormat/>
    <w:pPr>
      <w:keepNext/>
      <w:tabs>
        <w:tab w:val="num" w:pos="1920"/>
      </w:tabs>
      <w:spacing w:after="240"/>
      <w:ind w:left="1920" w:hanging="720"/>
      <w:jc w:val="both"/>
      <w:outlineLvl w:val="2"/>
    </w:pPr>
    <w:rPr>
      <w:rFonts w:ascii="Times New Roman" w:hAnsi="Times New Roman"/>
      <w:i/>
      <w:sz w:val="24"/>
      <w:szCs w:val="20"/>
    </w:rPr>
  </w:style>
  <w:style w:type="paragraph" w:styleId="Heading4">
    <w:name w:val="heading 4"/>
    <w:basedOn w:val="Normal"/>
    <w:next w:val="Normal"/>
    <w:link w:val="Heading4Char"/>
    <w:qFormat/>
    <w:pPr>
      <w:keepNext/>
      <w:tabs>
        <w:tab w:val="num" w:pos="1920"/>
      </w:tabs>
      <w:spacing w:after="240"/>
      <w:ind w:left="1920" w:hanging="720"/>
      <w:jc w:val="both"/>
      <w:outlineLvl w:val="3"/>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Ref"/>
    <w:basedOn w:val="DefaultParagraphFont"/>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table" w:customStyle="1" w:styleId="Calendar2">
    <w:name w:val="Calendar 2"/>
    <w:basedOn w:val="TableNormal"/>
    <w:uiPriority w:val="99"/>
    <w:qFormat/>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ISAAHeading3">
    <w:name w:val="ISAA_Heading_3"/>
    <w:basedOn w:val="Heading2"/>
    <w:next w:val="ISAANormal"/>
    <w:autoRedefine/>
    <w:qFormat/>
    <w:pPr>
      <w:tabs>
        <w:tab w:val="clear" w:pos="1200"/>
      </w:tabs>
      <w:spacing w:before="120" w:after="120"/>
      <w:ind w:left="1985" w:hanging="1985"/>
      <w:jc w:val="left"/>
    </w:pPr>
    <w:rPr>
      <w:rFonts w:ascii="EC Square Sans Pro" w:hAnsi="EC Square Sans Pro"/>
      <w:i/>
      <w:noProof/>
      <w:sz w:val="20"/>
    </w:rPr>
  </w:style>
  <w:style w:type="paragraph" w:customStyle="1" w:styleId="Text1">
    <w:name w:val="Text 1"/>
    <w:basedOn w:val="Normal"/>
    <w:pPr>
      <w:spacing w:after="240"/>
      <w:ind w:left="482"/>
      <w:jc w:val="both"/>
    </w:pPr>
    <w:rPr>
      <w:rFonts w:ascii="Times New Roman" w:hAnsi="Times New Roman"/>
      <w:sz w:val="24"/>
      <w:szCs w:val="20"/>
    </w:rPr>
  </w:style>
  <w:style w:type="paragraph" w:styleId="ListBullet">
    <w:name w:val="List Bullet"/>
    <w:basedOn w:val="Normal"/>
    <w:uiPriority w:val="99"/>
    <w:unhideWhenUsed/>
    <w:pPr>
      <w:ind w:left="283" w:hanging="283"/>
    </w:pPr>
    <w:rPr>
      <w:rFonts w:ascii="Times New Roman" w:eastAsiaTheme="minorHAnsi" w:hAnsi="Times New Roman"/>
      <w:sz w:val="24"/>
      <w:szCs w:val="24"/>
      <w:lang w:eastAsia="en-GB"/>
    </w:rPr>
  </w:style>
  <w:style w:type="paragraph" w:customStyle="1" w:styleId="Briefingtext">
    <w:name w:val="Briefing text"/>
    <w:basedOn w:val="Normal"/>
    <w:link w:val="BriefingtextChar"/>
    <w:qFormat/>
    <w:pPr>
      <w:spacing w:after="240"/>
      <w:jc w:val="both"/>
    </w:pPr>
    <w:rPr>
      <w:rFonts w:ascii="Arial"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Corpsdutexte3NonGras">
    <w:name w:val="Corps du texte (3) + Non Gras"/>
    <w:uiPriority w:val="99"/>
    <w:rPr>
      <w:b w:val="0"/>
      <w:bCs w:val="0"/>
      <w:sz w:val="30"/>
      <w:szCs w:val="30"/>
      <w:shd w:val="clear" w:color="auto" w:fill="FFFFFF"/>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semiHidden/>
    <w:unhideWhenUsed/>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98069596">
      <w:bodyDiv w:val="1"/>
      <w:marLeft w:val="0"/>
      <w:marRight w:val="0"/>
      <w:marTop w:val="0"/>
      <w:marBottom w:val="0"/>
      <w:divBdr>
        <w:top w:val="none" w:sz="0" w:space="0" w:color="auto"/>
        <w:left w:val="none" w:sz="0" w:space="0" w:color="auto"/>
        <w:bottom w:val="none" w:sz="0" w:space="0" w:color="auto"/>
        <w:right w:val="none" w:sz="0" w:space="0" w:color="auto"/>
      </w:divBdr>
    </w:div>
    <w:div w:id="102187951">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6425927">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392120320">
      <w:bodyDiv w:val="1"/>
      <w:marLeft w:val="0"/>
      <w:marRight w:val="0"/>
      <w:marTop w:val="0"/>
      <w:marBottom w:val="0"/>
      <w:divBdr>
        <w:top w:val="none" w:sz="0" w:space="0" w:color="auto"/>
        <w:left w:val="none" w:sz="0" w:space="0" w:color="auto"/>
        <w:bottom w:val="none" w:sz="0" w:space="0" w:color="auto"/>
        <w:right w:val="none" w:sz="0" w:space="0" w:color="auto"/>
      </w:divBdr>
    </w:div>
    <w:div w:id="464275734">
      <w:bodyDiv w:val="1"/>
      <w:marLeft w:val="0"/>
      <w:marRight w:val="0"/>
      <w:marTop w:val="0"/>
      <w:marBottom w:val="0"/>
      <w:divBdr>
        <w:top w:val="none" w:sz="0" w:space="0" w:color="auto"/>
        <w:left w:val="none" w:sz="0" w:space="0" w:color="auto"/>
        <w:bottom w:val="none" w:sz="0" w:space="0" w:color="auto"/>
        <w:right w:val="none" w:sz="0" w:space="0" w:color="auto"/>
      </w:divBdr>
    </w:div>
    <w:div w:id="494226678">
      <w:bodyDiv w:val="1"/>
      <w:marLeft w:val="0"/>
      <w:marRight w:val="0"/>
      <w:marTop w:val="0"/>
      <w:marBottom w:val="0"/>
      <w:divBdr>
        <w:top w:val="none" w:sz="0" w:space="0" w:color="auto"/>
        <w:left w:val="none" w:sz="0" w:space="0" w:color="auto"/>
        <w:bottom w:val="none" w:sz="0" w:space="0" w:color="auto"/>
        <w:right w:val="none" w:sz="0" w:space="0" w:color="auto"/>
      </w:divBdr>
    </w:div>
    <w:div w:id="575624733">
      <w:bodyDiv w:val="1"/>
      <w:marLeft w:val="0"/>
      <w:marRight w:val="0"/>
      <w:marTop w:val="0"/>
      <w:marBottom w:val="0"/>
      <w:divBdr>
        <w:top w:val="none" w:sz="0" w:space="0" w:color="auto"/>
        <w:left w:val="none" w:sz="0" w:space="0" w:color="auto"/>
        <w:bottom w:val="none" w:sz="0" w:space="0" w:color="auto"/>
        <w:right w:val="none" w:sz="0" w:space="0" w:color="auto"/>
      </w:divBdr>
    </w:div>
    <w:div w:id="586882702">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5017">
      <w:bodyDiv w:val="1"/>
      <w:marLeft w:val="0"/>
      <w:marRight w:val="0"/>
      <w:marTop w:val="0"/>
      <w:marBottom w:val="0"/>
      <w:divBdr>
        <w:top w:val="none" w:sz="0" w:space="0" w:color="auto"/>
        <w:left w:val="none" w:sz="0" w:space="0" w:color="auto"/>
        <w:bottom w:val="none" w:sz="0" w:space="0" w:color="auto"/>
        <w:right w:val="none" w:sz="0" w:space="0" w:color="auto"/>
      </w:divBdr>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747578275">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981808517">
      <w:bodyDiv w:val="1"/>
      <w:marLeft w:val="0"/>
      <w:marRight w:val="0"/>
      <w:marTop w:val="0"/>
      <w:marBottom w:val="0"/>
      <w:divBdr>
        <w:top w:val="none" w:sz="0" w:space="0" w:color="auto"/>
        <w:left w:val="none" w:sz="0" w:space="0" w:color="auto"/>
        <w:bottom w:val="none" w:sz="0" w:space="0" w:color="auto"/>
        <w:right w:val="none" w:sz="0" w:space="0" w:color="auto"/>
      </w:divBdr>
    </w:div>
    <w:div w:id="985934808">
      <w:bodyDiv w:val="1"/>
      <w:marLeft w:val="0"/>
      <w:marRight w:val="0"/>
      <w:marTop w:val="0"/>
      <w:marBottom w:val="0"/>
      <w:divBdr>
        <w:top w:val="none" w:sz="0" w:space="0" w:color="auto"/>
        <w:left w:val="none" w:sz="0" w:space="0" w:color="auto"/>
        <w:bottom w:val="none" w:sz="0" w:space="0" w:color="auto"/>
        <w:right w:val="none" w:sz="0" w:space="0" w:color="auto"/>
      </w:divBdr>
    </w:div>
    <w:div w:id="991711273">
      <w:bodyDiv w:val="1"/>
      <w:marLeft w:val="0"/>
      <w:marRight w:val="0"/>
      <w:marTop w:val="0"/>
      <w:marBottom w:val="0"/>
      <w:divBdr>
        <w:top w:val="none" w:sz="0" w:space="0" w:color="auto"/>
        <w:left w:val="none" w:sz="0" w:space="0" w:color="auto"/>
        <w:bottom w:val="none" w:sz="0" w:space="0" w:color="auto"/>
        <w:right w:val="none" w:sz="0" w:space="0" w:color="auto"/>
      </w:divBdr>
    </w:div>
    <w:div w:id="1064721757">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01801491">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471098388">
      <w:bodyDiv w:val="1"/>
      <w:marLeft w:val="0"/>
      <w:marRight w:val="0"/>
      <w:marTop w:val="0"/>
      <w:marBottom w:val="0"/>
      <w:divBdr>
        <w:top w:val="none" w:sz="0" w:space="0" w:color="auto"/>
        <w:left w:val="none" w:sz="0" w:space="0" w:color="auto"/>
        <w:bottom w:val="none" w:sz="0" w:space="0" w:color="auto"/>
        <w:right w:val="none" w:sz="0" w:space="0" w:color="auto"/>
      </w:divBdr>
    </w:div>
    <w:div w:id="1522428672">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556890650">
      <w:bodyDiv w:val="1"/>
      <w:marLeft w:val="0"/>
      <w:marRight w:val="0"/>
      <w:marTop w:val="0"/>
      <w:marBottom w:val="0"/>
      <w:divBdr>
        <w:top w:val="none" w:sz="0" w:space="0" w:color="auto"/>
        <w:left w:val="none" w:sz="0" w:space="0" w:color="auto"/>
        <w:bottom w:val="none" w:sz="0" w:space="0" w:color="auto"/>
        <w:right w:val="none" w:sz="0" w:space="0" w:color="auto"/>
      </w:divBdr>
    </w:div>
    <w:div w:id="1622228930">
      <w:bodyDiv w:val="1"/>
      <w:marLeft w:val="0"/>
      <w:marRight w:val="0"/>
      <w:marTop w:val="0"/>
      <w:marBottom w:val="0"/>
      <w:divBdr>
        <w:top w:val="none" w:sz="0" w:space="0" w:color="auto"/>
        <w:left w:val="none" w:sz="0" w:space="0" w:color="auto"/>
        <w:bottom w:val="none" w:sz="0" w:space="0" w:color="auto"/>
        <w:right w:val="none" w:sz="0" w:space="0" w:color="auto"/>
      </w:divBdr>
    </w:div>
    <w:div w:id="1633486310">
      <w:bodyDiv w:val="1"/>
      <w:marLeft w:val="0"/>
      <w:marRight w:val="0"/>
      <w:marTop w:val="0"/>
      <w:marBottom w:val="0"/>
      <w:divBdr>
        <w:top w:val="none" w:sz="0" w:space="0" w:color="auto"/>
        <w:left w:val="none" w:sz="0" w:space="0" w:color="auto"/>
        <w:bottom w:val="none" w:sz="0" w:space="0" w:color="auto"/>
        <w:right w:val="none" w:sz="0" w:space="0" w:color="auto"/>
      </w:divBdr>
    </w:div>
    <w:div w:id="1657227854">
      <w:bodyDiv w:val="1"/>
      <w:marLeft w:val="0"/>
      <w:marRight w:val="0"/>
      <w:marTop w:val="0"/>
      <w:marBottom w:val="0"/>
      <w:divBdr>
        <w:top w:val="none" w:sz="0" w:space="0" w:color="auto"/>
        <w:left w:val="none" w:sz="0" w:space="0" w:color="auto"/>
        <w:bottom w:val="none" w:sz="0" w:space="0" w:color="auto"/>
        <w:right w:val="none" w:sz="0" w:space="0" w:color="auto"/>
      </w:divBdr>
    </w:div>
    <w:div w:id="1669167390">
      <w:bodyDiv w:val="1"/>
      <w:marLeft w:val="0"/>
      <w:marRight w:val="0"/>
      <w:marTop w:val="0"/>
      <w:marBottom w:val="0"/>
      <w:divBdr>
        <w:top w:val="none" w:sz="0" w:space="0" w:color="auto"/>
        <w:left w:val="none" w:sz="0" w:space="0" w:color="auto"/>
        <w:bottom w:val="none" w:sz="0" w:space="0" w:color="auto"/>
        <w:right w:val="none" w:sz="0" w:space="0" w:color="auto"/>
      </w:divBdr>
      <w:divsChild>
        <w:div w:id="335573264">
          <w:marLeft w:val="1166"/>
          <w:marRight w:val="0"/>
          <w:marTop w:val="67"/>
          <w:marBottom w:val="0"/>
          <w:divBdr>
            <w:top w:val="none" w:sz="0" w:space="0" w:color="auto"/>
            <w:left w:val="none" w:sz="0" w:space="0" w:color="auto"/>
            <w:bottom w:val="none" w:sz="0" w:space="0" w:color="auto"/>
            <w:right w:val="none" w:sz="0" w:space="0" w:color="auto"/>
          </w:divBdr>
        </w:div>
        <w:div w:id="918297041">
          <w:marLeft w:val="1166"/>
          <w:marRight w:val="0"/>
          <w:marTop w:val="67"/>
          <w:marBottom w:val="0"/>
          <w:divBdr>
            <w:top w:val="none" w:sz="0" w:space="0" w:color="auto"/>
            <w:left w:val="none" w:sz="0" w:space="0" w:color="auto"/>
            <w:bottom w:val="none" w:sz="0" w:space="0" w:color="auto"/>
            <w:right w:val="none" w:sz="0" w:space="0" w:color="auto"/>
          </w:divBdr>
        </w:div>
        <w:div w:id="1047606675">
          <w:marLeft w:val="1166"/>
          <w:marRight w:val="0"/>
          <w:marTop w:val="67"/>
          <w:marBottom w:val="0"/>
          <w:divBdr>
            <w:top w:val="none" w:sz="0" w:space="0" w:color="auto"/>
            <w:left w:val="none" w:sz="0" w:space="0" w:color="auto"/>
            <w:bottom w:val="none" w:sz="0" w:space="0" w:color="auto"/>
            <w:right w:val="none" w:sz="0" w:space="0" w:color="auto"/>
          </w:divBdr>
        </w:div>
        <w:div w:id="1065641060">
          <w:marLeft w:val="1166"/>
          <w:marRight w:val="0"/>
          <w:marTop w:val="67"/>
          <w:marBottom w:val="0"/>
          <w:divBdr>
            <w:top w:val="none" w:sz="0" w:space="0" w:color="auto"/>
            <w:left w:val="none" w:sz="0" w:space="0" w:color="auto"/>
            <w:bottom w:val="none" w:sz="0" w:space="0" w:color="auto"/>
            <w:right w:val="none" w:sz="0" w:space="0" w:color="auto"/>
          </w:divBdr>
        </w:div>
        <w:div w:id="1513106917">
          <w:marLeft w:val="1166"/>
          <w:marRight w:val="0"/>
          <w:marTop w:val="67"/>
          <w:marBottom w:val="0"/>
          <w:divBdr>
            <w:top w:val="none" w:sz="0" w:space="0" w:color="auto"/>
            <w:left w:val="none" w:sz="0" w:space="0" w:color="auto"/>
            <w:bottom w:val="none" w:sz="0" w:space="0" w:color="auto"/>
            <w:right w:val="none" w:sz="0" w:space="0" w:color="auto"/>
          </w:divBdr>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12025362">
      <w:bodyDiv w:val="1"/>
      <w:marLeft w:val="0"/>
      <w:marRight w:val="0"/>
      <w:marTop w:val="0"/>
      <w:marBottom w:val="0"/>
      <w:divBdr>
        <w:top w:val="none" w:sz="0" w:space="0" w:color="auto"/>
        <w:left w:val="none" w:sz="0" w:space="0" w:color="auto"/>
        <w:bottom w:val="none" w:sz="0" w:space="0" w:color="auto"/>
        <w:right w:val="none" w:sz="0" w:space="0" w:color="auto"/>
      </w:divBdr>
    </w:div>
    <w:div w:id="1746299830">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75325093">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860583864">
      <w:bodyDiv w:val="1"/>
      <w:marLeft w:val="0"/>
      <w:marRight w:val="0"/>
      <w:marTop w:val="0"/>
      <w:marBottom w:val="0"/>
      <w:divBdr>
        <w:top w:val="none" w:sz="0" w:space="0" w:color="auto"/>
        <w:left w:val="none" w:sz="0" w:space="0" w:color="auto"/>
        <w:bottom w:val="none" w:sz="0" w:space="0" w:color="auto"/>
        <w:right w:val="none" w:sz="0" w:space="0" w:color="auto"/>
      </w:divBdr>
    </w:div>
    <w:div w:id="1905484172">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48809239">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1978610293">
      <w:bodyDiv w:val="1"/>
      <w:marLeft w:val="0"/>
      <w:marRight w:val="0"/>
      <w:marTop w:val="0"/>
      <w:marBottom w:val="0"/>
      <w:divBdr>
        <w:top w:val="none" w:sz="0" w:space="0" w:color="auto"/>
        <w:left w:val="none" w:sz="0" w:space="0" w:color="auto"/>
        <w:bottom w:val="none" w:sz="0" w:space="0" w:color="auto"/>
        <w:right w:val="none" w:sz="0" w:space="0" w:color="auto"/>
      </w:divBdr>
    </w:div>
    <w:div w:id="1993899586">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21735325">
      <w:bodyDiv w:val="1"/>
      <w:marLeft w:val="0"/>
      <w:marRight w:val="0"/>
      <w:marTop w:val="0"/>
      <w:marBottom w:val="0"/>
      <w:divBdr>
        <w:top w:val="none" w:sz="0" w:space="0" w:color="auto"/>
        <w:left w:val="none" w:sz="0" w:space="0" w:color="auto"/>
        <w:bottom w:val="none" w:sz="0" w:space="0" w:color="auto"/>
        <w:right w:val="none" w:sz="0" w:space="0" w:color="auto"/>
      </w:divBdr>
      <w:divsChild>
        <w:div w:id="148711203">
          <w:marLeft w:val="0"/>
          <w:marRight w:val="0"/>
          <w:marTop w:val="0"/>
          <w:marBottom w:val="0"/>
          <w:divBdr>
            <w:top w:val="none" w:sz="0" w:space="0" w:color="auto"/>
            <w:left w:val="none" w:sz="0" w:space="0" w:color="auto"/>
            <w:bottom w:val="none" w:sz="0" w:space="0" w:color="auto"/>
            <w:right w:val="none" w:sz="0" w:space="0" w:color="auto"/>
          </w:divBdr>
        </w:div>
        <w:div w:id="222062079">
          <w:marLeft w:val="0"/>
          <w:marRight w:val="0"/>
          <w:marTop w:val="0"/>
          <w:marBottom w:val="0"/>
          <w:divBdr>
            <w:top w:val="none" w:sz="0" w:space="0" w:color="auto"/>
            <w:left w:val="none" w:sz="0" w:space="0" w:color="auto"/>
            <w:bottom w:val="none" w:sz="0" w:space="0" w:color="auto"/>
            <w:right w:val="none" w:sz="0" w:space="0" w:color="auto"/>
          </w:divBdr>
        </w:div>
        <w:div w:id="1928076199">
          <w:marLeft w:val="0"/>
          <w:marRight w:val="0"/>
          <w:marTop w:val="0"/>
          <w:marBottom w:val="0"/>
          <w:divBdr>
            <w:top w:val="none" w:sz="0" w:space="0" w:color="auto"/>
            <w:left w:val="none" w:sz="0" w:space="0" w:color="auto"/>
            <w:bottom w:val="none" w:sz="0" w:space="0" w:color="auto"/>
            <w:right w:val="none" w:sz="0" w:space="0" w:color="auto"/>
          </w:divBdr>
        </w:div>
        <w:div w:id="2020349116">
          <w:marLeft w:val="0"/>
          <w:marRight w:val="0"/>
          <w:marTop w:val="0"/>
          <w:marBottom w:val="0"/>
          <w:divBdr>
            <w:top w:val="none" w:sz="0" w:space="0" w:color="auto"/>
            <w:left w:val="none" w:sz="0" w:space="0" w:color="auto"/>
            <w:bottom w:val="none" w:sz="0" w:space="0" w:color="auto"/>
            <w:right w:val="none" w:sz="0" w:space="0" w:color="auto"/>
          </w:divBdr>
        </w:div>
      </w:divsChild>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097360962">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83C03C-BCFD-4A5E-8659-D58E93BE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8843</Words>
  <Characters>50498</Characters>
  <Application>Microsoft Office Word</Application>
  <DocSecurity>0</DocSecurity>
  <Lines>918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2019-03-04T17:51:00Z</dcterms:created>
  <dcterms:modified xsi:type="dcterms:W3CDTF">2019-03-12T15:30:00Z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