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032A57-98E8-45F3-BCC7-0FED169627C7"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Споразумението за партньорство в областта на рибарството между Европейската общност и Република Кабо Верде</w:t>
      </w:r>
      <w:r>
        <w:rPr>
          <w:rStyle w:val="FootnoteReference"/>
          <w:noProof/>
        </w:rPr>
        <w:footnoteReference w:id="1"/>
      </w:r>
      <w:r>
        <w:rPr>
          <w:noProof/>
        </w:rPr>
        <w:t xml:space="preserve"> (наричано по-долу „споразумението“) влезе в сила на 30 март 2007 г.</w:t>
      </w:r>
      <w:r>
        <w:rPr>
          <w:rStyle w:val="FootnoteReference"/>
          <w:noProof/>
        </w:rPr>
        <w:footnoteReference w:id="2"/>
      </w:r>
      <w:r>
        <w:rPr>
          <w:noProof/>
        </w:rPr>
        <w:t xml:space="preserve">. Настоящият протокол към споразумението започна да се прилага от 23 декември 2014 г. и изтече на 22 декември 2018 г. </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3"/>
      </w:r>
      <w:r>
        <w:rPr>
          <w:noProof/>
        </w:rPr>
        <w:t xml:space="preserve"> Комисията проведе преговори с правителството на Република Кабо Верде (наричана по-долу „Кабо Верде“) с цел сключване на нов протокол към споразумението. След приключването на тези преговори, на 12 октомври 2018 г. бе парафиран нов протокол. Протоколът обхваща период от пет години, считано от датата на започване на временното му прилагане, т.е. датата на подписването му, както е посочено в член 15 от него.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rPr>
          <w:noProof/>
        </w:rPr>
      </w:pPr>
      <w:r>
        <w:rPr>
          <w:noProof/>
        </w:rPr>
        <w:t>В съответствие с приоритетите на реформата на политиката в областта на рибарството</w:t>
      </w:r>
      <w:r>
        <w:rPr>
          <w:rStyle w:val="FootnoteReference"/>
          <w:noProof/>
        </w:rPr>
        <w:footnoteReference w:id="4"/>
      </w:r>
      <w:r>
        <w:rPr>
          <w:noProof/>
        </w:rPr>
        <w:t xml:space="preserve"> новият протокол предоставя възможности за риболов на корабите на Съюза във водите на Кабо Верде въз основа на най-добрите налични научни становища и при спазване на препоръките на Международната комисия за опазване на рибата тон в Атлантическия океан (ICCAT). С новия протокол се вземат предвид резултатите от оценката на последния протокол (2014—2018 г.) и на прогнозната оценка на възможността да се сключи нов протокол. И двете оценки са извършени от външни експерти. Протоколът също така ще позволи на Европейския съюз и на Кабо Верде да работят в по-тясно сътрудничество, за да насърчават отговорното използване на рибните ресурси във водите на Кабо Верде и да подкрепят усилията на тази държава за развитието на нейната синя икономика в интерес и на двете страни. </w:t>
      </w:r>
    </w:p>
    <w:p>
      <w:pPr>
        <w:pBdr>
          <w:top w:val="nil"/>
          <w:left w:val="nil"/>
          <w:bottom w:val="nil"/>
          <w:right w:val="nil"/>
          <w:between w:val="nil"/>
          <w:bar w:val="nil"/>
        </w:pBdr>
        <w:spacing w:before="0"/>
        <w:rPr>
          <w:noProof/>
        </w:rPr>
      </w:pPr>
      <w:r>
        <w:rPr>
          <w:noProof/>
        </w:rPr>
        <w:t>Протоколът предвижда възможности за риболов в следните категории:</w:t>
      </w:r>
    </w:p>
    <w:p>
      <w:pPr>
        <w:pBdr>
          <w:top w:val="nil"/>
          <w:left w:val="nil"/>
          <w:bottom w:val="nil"/>
          <w:right w:val="nil"/>
          <w:between w:val="nil"/>
          <w:bar w:val="nil"/>
        </w:pBdr>
        <w:spacing w:before="0"/>
        <w:rPr>
          <w:noProof/>
        </w:rPr>
      </w:pPr>
      <w:r>
        <w:rPr>
          <w:noProof/>
        </w:rPr>
        <w:t>28 кораба с мрежи гъргър за улов на риба тон с оборудване за дълбоко замразяване;</w:t>
      </w:r>
    </w:p>
    <w:p>
      <w:pPr>
        <w:pBdr>
          <w:top w:val="nil"/>
          <w:left w:val="nil"/>
          <w:bottom w:val="nil"/>
          <w:right w:val="nil"/>
          <w:between w:val="nil"/>
          <w:bar w:val="nil"/>
        </w:pBdr>
        <w:spacing w:before="0"/>
        <w:rPr>
          <w:noProof/>
        </w:rPr>
      </w:pPr>
      <w:r>
        <w:rPr>
          <w:noProof/>
        </w:rPr>
        <w:t>27 кораба с парагади за улов на повърхността;</w:t>
      </w:r>
    </w:p>
    <w:p>
      <w:pPr>
        <w:pBdr>
          <w:top w:val="nil"/>
          <w:left w:val="nil"/>
          <w:bottom w:val="nil"/>
          <w:right w:val="nil"/>
          <w:between w:val="nil"/>
          <w:bar w:val="nil"/>
        </w:pBdr>
        <w:spacing w:before="0" w:after="240"/>
        <w:rPr>
          <w:rFonts w:eastAsia="Arial Unicode MS"/>
          <w:noProof/>
        </w:rPr>
      </w:pPr>
      <w:r>
        <w:rPr>
          <w:noProof/>
        </w:rPr>
        <w:t>14 кораба за улов на риба тон с въдици.</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Преговорите за нов протокол към споразумението за партньорство в областта на рибарството с Кабо Верде се вписват в рамките на външната дейност на ЕС по отношение на държавите от АКТБ и с тях се вземат предвид по-специално целите на ЕС в областта на спазването на демократичните принципи и правата на човека.</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keepNext/>
        <w:rPr>
          <w:noProof/>
          <w:sz w:val="22"/>
        </w:rPr>
      </w:pPr>
      <w:r>
        <w:rPr>
          <w:noProof/>
        </w:rPr>
        <w:t xml:space="preserve">Избраното правно основание е Договорът за функционирането на Европейския съюз, където в член 43, параграф 2 се определя общата политика в областта на рибарството, а в член 218, параграф 5 — съответният етап от процедурата за водене на преговори и сключване на споразумения между Съюза и трети държави. </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keepNext/>
        <w:rPr>
          <w:noProof/>
          <w:sz w:val="22"/>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rPr>
        <w:t>•</w:t>
      </w:r>
      <w:r>
        <w:rPr>
          <w:noProof/>
        </w:rPr>
        <w:tab/>
        <w:t>Пропорционалност</w:t>
      </w:r>
    </w:p>
    <w:p>
      <w:pPr>
        <w:keepNext/>
        <w:rPr>
          <w:noProof/>
          <w:sz w:val="22"/>
        </w:rPr>
      </w:pPr>
      <w:r>
        <w:rPr>
          <w:noProof/>
        </w:rPr>
        <w:t xml:space="preserve">Предложението е пропорционално на целта за осигуряване на правна, екологична, икономическа и социална рамка за управление на риболовните дейности, извършвани от корабите на Съюза във водите на трети държави, определена в член 31 от Регламента за общата политика в областта на рибарството. Предложението е в съответствие с посочените разпоредби и с определените в член 32 от същия регламент разпоредби относно финансовата помощ за трети държави.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През 2018 г. Комисията извърши последваща оценка на настоящия протокол към споразумението за партньорство с Кабо Верде в областта на рибарството, както и предварителна оценка на евентуалното подновяване на протокола. Заключенията от оценката са изложени в отделен работен документ</w:t>
      </w:r>
      <w:r>
        <w:rPr>
          <w:rStyle w:val="FootnoteReference"/>
          <w:noProof/>
        </w:rPr>
        <w:footnoteReference w:id="5"/>
      </w:r>
      <w:r>
        <w:rPr>
          <w:noProof/>
        </w:rPr>
        <w:t>.</w:t>
      </w:r>
    </w:p>
    <w:p>
      <w:pPr>
        <w:rPr>
          <w:noProof/>
        </w:rPr>
      </w:pPr>
      <w:r>
        <w:rPr>
          <w:noProof/>
        </w:rPr>
        <w:t>В заключенията от оценката се посочва, че секторите на ЕС за улов на риба тон проявяват силен интерес към извършването на риболов в Кабо Верде и че подновяването на протокола ще допринесе за засилване на наблюдението, контрола и надзора, както и за по-доброто управление на рибарството в региона. Значението на Миндело (остров Сао Висенте) като едно от основните пристанища за разтоварване и места за преработка в Западна Африка допринася за значението на предвидения нов протокол както за секторите на ЕС за улов на риба тон, така и за държавата партньор.</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представители на органа за управление на рибарството и на гражданското общество на Кабо Верде. Бяха проведени също така консултации в рамките на Консултативния съвет по далечно плаване.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lastRenderedPageBreak/>
        <w:t>4.</w:t>
      </w:r>
      <w:r>
        <w:rPr>
          <w:noProof/>
        </w:rPr>
        <w:tab/>
        <w:t>ОТРАЖЕНИЕ ВЪРХУ БЮДЖЕТА</w:t>
      </w:r>
    </w:p>
    <w:p>
      <w:pPr>
        <w:rPr>
          <w:noProof/>
        </w:rPr>
      </w:pPr>
      <w:r>
        <w:rPr>
          <w:noProof/>
        </w:rPr>
        <w:t>Годишното финансово участие на Европейския съюз възлиза на 750 000 EUR и е въз основа на:</w:t>
      </w:r>
    </w:p>
    <w:p>
      <w:pPr>
        <w:rPr>
          <w:noProof/>
        </w:rPr>
      </w:pPr>
      <w:r>
        <w:rPr>
          <w:noProof/>
        </w:rPr>
        <w:t xml:space="preserve">a) референтен тонаж от 8 000 тона годишно, за който е определена сума за достъп в размер на 400 000 EUR годишно за целия срок на действие на протокола; </w:t>
      </w:r>
    </w:p>
    <w:p>
      <w:pPr>
        <w:rPr>
          <w:noProof/>
        </w:rPr>
      </w:pPr>
      <w:r>
        <w:rPr>
          <w:noProof/>
        </w:rPr>
        <w:t>б) подкрепа за развитието на секторната политика в областта на рибарството и синята икономика на Кабо Верде в размер на 350 000 EUR годишно за целия срок на действие на протокола. Тази подкрепа отговаря на целите на националната политика в областта на устойчивото управление на сладководните и морските рибни ресурси на Кабо Верде за целия срок на действие на протокола.</w:t>
      </w:r>
    </w:p>
    <w:p>
      <w:pPr>
        <w:rPr>
          <w:noProof/>
        </w:rPr>
      </w:pPr>
      <w:r>
        <w:rPr>
          <w:noProof/>
        </w:rPr>
        <w:t>Годишният размер на бюджетните кредити за поети задължения и за плащания се определя в рамките на годишната бюджетна процедура, включително за бюджетния ред „Резерви“ по отношение на протоколите, които още не са влезли в сила към началото на годината</w:t>
      </w:r>
      <w:r>
        <w:rPr>
          <w:rStyle w:val="FootnoteReference"/>
          <w:noProof/>
        </w:rPr>
        <w:footnoteReference w:id="6"/>
      </w:r>
      <w:r>
        <w:rPr>
          <w:noProof/>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rPr>
          <w:noProof/>
        </w:rPr>
      </w:pPr>
      <w:r>
        <w:rPr>
          <w:noProof/>
        </w:rPr>
        <w:t>Механизмът за наблюдение е предвиден в протокола.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Съюза и временното прилагане на Протокола за прилагане на Споразумението за партньорство в областта на рибарството между Европейската общност и Република Кабо Верде (2019—2024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19 декември 2006 г. Съветът прие Регламент (ЕО) № 2027/2006</w:t>
      </w:r>
      <w:r>
        <w:rPr>
          <w:rStyle w:val="FootnoteReference"/>
          <w:noProof/>
        </w:rPr>
        <w:footnoteReference w:id="7"/>
      </w:r>
      <w:r>
        <w:rPr>
          <w:noProof/>
        </w:rPr>
        <w:t xml:space="preserve"> за сключване на Споразумение за партньорство в областта на рибарството между Европейската общност и Република Кабо Верде (наричано по-долу „споразумението“)</w:t>
      </w:r>
      <w:r>
        <w:rPr>
          <w:rStyle w:val="FootnoteReference"/>
          <w:noProof/>
        </w:rPr>
        <w:footnoteReference w:id="8"/>
      </w:r>
      <w:r>
        <w:rPr>
          <w:noProof/>
        </w:rPr>
        <w:t>, което влезе в сила на 30 март 2007 г., впоследствие бе подновено с мълчаливо съгласие и все още е в сила.</w:t>
      </w:r>
    </w:p>
    <w:p>
      <w:pPr>
        <w:pStyle w:val="ManualConsidrant"/>
        <w:rPr>
          <w:noProof/>
        </w:rPr>
      </w:pPr>
      <w:r>
        <w:t>(2)</w:t>
      </w:r>
      <w:r>
        <w:tab/>
      </w:r>
      <w:r>
        <w:rPr>
          <w:noProof/>
        </w:rPr>
        <w:t>Срокът на действие на последния протокол към споразумението изтече на 22 декември 2018 г.</w:t>
      </w:r>
    </w:p>
    <w:p>
      <w:pPr>
        <w:pStyle w:val="ManualConsidrant"/>
        <w:rPr>
          <w:noProof/>
        </w:rPr>
      </w:pPr>
      <w:r>
        <w:t>(3)</w:t>
      </w:r>
      <w:r>
        <w:tab/>
      </w:r>
      <w:r>
        <w:rPr>
          <w:noProof/>
        </w:rPr>
        <w:t>Комисията проведе преговори от името на Европейския съюз за нов протокол за прилагане на споразумението (наричан по-долу „протоколът“). След приключването на преговорите протоколът беше парафиран на 12 октомври 2018 г.</w:t>
      </w:r>
    </w:p>
    <w:p>
      <w:pPr>
        <w:pStyle w:val="ManualConsidrant"/>
        <w:rPr>
          <w:noProof/>
        </w:rPr>
      </w:pPr>
      <w:r>
        <w:t>(4)</w:t>
      </w:r>
      <w:r>
        <w:tab/>
      </w:r>
      <w:r>
        <w:rPr>
          <w:noProof/>
        </w:rPr>
        <w:t>Целта на протокола е да се създаде възможност за Европейския съюз и Република Кабо Верде да си сътрудничат по-тясно при насърчаването на политика на устойчиво рибарство и отговорното използване на рибните ресурси във водите на Кабо Верде и да се подкрепят усилията на тази държава за развитие на нейната синя икономика.</w:t>
      </w:r>
    </w:p>
    <w:p>
      <w:pPr>
        <w:pStyle w:val="ManualConsidrant"/>
        <w:rPr>
          <w:noProof/>
        </w:rPr>
      </w:pPr>
      <w:r>
        <w:t>(5)</w:t>
      </w:r>
      <w:r>
        <w:tab/>
      </w:r>
      <w:r>
        <w:rPr>
          <w:noProof/>
        </w:rPr>
        <w:t>Поради това следва да се разреши подписването на протокола, при условие че бъде сключен на по-късна дата.</w:t>
      </w:r>
    </w:p>
    <w:p>
      <w:pPr>
        <w:pStyle w:val="ManualConsidrant"/>
        <w:rPr>
          <w:noProof/>
        </w:rPr>
      </w:pPr>
      <w:r>
        <w:t>(6)</w:t>
      </w:r>
      <w:r>
        <w:tab/>
      </w:r>
      <w:r>
        <w:rPr>
          <w:noProof/>
        </w:rPr>
        <w:t>С цел да се осигури скорошно започване на риболовните дейности на корабите на Съюза протоколът следва да се прилага временно от момента на неговото подписване до влизането му в сила,</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Подписването на протокола за прилагане на Споразумението за партньорство в областта на рибарството между Европейската общност и Република Кабо Верде (2019—2024 г.) (наричан по-долу „протоколът“) се разрешава от Съюза, при условие че посоченият протокол бъде сключен.</w:t>
      </w:r>
    </w:p>
    <w:p>
      <w:pPr>
        <w:rPr>
          <w:noProof/>
        </w:rPr>
      </w:pPr>
      <w:r>
        <w:rPr>
          <w:noProof/>
        </w:rPr>
        <w:t>Текстът на протокола е приложен към настоящото решение.</w:t>
      </w:r>
    </w:p>
    <w:p>
      <w:pPr>
        <w:pStyle w:val="Titrearticle"/>
        <w:rPr>
          <w:noProof/>
        </w:rPr>
      </w:pPr>
      <w:r>
        <w:rPr>
          <w:noProof/>
        </w:rPr>
        <w:t xml:space="preserve">Член 2 </w:t>
      </w:r>
    </w:p>
    <w:p>
      <w:pPr>
        <w:rPr>
          <w:noProof/>
        </w:rPr>
      </w:pPr>
      <w:r>
        <w:rPr>
          <w:noProof/>
        </w:rPr>
        <w:t xml:space="preserve">Генералният секретариат на Съвета изготвя акта за предоставяне на пълни правомощия за подписване на протокола, при условие че той бъде сключен, на лицето или лицата, посочени от преговарящия по протокола. </w:t>
      </w:r>
    </w:p>
    <w:p>
      <w:pPr>
        <w:pStyle w:val="Titrearticle"/>
        <w:rPr>
          <w:noProof/>
        </w:rPr>
      </w:pPr>
      <w:r>
        <w:rPr>
          <w:noProof/>
        </w:rPr>
        <w:t>Член 3</w:t>
      </w:r>
    </w:p>
    <w:p>
      <w:pPr>
        <w:keepNext/>
        <w:rPr>
          <w:noProof/>
        </w:rPr>
      </w:pPr>
      <w:r>
        <w:rPr>
          <w:noProof/>
        </w:rPr>
        <w:t>От датата на подписване до влизането в сила на протокола той се прилага временно в съответствие с член 15 от него.</w:t>
      </w:r>
    </w:p>
    <w:p>
      <w:pPr>
        <w:pStyle w:val="Titrearticle"/>
        <w:rPr>
          <w:noProof/>
        </w:rPr>
      </w:pPr>
      <w:r>
        <w:rPr>
          <w:noProof/>
        </w:rPr>
        <w:t>Член 4</w:t>
      </w:r>
    </w:p>
    <w:p>
      <w:pPr>
        <w:keepNext/>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w:t>
      </w:r>
    </w:p>
    <w:p>
      <w:pPr>
        <w:pStyle w:val="ManualHeading2"/>
        <w:rPr>
          <w:b w:val="0"/>
          <w:noProof/>
        </w:rPr>
      </w:pPr>
      <w:r>
        <w:rPr>
          <w:noProof/>
        </w:rPr>
        <w:tab/>
      </w:r>
      <w:r>
        <w:rPr>
          <w:b w:val="0"/>
          <w:noProof/>
        </w:rPr>
        <w:t>1.3.</w:t>
      </w:r>
      <w:r>
        <w:rPr>
          <w:noProof/>
        </w:rPr>
        <w:tab/>
      </w:r>
      <w:r>
        <w:rPr>
          <w:b w:val="0"/>
          <w:noProof/>
        </w:rPr>
        <w:t xml:space="preserve">Предложението/инициативата е във връзка със: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3"/>
        <w:rPr>
          <w:noProof/>
        </w:rPr>
      </w:pPr>
      <w:r>
        <w:rPr>
          <w:noProof/>
        </w:rPr>
        <w:tab/>
        <w:t>1.4.1.</w:t>
      </w:r>
      <w:r>
        <w:rPr>
          <w:noProof/>
        </w:rPr>
        <w:tab/>
        <w:t>Общи цели</w:t>
      </w:r>
    </w:p>
    <w:p>
      <w:pPr>
        <w:pStyle w:val="ManualHeading3"/>
        <w:rPr>
          <w:noProof/>
        </w:rPr>
      </w:pPr>
      <w:r>
        <w:rPr>
          <w:noProof/>
        </w:rPr>
        <w:tab/>
        <w:t>1.4.2.</w:t>
      </w:r>
      <w:r>
        <w:rPr>
          <w:noProof/>
        </w:rPr>
        <w:tab/>
        <w:t>Конкретни цели</w:t>
      </w:r>
    </w:p>
    <w:p>
      <w:pPr>
        <w:pStyle w:val="ManualHeading3"/>
        <w:rPr>
          <w:noProof/>
        </w:rPr>
      </w:pPr>
      <w:r>
        <w:rPr>
          <w:noProof/>
        </w:rPr>
        <w:tab/>
        <w:t>1.4.3.</w:t>
      </w:r>
      <w:r>
        <w:rPr>
          <w:noProof/>
        </w:rPr>
        <w:tab/>
        <w:t>Очаквани резултати и отражение</w:t>
      </w:r>
    </w:p>
    <w:p>
      <w:pPr>
        <w:pStyle w:val="ManualHeading3"/>
        <w:rPr>
          <w:noProof/>
        </w:rPr>
      </w:pPr>
      <w:r>
        <w:rPr>
          <w:noProof/>
        </w:rPr>
        <w:tab/>
        <w:t>1.4.4.</w:t>
      </w:r>
      <w:r>
        <w:rPr>
          <w:noProof/>
        </w:rPr>
        <w:tab/>
        <w:t>Показатели за изпълнението</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3"/>
        <w:rPr>
          <w:noProof/>
        </w:rPr>
      </w:pPr>
      <w:r>
        <w:rPr>
          <w:noProof/>
        </w:rPr>
        <w:tab/>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ManualHeading3"/>
        <w:rPr>
          <w:noProof/>
        </w:rPr>
      </w:pPr>
      <w:r>
        <w:rPr>
          <w:noProof/>
        </w:rPr>
        <w:tab/>
        <w:t>1.5.2.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ManualHeading3"/>
        <w:rPr>
          <w:noProof/>
        </w:rPr>
      </w:pPr>
      <w:r>
        <w:rPr>
          <w:noProof/>
        </w:rPr>
        <w:tab/>
        <w:t>1.5.3.</w:t>
      </w:r>
      <w:r>
        <w:rPr>
          <w:noProof/>
        </w:rPr>
        <w:tab/>
        <w:t>Изводи от подобен опит в миналото</w:t>
      </w:r>
    </w:p>
    <w:p>
      <w:pPr>
        <w:pStyle w:val="ManualHeading3"/>
        <w:rPr>
          <w:noProof/>
        </w:rPr>
      </w:pPr>
      <w:r>
        <w:rPr>
          <w:noProof/>
        </w:rPr>
        <w:tab/>
        <w:t>1.5.4.</w:t>
      </w:r>
      <w:r>
        <w:rPr>
          <w:noProof/>
        </w:rPr>
        <w:tab/>
        <w:t>Съвместимост с многогодишната финансова рамка и евентуални синергии с други подходящи инструменти</w:t>
      </w:r>
    </w:p>
    <w:p>
      <w:pPr>
        <w:pStyle w:val="ManualHeading3"/>
        <w:rPr>
          <w:noProof/>
        </w:rPr>
      </w:pPr>
      <w:r>
        <w:rPr>
          <w:noProof/>
        </w:rPr>
        <w:tab/>
        <w:t>1.5.5.</w:t>
      </w:r>
      <w:r>
        <w:rPr>
          <w:noProof/>
        </w:rPr>
        <w:tab/>
        <w:t>Оценка на различните налични варианти за финансиране, включително възможностите за преразпределяне на средства</w:t>
      </w:r>
    </w:p>
    <w:p>
      <w:pPr>
        <w:pStyle w:val="ManualHeading2"/>
        <w:rPr>
          <w:b w:val="0"/>
          <w:noProof/>
        </w:rPr>
      </w:pPr>
      <w:r>
        <w:rPr>
          <w:noProof/>
        </w:rPr>
        <w:tab/>
      </w:r>
      <w:r>
        <w:rPr>
          <w:b w:val="0"/>
          <w:noProof/>
        </w:rPr>
        <w:t>1.6.</w:t>
      </w:r>
      <w:r>
        <w:rPr>
          <w:noProof/>
        </w:rPr>
        <w:tab/>
      </w:r>
      <w:r>
        <w:rPr>
          <w:b w:val="0"/>
          <w:noProof/>
        </w:rPr>
        <w:t>Продължителност и финансово отражение на предложението/инициативата</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Планирани методи на управление</w:t>
      </w:r>
      <w:r>
        <w:rPr>
          <w:noProof/>
        </w:rPr>
        <w:tab/>
      </w:r>
    </w:p>
    <w:p>
      <w:pPr>
        <w:pStyle w:val="ManualHeading1"/>
        <w:rPr>
          <w:noProof/>
        </w:rPr>
      </w:pPr>
      <w:r>
        <w:rPr>
          <w:noProof/>
        </w:rPr>
        <w:lastRenderedPageBreak/>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pPr>
        <w:pStyle w:val="ManualHeading2"/>
        <w:rPr>
          <w:b w:val="0"/>
          <w:noProof/>
        </w:rPr>
      </w:pPr>
      <w:r>
        <w:rPr>
          <w:noProof/>
        </w:rPr>
        <w:tab/>
      </w:r>
      <w:r>
        <w:rPr>
          <w:b w:val="0"/>
          <w:noProof/>
        </w:rPr>
        <w:t>2.2.</w:t>
      </w:r>
      <w:r>
        <w:rPr>
          <w:noProof/>
        </w:rPr>
        <w:tab/>
      </w:r>
      <w:r>
        <w:rPr>
          <w:b w:val="0"/>
          <w:noProof/>
        </w:rPr>
        <w:t>Системи за управление и контрол</w:t>
      </w:r>
    </w:p>
    <w:p>
      <w:pPr>
        <w:pStyle w:val="ManualHeading3"/>
        <w:rPr>
          <w:noProof/>
        </w:rPr>
      </w:pPr>
      <w:r>
        <w:rPr>
          <w:noProof/>
        </w:rPr>
        <w:tab/>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Style w:val="ManualHeading3"/>
        <w:rPr>
          <w:noProof/>
        </w:rPr>
      </w:pPr>
      <w:r>
        <w:rPr>
          <w:noProof/>
        </w:rPr>
        <w:tab/>
        <w:t>2.2.2.</w:t>
      </w:r>
      <w:r>
        <w:rPr>
          <w:noProof/>
        </w:rPr>
        <w:tab/>
        <w:t>Информация относно установените рискове и системите за вътрешен контрол, създадени с цел намаляването им</w:t>
      </w:r>
    </w:p>
    <w:p>
      <w:pPr>
        <w:pStyle w:val="ManualHeading3"/>
        <w:rPr>
          <w:noProof/>
        </w:rPr>
      </w:pPr>
      <w:r>
        <w:rPr>
          <w:noProof/>
        </w:rPr>
        <w:tab/>
        <w:t>2.2.3.</w:t>
      </w:r>
      <w:r>
        <w:rPr>
          <w:noProof/>
        </w:rPr>
        <w:tab/>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финансово отражение на предложението върху бюджетните кредити</w:t>
      </w:r>
    </w:p>
    <w:p>
      <w:pPr>
        <w:pStyle w:val="ManualHeading3"/>
        <w:rPr>
          <w:noProof/>
        </w:rPr>
      </w:pPr>
      <w:r>
        <w:rPr>
          <w:noProof/>
        </w:rPr>
        <w:tab/>
        <w:t>3.2.1.</w:t>
      </w:r>
      <w:r>
        <w:rPr>
          <w:noProof/>
        </w:rPr>
        <w:tab/>
        <w:t xml:space="preserve">Обобщение на очакваното отражение върху бюджетните кредити за оперативни разходи </w:t>
      </w:r>
    </w:p>
    <w:p>
      <w:pPr>
        <w:pStyle w:val="ManualHeading3"/>
        <w:rPr>
          <w:noProof/>
        </w:rPr>
      </w:pPr>
      <w:r>
        <w:rPr>
          <w:noProof/>
        </w:rPr>
        <w:tab/>
        <w:t>3.2.2.</w:t>
      </w:r>
      <w:r>
        <w:rPr>
          <w:noProof/>
        </w:rPr>
        <w:tab/>
        <w:t xml:space="preserve">Очакван резултат, финансиран с бюджетни кредити за оперативни разходи </w:t>
      </w:r>
    </w:p>
    <w:p>
      <w:pPr>
        <w:pStyle w:val="ManualHeading3"/>
        <w:rPr>
          <w:noProof/>
        </w:rPr>
      </w:pPr>
      <w:r>
        <w:rPr>
          <w:noProof/>
        </w:rPr>
        <w:tab/>
        <w:t>3.2.3.</w:t>
      </w:r>
      <w:r>
        <w:rPr>
          <w:noProof/>
        </w:rPr>
        <w:tab/>
        <w:t>Обобщение на очакваното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lastRenderedPageBreak/>
        <w:t>ЗАКОНОДАТЕЛНА ФИНАНСОВА ОБОСНОВКА</w:t>
      </w:r>
    </w:p>
    <w:p>
      <w:pPr>
        <w:pStyle w:val="ManualHeading1"/>
        <w:rPr>
          <w:noProof/>
        </w:rPr>
      </w:pPr>
      <w:bookmarkStart w:id="1" w:name="_Toc514938007"/>
      <w:bookmarkStart w:id="2" w:name="_Toc520485025"/>
      <w:r>
        <w:t>1.</w:t>
      </w:r>
      <w:r>
        <w:tab/>
      </w:r>
      <w:r>
        <w:rPr>
          <w:noProof/>
        </w:rPr>
        <w:t>РАМКА НА ПРЕДЛОЖЕНИЕТО/ИНИЦИАТИВАТА</w:t>
      </w:r>
      <w:bookmarkEnd w:id="1"/>
      <w:bookmarkEnd w:id="2"/>
      <w:r>
        <w:rPr>
          <w:noProof/>
        </w:rPr>
        <w:t xml:space="preserve"> </w:t>
      </w:r>
    </w:p>
    <w:p>
      <w:pPr>
        <w:pStyle w:val="ManualHeading2"/>
        <w:rPr>
          <w:noProof/>
        </w:rPr>
      </w:pPr>
      <w:bookmarkStart w:id="3" w:name="_Toc514938008"/>
      <w:bookmarkStart w:id="4" w:name="_Toc520485026"/>
      <w:r>
        <w:t>1.1.</w:t>
      </w:r>
      <w:r>
        <w:tab/>
      </w:r>
      <w:r>
        <w:rPr>
          <w:noProof/>
        </w:rPr>
        <w:t>Наименование на предложението/инициативата</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относно подписването от името на Съюза и временното прилагане на Протокола за прилагане на Споразумението за партньорство в областта на рибарството между Европейската общност и Република Кабо Верде</w:t>
      </w:r>
    </w:p>
    <w:p>
      <w:pPr>
        <w:pStyle w:val="ManualHeading2"/>
        <w:rPr>
          <w:noProof/>
        </w:rPr>
      </w:pPr>
      <w:bookmarkStart w:id="5" w:name="_Toc514938011"/>
      <w:bookmarkStart w:id="6" w:name="_Toc520485027"/>
      <w:r>
        <w:t>1.2.</w:t>
      </w:r>
      <w:r>
        <w:tab/>
      </w:r>
      <w:r>
        <w:rPr>
          <w:noProof/>
        </w:rPr>
        <w:t>Съответни области на политиката</w:t>
      </w:r>
      <w:bookmarkEnd w:id="5"/>
      <w:bookmarkEnd w:id="6"/>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 Задължителни вноски в регионалните организации за управление на рибарството и в други международни организации и споразумения за устойчиво рибарство (СУР)</w:t>
      </w:r>
    </w:p>
    <w:p>
      <w:pPr>
        <w:pStyle w:val="Text1"/>
        <w:pBdr>
          <w:top w:val="single" w:sz="4" w:space="1" w:color="auto"/>
          <w:left w:val="single" w:sz="4" w:space="4" w:color="auto"/>
          <w:bottom w:val="single" w:sz="4" w:space="1" w:color="auto"/>
          <w:right w:val="single" w:sz="4" w:space="4" w:color="auto"/>
        </w:pBdr>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pStyle w:val="ManualHeading2"/>
        <w:rPr>
          <w:bCs/>
          <w:noProof/>
          <w:szCs w:val="24"/>
        </w:rPr>
      </w:pPr>
      <w:bookmarkStart w:id="7" w:name="_Toc514938014"/>
      <w:bookmarkStart w:id="8" w:name="_Toc520485028"/>
      <w:r>
        <w:t>1.3.</w:t>
      </w:r>
      <w:r>
        <w:tab/>
      </w:r>
      <w:r>
        <w:rPr>
          <w:noProof/>
        </w:rPr>
        <w:t>Предложението/инициативата е във връзка със:</w:t>
      </w:r>
      <w:bookmarkEnd w:id="7"/>
      <w:bookmarkEnd w:id="8"/>
      <w:r>
        <w:rPr>
          <w:noProof/>
        </w:rPr>
        <w:t xml:space="preserve"> </w:t>
      </w:r>
    </w:p>
    <w:p>
      <w:pPr>
        <w:pStyle w:val="Text1"/>
        <w:rPr>
          <w:b/>
          <w:noProof/>
          <w:sz w:val="22"/>
        </w:rPr>
      </w:pPr>
      <w:r>
        <w:rPr>
          <w:b/>
          <w:noProof/>
          <w:sz w:val="22"/>
        </w:rPr>
        <w:t>X</w:t>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9" w:name="_Toc514938015"/>
      <w:bookmarkStart w:id="10" w:name="_Toc520485029"/>
      <w:r>
        <w:t>1.4.</w:t>
      </w:r>
      <w:r>
        <w:tab/>
      </w:r>
      <w:r>
        <w:rPr>
          <w:noProof/>
        </w:rPr>
        <w:t>Цели</w:t>
      </w:r>
      <w:bookmarkEnd w:id="9"/>
      <w:bookmarkEnd w:id="10"/>
    </w:p>
    <w:p>
      <w:pPr>
        <w:pStyle w:val="ManualHeading3"/>
        <w:rPr>
          <w:noProof/>
        </w:rPr>
      </w:pPr>
      <w:bookmarkStart w:id="11" w:name="_Toc514938016"/>
      <w:bookmarkStart w:id="12" w:name="_Toc520485030"/>
      <w:r>
        <w:t>1.4.1.</w:t>
      </w:r>
      <w:r>
        <w:tab/>
      </w:r>
      <w:r>
        <w:rPr>
          <w:noProof/>
        </w:rPr>
        <w:t>Общи цели</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осигуряването на достъп на риболовните кораби на Европейския съюз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pStyle w:val="ManualHeading3"/>
        <w:rPr>
          <w:bCs/>
          <w:noProof/>
          <w:szCs w:val="24"/>
        </w:rPr>
      </w:pPr>
      <w:bookmarkStart w:id="13" w:name="_Toc514938018"/>
      <w:bookmarkStart w:id="14" w:name="_Toc520485031"/>
      <w:r>
        <w:t>1.4.2.</w:t>
      </w:r>
      <w:r>
        <w:tab/>
      </w:r>
      <w:r>
        <w:rPr>
          <w:noProof/>
        </w:rPr>
        <w:t>Конкретни цели</w:t>
      </w:r>
      <w:bookmarkEnd w:id="13"/>
      <w:bookmarkEnd w:id="1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Да се допринесе за устойчивото рибарство извън водите на Съюза,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w:t>
      </w:r>
      <w:r>
        <w:rPr>
          <w:noProof/>
        </w:rPr>
        <w:lastRenderedPageBreak/>
        <w:t>потребителите чрез договаряне и сключване на съгласувани с други европейски политики СПОУР с крайбрежни държави.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pPr>
        <w:pStyle w:val="ManualHeading3"/>
        <w:rPr>
          <w:noProof/>
        </w:rPr>
      </w:pPr>
      <w:bookmarkStart w:id="15" w:name="_Toc514938019"/>
      <w:bookmarkStart w:id="16" w:name="_Toc520485032"/>
      <w:r>
        <w:t>1.4.3.</w:t>
      </w:r>
      <w:r>
        <w:tab/>
      </w:r>
      <w:r>
        <w:rPr>
          <w:noProof/>
        </w:rPr>
        <w:t>Очаквани резултати и отражение</w:t>
      </w:r>
      <w:bookmarkEnd w:id="15"/>
      <w:bookmarkEnd w:id="16"/>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Сключването на протокола позволява установяване на стратегическо партньорство в областта на рибарството между Европейския съюз и Кабо Верде. Сключването на протокола създава възможности за риболов за корабите на Съюза във водите на Кабо Верде.</w:t>
      </w:r>
    </w:p>
    <w:p>
      <w:pPr>
        <w:pStyle w:val="Text1"/>
        <w:pBdr>
          <w:top w:val="single" w:sz="4" w:space="1" w:color="auto"/>
          <w:left w:val="single" w:sz="4" w:space="4" w:color="auto"/>
          <w:bottom w:val="single" w:sz="4" w:space="1" w:color="auto"/>
          <w:right w:val="single" w:sz="4" w:space="4" w:color="auto"/>
        </w:pBdr>
        <w:rPr>
          <w:noProof/>
        </w:rPr>
      </w:pPr>
      <w:r>
        <w:rPr>
          <w:noProof/>
        </w:rPr>
        <w:t>Протоколът допринася също така за подобряване на управлението и опазването на рибните ресурси чрез финансова подкрепа (секторна подкрепа) за изпълнението на програмите, приети на национално равнище от държавата партньор, и по-конкретно по отношение на наблюдението и борбата срещу незаконния риболов и в подкрепа на сектора на непромишления риболов.</w:t>
      </w:r>
    </w:p>
    <w:p>
      <w:pPr>
        <w:pStyle w:val="Text1"/>
        <w:pBdr>
          <w:top w:val="single" w:sz="4" w:space="1" w:color="auto"/>
          <w:left w:val="single" w:sz="4" w:space="4" w:color="auto"/>
          <w:bottom w:val="single" w:sz="4" w:space="1" w:color="auto"/>
          <w:right w:val="single" w:sz="4" w:space="4" w:color="auto"/>
        </w:pBdr>
        <w:rPr>
          <w:noProof/>
        </w:rPr>
      </w:pPr>
      <w:r>
        <w:rPr>
          <w:noProof/>
        </w:rPr>
        <w:t>И накрая, протоколът ще допринесе за синята икономика на Кабо Верде, като се насърчават растежът, свързан с морските дейности, и устойчивата експлоатация на морските ресурси на държавата.</w:t>
      </w:r>
    </w:p>
    <w:p>
      <w:pPr>
        <w:pStyle w:val="ManualHeading3"/>
        <w:rPr>
          <w:noProof/>
          <w:szCs w:val="24"/>
        </w:rPr>
      </w:pPr>
      <w:bookmarkStart w:id="17" w:name="_Toc514938023"/>
      <w:bookmarkStart w:id="18" w:name="_Toc520485033"/>
      <w:r>
        <w:t>1.4.4.</w:t>
      </w:r>
      <w:r>
        <w:tab/>
      </w:r>
      <w:r>
        <w:rPr>
          <w:noProof/>
        </w:rPr>
        <w:t>Показатели за изпълнението</w:t>
      </w:r>
      <w:bookmarkEnd w:id="17"/>
      <w:bookmarkEnd w:id="18"/>
    </w:p>
    <w:p>
      <w:pPr>
        <w:pStyle w:val="Text1"/>
        <w:rPr>
          <w:i/>
          <w:noProof/>
          <w:sz w:val="20"/>
        </w:rPr>
      </w:pPr>
      <w:r>
        <w:rPr>
          <w:i/>
          <w:noProof/>
          <w:sz w:val="20"/>
        </w:rPr>
        <w:t>Да се посочат показателите за проследяване на напредъка и на постиженията.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Данни за улова (събиране и анализ) и търговска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подобряването на научните изследвания, наблюдението и контрола на риболовните дейности от държавата партньор и на развитието на нейния сектор на рибарството, по-специално непромишления риболов.</w:t>
      </w:r>
    </w:p>
    <w:p>
      <w:pPr>
        <w:pStyle w:val="ManualHeading2"/>
        <w:rPr>
          <w:bCs/>
          <w:noProof/>
          <w:szCs w:val="24"/>
        </w:rPr>
      </w:pPr>
      <w:bookmarkStart w:id="19" w:name="_Toc514938025"/>
      <w:bookmarkStart w:id="20" w:name="_Toc520485034"/>
      <w:r>
        <w:t>1.5.</w:t>
      </w:r>
      <w:r>
        <w:tab/>
      </w:r>
      <w:r>
        <w:rPr>
          <w:noProof/>
        </w:rPr>
        <w:t>Мотиви за предложението/инициативата</w:t>
      </w:r>
      <w:bookmarkEnd w:id="19"/>
      <w:bookmarkEnd w:id="20"/>
      <w:r>
        <w:rPr>
          <w:noProof/>
        </w:rPr>
        <w:t xml:space="preserve"> </w:t>
      </w:r>
    </w:p>
    <w:p>
      <w:pPr>
        <w:pStyle w:val="ManualHeading3"/>
        <w:rPr>
          <w:noProof/>
        </w:rPr>
      </w:pPr>
      <w:bookmarkStart w:id="21" w:name="_Toc514938026"/>
      <w:bookmarkStart w:id="22" w:name="_Toc520485035"/>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новият протокол да се прилага временно от датата на неговото подписване, за да се ограничи прекъсването на текущите риболовни операции под действието на сега действащия протокол.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Новият протокол ще осигури рамка за риболовните дейности на флота на Съюза в риболовната зона на Кабо Верде и ще позволи на корабособствениците от ЕС да подават заявления за разрешения, даващи им възможност да извършват риболов в тази зона. Освен това новият протокол </w:t>
      </w:r>
      <w:r>
        <w:rPr>
          <w:noProof/>
        </w:rPr>
        <w:lastRenderedPageBreak/>
        <w:t xml:space="preserve">укрепва сътрудничеството между ЕС и Кабо Верде с цел насърчаване на развитието на устойчива политика в областта на рибарството. В него се предвижда по-специално наблюдение на корабите чрез VMS и съобщаване на данните за улова по електронен път. Подкрепата за сектора на рибарството в рамките на протокола ще подпомогне Кабо Верде по отношение на националната ѝ стратегия в областта на рибарството, в т.ч. борбата с незаконния, недеклариран и нерегулиран риболов. </w:t>
      </w:r>
    </w:p>
    <w:p>
      <w:pPr>
        <w:pStyle w:val="ManualHeading3"/>
        <w:rPr>
          <w:bCs/>
          <w:noProof/>
          <w:szCs w:val="24"/>
        </w:rPr>
      </w:pPr>
      <w:bookmarkStart w:id="23" w:name="_Toc514938029"/>
      <w:bookmarkStart w:id="24" w:name="_Toc520485036"/>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Ако Съюзът не сключи нов протокол, това би възпрепятствало риболовните дейности на неговите кораби, тъй като споразумението съдържа клауза, изключваща риболовни дейности, които не се извършват в рамките на протокола към споразумението. Следователно добавената стойност е ясно изразена за флота на ЕС за далечно плаване. Протоколът предоставя също така рамка за засилено сътрудничество между Съюза и Кабо Верде. </w:t>
      </w:r>
    </w:p>
    <w:p>
      <w:pPr>
        <w:pStyle w:val="ManualHeading3"/>
        <w:rPr>
          <w:noProof/>
        </w:rPr>
      </w:pPr>
      <w:bookmarkStart w:id="25" w:name="_Toc514938030"/>
      <w:bookmarkStart w:id="26" w:name="_Toc520485037"/>
      <w:r>
        <w:rPr>
          <w:noProof/>
        </w:rPr>
        <w:br w:type="page"/>
      </w:r>
      <w:r>
        <w:lastRenderedPageBreak/>
        <w:t>1.5.3.</w:t>
      </w:r>
      <w:r>
        <w:tab/>
      </w:r>
      <w:r>
        <w:rPr>
          <w:noProof/>
        </w:rPr>
        <w:t>Изводи от подобен опит в миналото</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анализа на предишния улов в риболовната зона на Кабо Верде и на извършения в последно време улов в рамките на подобни протоколи в региона, както и на оценките и наличните научни становища, страните решиха да определят референтен тонаж за риба тон и тоноподобни видове в размер на 8 000 тона годишно с възможности за риболов за 28 кораба с мрежи гъргър за улов на риба тон с оборудване за дълбоко замразяване, 27 кораба с парагади за улов на повърхността и 14 кораба за улов на риба тон с въдици. Секторната подкрепа бе определена на относително високо ниво, за да се вземат предвид нуждите на органите на Кабо Верде в областта на рибарството при изграждане на капацитета и приоритетите на националната стратегия в областта на рибарството, както и плановете за подкрепа на синята икономика на тази крайбрежна държава.</w:t>
      </w:r>
    </w:p>
    <w:p>
      <w:pPr>
        <w:pStyle w:val="ManualHeading3"/>
        <w:rPr>
          <w:noProof/>
        </w:rPr>
      </w:pPr>
      <w:bookmarkStart w:id="27" w:name="_Toc514938033"/>
      <w:bookmarkStart w:id="28" w:name="_Toc520485038"/>
      <w:r>
        <w:t>1.5.4.</w:t>
      </w:r>
      <w:r>
        <w:tab/>
      </w:r>
      <w:r>
        <w:rPr>
          <w:noProof/>
        </w:rPr>
        <w:t>Съвместимост с многогодишната финансова рамка и евентуални синергии с други подходящи инструменти</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Средствата, предоставени в рамките на финансовата компенсация за достъпа до споразумения за партньорство в областта на рибарството (СПОР), представляват приходи в националния бюджет на Кабо Верде, които по принцип не са определени за конкретни цели. Все пак средствата, предназначени за секторна подкрепа, се предоставят (обикновено чрез вписване в годишния закон за държавния бюджет) на компетентния министър по въпросите на рибарството, като това е условие за сключването и наблюдението на СПОР.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w:t>
      </w:r>
    </w:p>
    <w:p>
      <w:pPr>
        <w:pStyle w:val="ManualHeading3"/>
        <w:rPr>
          <w:noProof/>
        </w:rPr>
      </w:pPr>
      <w:bookmarkStart w:id="29" w:name="_Toc514938036"/>
      <w:bookmarkStart w:id="30" w:name="_Toc520485039"/>
      <w:r>
        <w:t>1.5.5.</w:t>
      </w:r>
      <w:r>
        <w:tab/>
      </w:r>
      <w:r>
        <w:rPr>
          <w:noProof/>
        </w:rPr>
        <w:t>Оценка на различните налични варианти за финансиране, включително възможностите за преразпределяне на средства</w:t>
      </w:r>
      <w:bookmarkEnd w:id="29"/>
      <w:bookmarkEnd w:id="30"/>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bookmarkStart w:id="31" w:name="_Toc514938039"/>
      <w:bookmarkStart w:id="32" w:name="_Toc520485040"/>
      <w:r>
        <w:t>1.6.</w:t>
      </w:r>
      <w:r>
        <w:tab/>
      </w:r>
      <w:r>
        <w:rPr>
          <w:noProof/>
        </w:rPr>
        <w:t>Продължителност и финансово отражение на предложението/инициативата</w:t>
      </w:r>
      <w:bookmarkEnd w:id="31"/>
      <w:bookmarkEnd w:id="32"/>
    </w:p>
    <w:p>
      <w:pPr>
        <w:pStyle w:val="Text1"/>
        <w:rPr>
          <w:noProof/>
        </w:rPr>
      </w:pPr>
      <w:r>
        <w:rPr>
          <w:b/>
          <w:noProof/>
        </w:rPr>
        <w:t>X</w:t>
      </w:r>
      <w:r>
        <w:rPr>
          <w:b/>
          <w:i/>
          <w:noProof/>
        </w:rPr>
        <w:t xml:space="preserve"> </w:t>
      </w:r>
      <w:r>
        <w:rPr>
          <w:b/>
          <w:noProof/>
        </w:rPr>
        <w:t xml:space="preserve">ограничен срок на действие </w:t>
      </w:r>
    </w:p>
    <w:p>
      <w:pPr>
        <w:pStyle w:val="ListDash2"/>
        <w:rPr>
          <w:noProof/>
        </w:rPr>
      </w:pPr>
      <w:r>
        <w:rPr>
          <w:noProof/>
        </w:rPr>
        <w:t>X</w:t>
      </w:r>
      <w:r>
        <w:rPr>
          <w:noProof/>
        </w:rPr>
        <w:tab/>
        <w:t xml:space="preserve">в сила от 2019 г. до 2024 г. </w:t>
      </w:r>
    </w:p>
    <w:p>
      <w:pPr>
        <w:pStyle w:val="ListDash2"/>
        <w:rPr>
          <w:noProof/>
        </w:rPr>
      </w:pPr>
      <w:r>
        <w:rPr>
          <w:noProof/>
        </w:rPr>
        <w:t>X</w:t>
      </w:r>
      <w:r>
        <w:rPr>
          <w:noProof/>
        </w:rPr>
        <w:tab/>
        <w:t xml:space="preserve">финансово отражение от 2019 г. до 2024 г. за бюджетните кредити за поети задължения и от 2019 г. до 2024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bookmarkStart w:id="33" w:name="_Toc514938040"/>
      <w:bookmarkStart w:id="34" w:name="_Toc520485041"/>
      <w:r>
        <w:lastRenderedPageBreak/>
        <w:t>1.7.</w:t>
      </w:r>
      <w:r>
        <w:tab/>
      </w:r>
      <w:r>
        <w:rPr>
          <w:noProof/>
        </w:rPr>
        <w:t>Планирани методи на управление</w:t>
      </w:r>
      <w:r>
        <w:rPr>
          <w:rStyle w:val="FootnoteReference"/>
          <w:noProof/>
        </w:rPr>
        <w:footnoteReference w:id="10"/>
      </w:r>
      <w:bookmarkEnd w:id="33"/>
      <w:bookmarkEnd w:id="34"/>
      <w:r>
        <w:rPr>
          <w:rStyle w:val="FootnoteReference"/>
          <w:noProof/>
        </w:rPr>
        <w:t xml:space="preserve"> </w:t>
      </w:r>
    </w:p>
    <w:p>
      <w:pPr>
        <w:pStyle w:val="Text1"/>
        <w:rPr>
          <w:noProof/>
        </w:rPr>
      </w:pPr>
      <w:r>
        <w:rPr>
          <w:b/>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b/>
          <w:noProof/>
        </w:rPr>
        <w:t>X</w:t>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посочат);</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14938041"/>
      <w:bookmarkStart w:id="36" w:name="_Toc520485042"/>
      <w:r>
        <w:lastRenderedPageBreak/>
        <w:t>2.</w:t>
      </w:r>
      <w:r>
        <w:tab/>
      </w:r>
      <w:r>
        <w:rPr>
          <w:noProof/>
        </w:rPr>
        <w:t>МЕРКИ ЗА УПРАВЛЕНИЕ</w:t>
      </w:r>
      <w:bookmarkEnd w:id="35"/>
      <w:bookmarkEnd w:id="36"/>
      <w:r>
        <w:rPr>
          <w:noProof/>
        </w:rPr>
        <w:t xml:space="preserve"> </w:t>
      </w:r>
    </w:p>
    <w:p>
      <w:pPr>
        <w:pStyle w:val="ManualHeading2"/>
        <w:rPr>
          <w:noProof/>
        </w:rPr>
      </w:pPr>
      <w:bookmarkStart w:id="37" w:name="_Toc514938042"/>
      <w:bookmarkStart w:id="38" w:name="_Toc520485043"/>
      <w:r>
        <w:t>2.1.</w:t>
      </w:r>
      <w:r>
        <w:tab/>
      </w:r>
      <w:r>
        <w:rPr>
          <w:noProof/>
        </w:rPr>
        <w:t>Правила за наблюдение и докладване</w:t>
      </w:r>
      <w:bookmarkEnd w:id="37"/>
      <w:bookmarkEnd w:id="38"/>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в сътрудничество със своя аташе по риболова, установен в региона — Дакар, Сенегал) осигурява редовно наблюдение върху изпълнението на протокола по отношение на оползотворяването на възможностите за риболов от страна на операторите и данните за улова, както и по отношение на изискванията за секторната подкрепа.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СПОР предвижда поне по едно ежегодно заседание на съвместния комитет, по време на което Комисията и Кабо Верде разглеждат изпълнението на споразумението и протокола, като при необходимост внасят корекции в планирането и, според случая, във финансовото участие.</w:t>
      </w:r>
    </w:p>
    <w:p>
      <w:pPr>
        <w:pStyle w:val="ManualHeading2"/>
        <w:rPr>
          <w:bCs/>
          <w:noProof/>
          <w:szCs w:val="24"/>
        </w:rPr>
      </w:pPr>
      <w:bookmarkStart w:id="39" w:name="_Toc514938045"/>
      <w:bookmarkStart w:id="40" w:name="_Toc520485044"/>
      <w:r>
        <w:t>2.2.</w:t>
      </w:r>
      <w:r>
        <w:tab/>
      </w:r>
      <w:r>
        <w:rPr>
          <w:noProof/>
        </w:rPr>
        <w:t>Системи за управление и контрол</w:t>
      </w:r>
      <w:bookmarkEnd w:id="39"/>
      <w:bookmarkEnd w:id="40"/>
      <w:r>
        <w:rPr>
          <w:noProof/>
        </w:rPr>
        <w:t xml:space="preserve"> </w:t>
      </w:r>
    </w:p>
    <w:p>
      <w:pPr>
        <w:pStyle w:val="ManualHeading3"/>
        <w:rPr>
          <w:noProof/>
        </w:rPr>
      </w:pPr>
      <w:bookmarkStart w:id="41" w:name="_Toc514938046"/>
      <w:bookmarkStart w:id="42" w:name="_Toc520485045"/>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 xml:space="preserve">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секторната политика в областта на рибарството в Кабо Верде. </w:t>
      </w:r>
    </w:p>
    <w:p>
      <w:pPr>
        <w:pStyle w:val="ManualHeading3"/>
        <w:rPr>
          <w:bCs/>
          <w:noProof/>
          <w:szCs w:val="24"/>
        </w:rPr>
      </w:pPr>
      <w:bookmarkStart w:id="43" w:name="_Toc514938047"/>
      <w:bookmarkStart w:id="44" w:name="_Toc520485046"/>
      <w:r>
        <w:t>2.2.2.</w:t>
      </w:r>
      <w:r>
        <w:tab/>
      </w:r>
      <w:r>
        <w:rPr>
          <w:noProof/>
        </w:rPr>
        <w:t>Информация относно установените рискове и системите за вътрешен контрол, създадени с цел намаляването им</w:t>
      </w:r>
      <w:bookmarkEnd w:id="43"/>
      <w:bookmarkEnd w:id="44"/>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посочен в член 5 от протокола, също представлява част от тези методи за контрол.</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w:t>
      </w:r>
    </w:p>
    <w:p>
      <w:pPr>
        <w:pStyle w:val="ManualHeading3"/>
        <w:rPr>
          <w:noProof/>
        </w:rPr>
      </w:pPr>
      <w:bookmarkStart w:id="45" w:name="_Toc514938048"/>
      <w:bookmarkStart w:id="46" w:name="_Toc520485047"/>
      <w:r>
        <w:rPr>
          <w:noProof/>
        </w:rPr>
        <w:br w:type="page"/>
      </w:r>
      <w:r>
        <w:lastRenderedPageBreak/>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47" w:name="_Toc514938049"/>
      <w:bookmarkStart w:id="48" w:name="_Toc520485048"/>
      <w:r>
        <w:t>2.3.</w:t>
      </w:r>
      <w:r>
        <w:tab/>
      </w:r>
      <w:r>
        <w:rPr>
          <w:noProof/>
        </w:rPr>
        <w:t>Мерки за предотвратяване на измами и нередности</w:t>
      </w:r>
      <w:bookmarkEnd w:id="47"/>
      <w:bookmarkEnd w:id="48"/>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поема ангажимент да установи политически диалог и редовно съгласуване с Република Кабо Верде с цел подобряване на управлението на споразумението и на протокола и увеличаване на приноса на Съюза за устойчивото управление на ресурсите. Плащанията, които Комисията извършва по СПОР, са съобразени с нейните правила и обичайните ѝ бюджетни и финансови процедури. Това се отнася по-специално до пълното идентифициране на банковите сметки на третите държави, по които се превеждат сумите за финансово участие. Съгласно член 4, параграф 6 от протокола финансовото участие във връзка с достъпа трябва да се превежда на държавната хазна на Кабо Верде, а частта, предназначена за развитието на сектора — по специална сметка, открита за тази цел, в банката на държавната хазна на Кабо Верде.</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9" w:name="_Toc514938050"/>
      <w:bookmarkStart w:id="50" w:name="_Toc520485049"/>
      <w:r>
        <w:lastRenderedPageBreak/>
        <w:t>3.</w:t>
      </w:r>
      <w:r>
        <w:tab/>
      </w:r>
      <w:r>
        <w:rPr>
          <w:noProof/>
        </w:rPr>
        <w:t>ОЧАКВАНО ФИНАНСОВО ОТРАЖЕНИЕ НА ПРЕДЛОЖЕНИЕТО/ИНИЦИАТИВАТА</w:t>
      </w:r>
      <w:bookmarkEnd w:id="49"/>
      <w:bookmarkEnd w:id="50"/>
      <w:r>
        <w:rPr>
          <w:noProof/>
        </w:rPr>
        <w:t xml:space="preserve"> </w:t>
      </w:r>
    </w:p>
    <w:p>
      <w:pPr>
        <w:pStyle w:val="ManualHeading2"/>
        <w:rPr>
          <w:noProof/>
        </w:rPr>
      </w:pPr>
      <w:bookmarkStart w:id="51" w:name="_Toc514938051"/>
      <w:bookmarkStart w:id="52" w:name="_Toc520485050"/>
      <w:r>
        <w:t>3.1.</w:t>
      </w:r>
      <w:r>
        <w:tab/>
      </w:r>
      <w:r>
        <w:rPr>
          <w:noProof/>
        </w:rPr>
        <w:t>Съответни функции от многогодишната финансова рамка и разходни бюджетни редове</w:t>
      </w:r>
      <w:bookmarkEnd w:id="51"/>
      <w:bookmarkEnd w:id="52"/>
      <w:r>
        <w:rPr>
          <w:noProof/>
        </w:rPr>
        <w:t xml:space="preserve"> </w:t>
      </w:r>
    </w:p>
    <w:p>
      <w:pPr>
        <w:pStyle w:val="ListBullet1"/>
        <w:rPr>
          <w:noProof/>
        </w:rPr>
      </w:pPr>
      <w:r>
        <w:rPr>
          <w:noProof/>
        </w:rPr>
        <w:t xml:space="preserve">Съществуващи бюджетни редове </w:t>
      </w:r>
    </w:p>
    <w:p>
      <w:pPr>
        <w:pStyle w:val="Text1"/>
        <w:rPr>
          <w:i/>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6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r>
              <w:rPr>
                <w:rStyle w:val="FootnoteReference"/>
                <w:noProof/>
                <w:sz w:val="18"/>
              </w:rPr>
              <w:footnoteReference w:id="11"/>
            </w:r>
          </w:p>
        </w:tc>
        <w:tc>
          <w:tcPr>
            <w:tcW w:w="1076" w:type="dxa"/>
            <w:vAlign w:val="center"/>
          </w:tcPr>
          <w:p>
            <w:pPr>
              <w:jc w:val="center"/>
              <w:rPr>
                <w:noProof/>
              </w:rPr>
            </w:pPr>
            <w:r>
              <w:rPr>
                <w:noProof/>
                <w:sz w:val="18"/>
              </w:rPr>
              <w:t>от държави от ЕАСТ</w:t>
            </w:r>
            <w:r>
              <w:rPr>
                <w:rStyle w:val="FootnoteReference"/>
                <w:noProof/>
                <w:sz w:val="18"/>
              </w:rPr>
              <w:footnoteReference w:id="12"/>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13"/>
            </w:r>
          </w:p>
          <w:p>
            <w:pPr>
              <w:spacing w:before="0" w:after="0"/>
              <w:jc w:val="center"/>
              <w:rPr>
                <w:noProof/>
                <w:sz w:val="18"/>
              </w:rPr>
            </w:pP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риболовните кораби на Европейския съюз във водите на трети държави (СУР)</w:t>
            </w:r>
          </w:p>
        </w:tc>
        <w:tc>
          <w:tcPr>
            <w:tcW w:w="1080" w:type="dxa"/>
            <w:vAlign w:val="center"/>
          </w:tcPr>
          <w:p>
            <w:pPr>
              <w:jc w:val="center"/>
              <w:rPr>
                <w:noProof/>
                <w:color w:val="0000FF"/>
              </w:rPr>
            </w:pPr>
            <w:r>
              <w:rPr>
                <w:noProof/>
                <w:sz w:val="22"/>
              </w:rPr>
              <w:t>Многогод.</w:t>
            </w:r>
          </w:p>
        </w:tc>
        <w:tc>
          <w:tcPr>
            <w:tcW w:w="1076" w:type="dxa"/>
            <w:vAlign w:val="center"/>
          </w:tcPr>
          <w:p>
            <w:pPr>
              <w:jc w:val="center"/>
              <w:rPr>
                <w:noProof/>
                <w:sz w:val="20"/>
                <w:szCs w:val="20"/>
              </w:rPr>
            </w:pPr>
            <w:r>
              <w:rPr>
                <w:noProof/>
                <w:sz w:val="20"/>
              </w:rPr>
              <w:t>НЕ</w:t>
            </w:r>
          </w:p>
        </w:tc>
        <w:tc>
          <w:tcPr>
            <w:tcW w:w="1080" w:type="dxa"/>
            <w:vAlign w:val="center"/>
          </w:tcPr>
          <w:p>
            <w:pPr>
              <w:jc w:val="center"/>
              <w:rPr>
                <w:noProof/>
                <w:sz w:val="20"/>
                <w:szCs w:val="20"/>
              </w:rPr>
            </w:pPr>
            <w:r>
              <w:rPr>
                <w:noProof/>
                <w:sz w:val="20"/>
              </w:rPr>
              <w:t>НЕ</w:t>
            </w:r>
          </w:p>
        </w:tc>
        <w:tc>
          <w:tcPr>
            <w:tcW w:w="1084" w:type="dxa"/>
            <w:vAlign w:val="center"/>
          </w:tcPr>
          <w:p>
            <w:pPr>
              <w:jc w:val="center"/>
              <w:rPr>
                <w:noProof/>
                <w:sz w:val="20"/>
                <w:szCs w:val="20"/>
              </w:rPr>
            </w:pPr>
            <w:r>
              <w:rPr>
                <w:noProof/>
                <w:sz w:val="20"/>
              </w:rPr>
              <w:t>НЕ</w:t>
            </w:r>
          </w:p>
        </w:tc>
        <w:tc>
          <w:tcPr>
            <w:tcW w:w="1320" w:type="dxa"/>
            <w:vAlign w:val="center"/>
          </w:tcPr>
          <w:p>
            <w:pPr>
              <w:jc w:val="center"/>
              <w:rPr>
                <w:noProof/>
                <w:sz w:val="20"/>
                <w:szCs w:val="20"/>
              </w:rPr>
            </w:pPr>
            <w:r>
              <w:rPr>
                <w:noProof/>
                <w:sz w:val="20"/>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sz w:val="20"/>
          <w:u w:val="single"/>
        </w:rPr>
        <w:t>По реда</w:t>
      </w:r>
      <w:r>
        <w:rPr>
          <w:i/>
          <w:noProof/>
          <w:sz w:val="20"/>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84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6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rPr>
              <w:t>Многогод./едногод.</w:t>
            </w:r>
          </w:p>
        </w:tc>
        <w:tc>
          <w:tcPr>
            <w:tcW w:w="107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1084" w:type="dxa"/>
            <w:vAlign w:val="center"/>
          </w:tcPr>
          <w:p>
            <w:pPr>
              <w:jc w:val="center"/>
              <w:rPr>
                <w:noProof/>
                <w:sz w:val="18"/>
              </w:rPr>
            </w:pPr>
            <w:r>
              <w:rPr>
                <w:noProof/>
                <w:sz w:val="18"/>
              </w:rPr>
              <w:t>от трети държави</w:t>
            </w:r>
          </w:p>
        </w:tc>
        <w:tc>
          <w:tcPr>
            <w:tcW w:w="132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ДА/НЕ</w:t>
            </w:r>
          </w:p>
        </w:tc>
        <w:tc>
          <w:tcPr>
            <w:tcW w:w="1080" w:type="dxa"/>
            <w:vAlign w:val="center"/>
          </w:tcPr>
          <w:p>
            <w:pPr>
              <w:jc w:val="center"/>
              <w:rPr>
                <w:noProof/>
                <w:color w:val="0000FF"/>
                <w:sz w:val="20"/>
                <w:szCs w:val="20"/>
              </w:rPr>
            </w:pPr>
            <w:r>
              <w:rPr>
                <w:noProof/>
                <w:sz w:val="20"/>
              </w:rPr>
              <w:t>ДА/НЕ</w:t>
            </w:r>
          </w:p>
        </w:tc>
        <w:tc>
          <w:tcPr>
            <w:tcW w:w="1084" w:type="dxa"/>
            <w:vAlign w:val="center"/>
          </w:tcPr>
          <w:p>
            <w:pPr>
              <w:jc w:val="center"/>
              <w:rPr>
                <w:noProof/>
                <w:color w:val="0000FF"/>
                <w:sz w:val="20"/>
                <w:szCs w:val="20"/>
              </w:rPr>
            </w:pPr>
            <w:r>
              <w:rPr>
                <w:noProof/>
                <w:sz w:val="20"/>
              </w:rPr>
              <w:t>ДА/НЕ</w:t>
            </w:r>
          </w:p>
        </w:tc>
        <w:tc>
          <w:tcPr>
            <w:tcW w:w="1320" w:type="dxa"/>
            <w:vAlign w:val="center"/>
          </w:tcPr>
          <w:p>
            <w:pPr>
              <w:jc w:val="center"/>
              <w:rPr>
                <w:noProof/>
                <w:sz w:val="20"/>
                <w:szCs w:val="20"/>
              </w:rPr>
            </w:pPr>
            <w:r>
              <w:rPr>
                <w:noProof/>
                <w:sz w:val="20"/>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3" w:name="_Toc514938052"/>
      <w:bookmarkStart w:id="54" w:name="_Toc520485051"/>
      <w:r>
        <w:lastRenderedPageBreak/>
        <w:t>3.2.</w:t>
      </w:r>
      <w:r>
        <w:tab/>
      </w:r>
      <w:r>
        <w:rPr>
          <w:noProof/>
        </w:rPr>
        <w:t>Очаквано финансово отражение на предложението върху бюджетните кредити</w:t>
      </w:r>
      <w:bookmarkEnd w:id="53"/>
      <w:bookmarkEnd w:id="54"/>
      <w:r>
        <w:rPr>
          <w:noProof/>
        </w:rPr>
        <w:t xml:space="preserve"> </w:t>
      </w:r>
    </w:p>
    <w:p>
      <w:pPr>
        <w:pStyle w:val="ManualHeading3"/>
        <w:rPr>
          <w:noProof/>
        </w:rPr>
      </w:pPr>
      <w:bookmarkStart w:id="55" w:name="_Toc514938053"/>
      <w:bookmarkStart w:id="56" w:name="_Toc520485052"/>
      <w:r>
        <w:t>3.2.1.</w:t>
      </w:r>
      <w:r>
        <w:tab/>
      </w:r>
      <w:r>
        <w:rPr>
          <w:noProof/>
        </w:rPr>
        <w:t>Обобщение на очакваното отражение върху бюджетните кредити за оперативни разходи</w:t>
      </w:r>
      <w:bookmarkEnd w:id="55"/>
      <w:bookmarkEnd w:id="56"/>
      <w:r>
        <w:rPr>
          <w:noProof/>
        </w:rPr>
        <w:t xml:space="preserve">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p>
            <w:pPr>
              <w:spacing w:before="60" w:after="60"/>
              <w:jc w:val="center"/>
              <w:rPr>
                <w:noProof/>
              </w:rPr>
            </w:pPr>
            <w:r>
              <w:rPr>
                <w:noProof/>
                <w:sz w:val="22"/>
              </w:rPr>
              <w:t>2</w:t>
            </w:r>
          </w:p>
        </w:tc>
        <w:tc>
          <w:tcPr>
            <w:tcW w:w="7817" w:type="dxa"/>
            <w:vAlign w:val="center"/>
          </w:tcPr>
          <w:p>
            <w:pPr>
              <w:spacing w:before="60" w:after="60"/>
              <w:rPr>
                <w:noProof/>
              </w:rPr>
            </w:pPr>
            <w:r>
              <w:rPr>
                <w:noProof/>
              </w:rPr>
              <w:t>Устойчив растеж: природни ресурси</w:t>
            </w:r>
          </w:p>
        </w:tc>
      </w:tr>
    </w:tbl>
    <w:p>
      <w:pPr>
        <w:rPr>
          <w:noProof/>
          <w:sz w:val="16"/>
        </w:rPr>
      </w:pPr>
    </w:p>
    <w:tbl>
      <w:tblPr>
        <w:tblW w:w="12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99"/>
        <w:gridCol w:w="1746"/>
      </w:tblGrid>
      <w:tr>
        <w:tc>
          <w:tcPr>
            <w:tcW w:w="3960" w:type="dxa"/>
            <w:vAlign w:val="center"/>
          </w:tcPr>
          <w:p>
            <w:pPr>
              <w:jc w:val="center"/>
              <w:rPr>
                <w:noProof/>
              </w:rPr>
            </w:pPr>
            <w:r>
              <w:rPr>
                <w:noProof/>
                <w:sz w:val="22"/>
              </w:rPr>
              <w:t>ГД: „Морско дело и рибарство“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99" w:type="dxa"/>
            <w:vAlign w:val="center"/>
          </w:tcPr>
          <w:p>
            <w:pPr>
              <w:jc w:val="center"/>
              <w:rPr>
                <w:noProof/>
                <w:sz w:val="20"/>
              </w:rPr>
            </w:pPr>
            <w:r>
              <w:rPr>
                <w:noProof/>
                <w:sz w:val="20"/>
              </w:rPr>
              <w:t>Година</w:t>
            </w:r>
            <w:r>
              <w:rPr>
                <w:noProof/>
                <w:sz w:val="22"/>
              </w:rPr>
              <w:br/>
            </w:r>
            <w:r>
              <w:rPr>
                <w:b/>
                <w:noProof/>
                <w:sz w:val="20"/>
              </w:rPr>
              <w:t>2022</w:t>
            </w:r>
          </w:p>
        </w:tc>
        <w:tc>
          <w:tcPr>
            <w:tcW w:w="1746"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99" w:type="dxa"/>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Бюджетен ред</w:t>
            </w:r>
            <w:r>
              <w:rPr>
                <w:rStyle w:val="FootnoteReference"/>
                <w:noProof/>
                <w:sz w:val="20"/>
              </w:rPr>
              <w:footnoteReference w:id="14"/>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tcPr>
          <w:p>
            <w:pPr>
              <w:spacing w:before="20" w:after="20"/>
              <w:jc w:val="right"/>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tcPr>
          <w:p>
            <w:pPr>
              <w:spacing w:before="20" w:after="20"/>
              <w:jc w:val="right"/>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r>
        <w:tc>
          <w:tcPr>
            <w:tcW w:w="3960" w:type="dxa"/>
            <w:vMerge w:val="restart"/>
            <w:vAlign w:val="center"/>
          </w:tcPr>
          <w:p>
            <w:pPr>
              <w:rPr>
                <w:noProof/>
              </w:rPr>
            </w:pPr>
            <w:r>
              <w:rPr>
                <w:noProof/>
                <w:sz w:val="20"/>
              </w:rPr>
              <w:t>Бюджетен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5"/>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99" w:type="dxa"/>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99" w:type="dxa"/>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lastRenderedPageBreak/>
              <w:t>за ГД „Морско дело и рибарство“</w:t>
            </w:r>
          </w:p>
        </w:tc>
        <w:tc>
          <w:tcPr>
            <w:tcW w:w="1440" w:type="dxa"/>
            <w:vAlign w:val="center"/>
          </w:tcPr>
          <w:p>
            <w:pPr>
              <w:rPr>
                <w:noProof/>
                <w:sz w:val="18"/>
              </w:rPr>
            </w:pPr>
            <w:r>
              <w:rPr>
                <w:noProof/>
                <w:sz w:val="18"/>
              </w:rPr>
              <w:lastRenderedPageBreak/>
              <w:t>Поети задължения</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vAlign w:val="center"/>
          </w:tcPr>
          <w:p>
            <w:pPr>
              <w:spacing w:before="20" w:after="20"/>
              <w:jc w:val="center"/>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99" w:type="dxa"/>
            <w:vAlign w:val="center"/>
          </w:tcPr>
          <w:p>
            <w:pPr>
              <w:spacing w:before="20" w:after="20"/>
              <w:jc w:val="center"/>
              <w:rPr>
                <w:noProof/>
                <w:sz w:val="20"/>
              </w:rPr>
            </w:pPr>
            <w:r>
              <w:rPr>
                <w:noProof/>
                <w:sz w:val="20"/>
              </w:rPr>
              <w:t>0,750</w:t>
            </w:r>
          </w:p>
        </w:tc>
        <w:tc>
          <w:tcPr>
            <w:tcW w:w="1746" w:type="dxa"/>
            <w:vAlign w:val="center"/>
          </w:tcPr>
          <w:p>
            <w:pPr>
              <w:spacing w:before="20" w:after="20"/>
              <w:jc w:val="right"/>
              <w:rPr>
                <w:b/>
                <w:noProof/>
                <w:sz w:val="20"/>
              </w:rPr>
            </w:pPr>
            <w:r>
              <w:rPr>
                <w:b/>
                <w:noProof/>
                <w:sz w:val="20"/>
              </w:rPr>
              <w:t>3,750</w:t>
            </w:r>
          </w:p>
        </w:tc>
      </w:tr>
    </w:tbl>
    <w:p>
      <w:pPr>
        <w:rPr>
          <w:noProof/>
        </w:rPr>
      </w:pPr>
      <w:r>
        <w:rPr>
          <w:noProof/>
        </w:rPr>
        <w:lastRenderedPageBreak/>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ФУНКЦИЯ &lt;2.&gt;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32" w:type="dxa"/>
            <w:vAlign w:val="center"/>
          </w:tcPr>
          <w:p>
            <w:pPr>
              <w:spacing w:before="20" w:after="20"/>
              <w:jc w:val="right"/>
              <w:rPr>
                <w:b/>
                <w:noProof/>
                <w:sz w:val="20"/>
              </w:rPr>
            </w:pPr>
            <w:r>
              <w:rPr>
                <w:b/>
                <w:noProof/>
                <w:sz w:val="20"/>
              </w:rPr>
              <w:t>3,750</w:t>
            </w:r>
          </w:p>
        </w:tc>
      </w:tr>
    </w:tbl>
    <w:p>
      <w:pPr>
        <w:spacing w:after="40"/>
        <w:rPr>
          <w:b/>
          <w:noProof/>
          <w:sz w:val="22"/>
          <w:u w:val="single"/>
        </w:rPr>
      </w:pPr>
      <w:r>
        <w:rPr>
          <w:b/>
          <w:noProof/>
          <w:sz w:val="22"/>
          <w:u w:val="single"/>
        </w:rPr>
        <w:t>Ако предложението/инициативата има отражение върху повече от една оперативна функция, повторете частта по-горе:</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ОБЩО бюджетни кредити за административни разходи, финансирани от пакета за определени програми (всички оперативни функции)</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868" w:type="dxa"/>
            <w:vAlign w:val="center"/>
          </w:tcPr>
          <w:p>
            <w:pPr>
              <w:spacing w:before="20" w:after="20"/>
              <w:jc w:val="right"/>
              <w:rPr>
                <w:noProof/>
                <w:sz w:val="20"/>
              </w:rPr>
            </w:pPr>
            <w:r>
              <w:rPr>
                <w:noProof/>
                <w:sz w:val="20"/>
              </w:rPr>
              <w:t>0,750</w:t>
            </w:r>
          </w:p>
        </w:tc>
        <w:tc>
          <w:tcPr>
            <w:tcW w:w="1777" w:type="dxa"/>
            <w:tcBorders>
              <w:right w:val="single" w:sz="4" w:space="0" w:color="auto"/>
            </w:tcBorders>
            <w:vAlign w:val="center"/>
          </w:tcPr>
          <w:p>
            <w:pPr>
              <w:spacing w:before="20" w:after="20"/>
              <w:jc w:val="right"/>
              <w:rPr>
                <w:b/>
                <w:noProof/>
                <w:sz w:val="20"/>
              </w:rPr>
            </w:pPr>
            <w:r>
              <w:rPr>
                <w:b/>
                <w:noProof/>
                <w:sz w:val="20"/>
              </w:rPr>
              <w:t>3,750</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868" w:type="dxa"/>
            <w:tcBorders>
              <w:bottom w:val="single" w:sz="4" w:space="0" w:color="auto"/>
            </w:tcBorders>
            <w:vAlign w:val="center"/>
          </w:tcPr>
          <w:p>
            <w:pPr>
              <w:spacing w:before="20" w:after="20"/>
              <w:jc w:val="right"/>
              <w:rPr>
                <w:noProof/>
                <w:sz w:val="20"/>
              </w:rPr>
            </w:pPr>
            <w:r>
              <w:rPr>
                <w:noProof/>
                <w:sz w:val="20"/>
              </w:rPr>
              <w:t>0,750</w:t>
            </w:r>
          </w:p>
        </w:tc>
        <w:tc>
          <w:tcPr>
            <w:tcW w:w="1777" w:type="dxa"/>
            <w:tcBorders>
              <w:bottom w:val="single" w:sz="4" w:space="0" w:color="auto"/>
              <w:right w:val="single" w:sz="4" w:space="0" w:color="auto"/>
            </w:tcBorders>
            <w:vAlign w:val="center"/>
          </w:tcPr>
          <w:p>
            <w:pPr>
              <w:spacing w:before="20" w:after="20"/>
              <w:jc w:val="right"/>
              <w:rPr>
                <w:b/>
                <w:noProof/>
                <w:sz w:val="20"/>
              </w:rPr>
            </w:pPr>
            <w:r>
              <w:rPr>
                <w:b/>
                <w:noProof/>
                <w:sz w:val="20"/>
              </w:rPr>
              <w:t>3,750</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lastRenderedPageBreak/>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left"/>
        <w:rPr>
          <w:noProof/>
          <w:sz w:val="20"/>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18">
        <w:r>
          <w:rPr>
            <w:rStyle w:val="Hyperlink"/>
            <w:noProof/>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b/>
                <w:noProof/>
                <w:sz w:val="18"/>
              </w:rPr>
            </w:pPr>
            <w:r>
              <w:rPr>
                <w:noProof/>
                <w:sz w:val="20"/>
              </w:rPr>
              <w:t>Година</w:t>
            </w:r>
            <w:r>
              <w:rPr>
                <w:noProof/>
                <w:sz w:val="22"/>
              </w:rPr>
              <w:br/>
            </w:r>
            <w:r>
              <w:rPr>
                <w:b/>
                <w:noProof/>
                <w:sz w:val="20"/>
              </w:rPr>
              <w:t>2023</w:t>
            </w:r>
          </w:p>
        </w:tc>
        <w:tc>
          <w:tcPr>
            <w:tcW w:w="1777" w:type="dxa"/>
            <w:vAlign w:val="center"/>
          </w:tcPr>
          <w:p>
            <w:pPr>
              <w:jc w:val="center"/>
              <w:rPr>
                <w:b/>
                <w:noProof/>
                <w:sz w:val="20"/>
              </w:rPr>
            </w:pPr>
            <w:r>
              <w:rPr>
                <w:b/>
                <w:noProof/>
                <w:sz w:val="20"/>
              </w:rPr>
              <w:t>ОБЩО</w:t>
            </w:r>
          </w:p>
        </w:tc>
      </w:tr>
      <w:tr>
        <w:trPr>
          <w:gridAfter w:val="8"/>
          <w:wAfter w:w="8211" w:type="dxa"/>
        </w:trPr>
        <w:tc>
          <w:tcPr>
            <w:tcW w:w="3960" w:type="dxa"/>
            <w:vAlign w:val="center"/>
          </w:tcPr>
          <w:p>
            <w:pPr>
              <w:spacing w:before="60" w:after="60"/>
              <w:jc w:val="center"/>
              <w:rPr>
                <w:noProof/>
              </w:rPr>
            </w:pPr>
            <w:r>
              <w:rPr>
                <w:noProof/>
                <w:sz w:val="22"/>
              </w:rPr>
              <w:t>ГД: „Морско дело и рибарство“</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sz w:val="22"/>
              </w:rPr>
              <w:t>„Морско дело и рибарство“</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b/>
                <w:noProof/>
                <w:sz w:val="18"/>
              </w:rPr>
            </w:pPr>
            <w:r>
              <w:rPr>
                <w:noProof/>
                <w:sz w:val="20"/>
              </w:rPr>
              <w:t>Година</w:t>
            </w:r>
            <w:r>
              <w:rPr>
                <w:noProof/>
                <w:sz w:val="22"/>
              </w:rPr>
              <w:br/>
            </w:r>
            <w:r>
              <w:rPr>
                <w:b/>
                <w:noProof/>
                <w:sz w:val="20"/>
              </w:rPr>
              <w:t>2023</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1777" w:type="dxa"/>
            <w:vAlign w:val="center"/>
          </w:tcPr>
          <w:p>
            <w:pPr>
              <w:spacing w:before="60" w:after="60"/>
              <w:jc w:val="right"/>
              <w:rPr>
                <w:b/>
                <w:noProof/>
                <w:sz w:val="20"/>
              </w:rPr>
            </w:pPr>
            <w:r>
              <w:rPr>
                <w:b/>
                <w:noProof/>
                <w:sz w:val="20"/>
              </w:rPr>
              <w:t>3,750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868" w:type="dxa"/>
            <w:vAlign w:val="center"/>
          </w:tcPr>
          <w:p>
            <w:pPr>
              <w:spacing w:before="60" w:after="60"/>
              <w:jc w:val="right"/>
              <w:rPr>
                <w:noProof/>
                <w:sz w:val="20"/>
              </w:rPr>
            </w:pPr>
            <w:r>
              <w:rPr>
                <w:noProof/>
                <w:sz w:val="20"/>
              </w:rPr>
              <w:t>0,750</w:t>
            </w:r>
          </w:p>
        </w:tc>
        <w:tc>
          <w:tcPr>
            <w:tcW w:w="1777" w:type="dxa"/>
            <w:vAlign w:val="center"/>
          </w:tcPr>
          <w:p>
            <w:pPr>
              <w:spacing w:before="60" w:after="60"/>
              <w:jc w:val="right"/>
              <w:rPr>
                <w:b/>
                <w:noProof/>
                <w:sz w:val="20"/>
              </w:rPr>
            </w:pPr>
            <w:r>
              <w:rPr>
                <w:b/>
                <w:noProof/>
                <w:sz w:val="20"/>
              </w:rPr>
              <w:t>3,750</w:t>
            </w:r>
          </w:p>
        </w:tc>
      </w:tr>
    </w:tbl>
    <w:p>
      <w:pPr>
        <w:rPr>
          <w:noProof/>
        </w:rPr>
      </w:pPr>
    </w:p>
    <w:p>
      <w:pPr>
        <w:pStyle w:val="ManualHeading3"/>
        <w:rPr>
          <w:bCs/>
          <w:noProof/>
          <w:szCs w:val="24"/>
        </w:rPr>
      </w:pPr>
      <w:bookmarkStart w:id="57" w:name="_Toc514938054"/>
      <w:bookmarkStart w:id="58" w:name="_Toc520485053"/>
      <w:r>
        <w:lastRenderedPageBreak/>
        <w:t>3.2.2.</w:t>
      </w:r>
      <w:r>
        <w:tab/>
      </w:r>
      <w:r>
        <w:rPr>
          <w:noProof/>
        </w:rPr>
        <w:t>Очакван резултат, финансиран с бюджетни кредити за оперативни разходи</w:t>
      </w:r>
      <w:bookmarkEnd w:id="57"/>
      <w:bookmarkEnd w:id="58"/>
      <w:r>
        <w:rPr>
          <w:noProof/>
        </w:rPr>
        <w:t xml:space="preserve">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708"/>
        <w:gridCol w:w="900"/>
        <w:gridCol w:w="12"/>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2021</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2022</w:t>
            </w:r>
          </w:p>
        </w:tc>
        <w:tc>
          <w:tcPr>
            <w:tcW w:w="1200" w:type="dxa"/>
            <w:gridSpan w:val="3"/>
            <w:vAlign w:val="center"/>
          </w:tcPr>
          <w:p>
            <w:pPr>
              <w:jc w:val="center"/>
              <w:rPr>
                <w:noProof/>
                <w:sz w:val="18"/>
                <w:szCs w:val="18"/>
              </w:rPr>
            </w:pPr>
            <w:r>
              <w:rPr>
                <w:noProof/>
                <w:sz w:val="18"/>
              </w:rPr>
              <w:t>Година</w:t>
            </w:r>
            <w:r>
              <w:rPr>
                <w:noProof/>
                <w:sz w:val="22"/>
              </w:rPr>
              <w:br/>
            </w:r>
            <w:r>
              <w:rPr>
                <w:b/>
                <w:noProof/>
                <w:sz w:val="18"/>
              </w:rPr>
              <w:t>2023</w:t>
            </w:r>
          </w:p>
        </w:tc>
        <w:tc>
          <w:tcPr>
            <w:tcW w:w="1620" w:type="dxa"/>
            <w:gridSpan w:val="3"/>
            <w:tcBorders>
              <w:left w:val="nil"/>
              <w:bottom w:val="nil"/>
            </w:tcBorders>
            <w:vAlign w:val="center"/>
          </w:tcPr>
          <w:p>
            <w:pPr>
              <w:ind w:right="-29"/>
              <w:jc w:val="center"/>
              <w:rPr>
                <w:noProof/>
                <w:sz w:val="18"/>
                <w:szCs w:val="18"/>
              </w:rPr>
            </w:pPr>
            <w:r>
              <w:rPr>
                <w:b/>
                <w:noProof/>
                <w:sz w:val="18"/>
              </w:rPr>
              <w:t>ОБЩО</w:t>
            </w:r>
          </w:p>
        </w:tc>
      </w:tr>
      <w:tr>
        <w:trPr>
          <w:gridAfter w:val="17"/>
          <w:wAfter w:w="9785" w:type="dxa"/>
          <w:trHeight w:val="465"/>
          <w:jc w:val="center"/>
        </w:trPr>
        <w:tc>
          <w:tcPr>
            <w:tcW w:w="1423" w:type="dxa"/>
            <w:vMerge/>
            <w:vAlign w:val="center"/>
          </w:tcPr>
          <w:p>
            <w:pPr>
              <w:ind w:right="-29"/>
              <w:jc w:val="center"/>
              <w:rPr>
                <w:noProof/>
                <w:sz w:val="18"/>
                <w:szCs w:val="18"/>
              </w:rPr>
            </w:pPr>
          </w:p>
        </w:tc>
      </w:tr>
      <w:tr>
        <w:trPr>
          <w:gridAfter w:val="1"/>
          <w:wAfter w:w="12" w:type="dxa"/>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 за резултата</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gridSpan w:val="2"/>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xml:space="preserve">— Достъп </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0,400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0,400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0,400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0,400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0,400</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2,000</w:t>
            </w:r>
          </w:p>
        </w:tc>
      </w:tr>
      <w:tr>
        <w:trPr>
          <w:gridAfter w:val="1"/>
          <w:wAfter w:w="12" w:type="dxa"/>
          <w:trHeight w:hRule="exact" w:val="369"/>
          <w:jc w:val="center"/>
        </w:trPr>
        <w:tc>
          <w:tcPr>
            <w:tcW w:w="1423" w:type="dxa"/>
          </w:tcPr>
          <w:p>
            <w:pPr>
              <w:ind w:right="-29"/>
              <w:jc w:val="center"/>
              <w:rPr>
                <w:noProof/>
                <w:sz w:val="18"/>
                <w:szCs w:val="18"/>
              </w:rPr>
            </w:pPr>
            <w:r>
              <w:rPr>
                <w:noProof/>
                <w:sz w:val="18"/>
              </w:rPr>
              <w:t>— Секторна подкрепа</w:t>
            </w:r>
          </w:p>
        </w:tc>
        <w:tc>
          <w:tcPr>
            <w:tcW w:w="720" w:type="dxa"/>
          </w:tcPr>
          <w:p>
            <w:pPr>
              <w:ind w:right="-29"/>
              <w:jc w:val="center"/>
              <w:rPr>
                <w:noProof/>
                <w:sz w:val="18"/>
                <w:szCs w:val="18"/>
              </w:rPr>
            </w:pPr>
            <w:r>
              <w:rPr>
                <w:noProof/>
                <w:sz w:val="18"/>
              </w:rPr>
              <w:t>Годишно</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rPr>
              <w:t>0,350</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rPr>
              <w:t>1,750</w:t>
            </w:r>
          </w:p>
        </w:tc>
      </w:tr>
      <w:tr>
        <w:trPr>
          <w:gridAfter w:val="1"/>
          <w:wAfter w:w="12" w:type="dxa"/>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r>
              <w:rPr>
                <w:noProof/>
                <w:sz w:val="18"/>
              </w:rPr>
              <w:t>0,750</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3,750</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pPr>
        <w:pStyle w:val="ManualHeading3"/>
        <w:rPr>
          <w:bCs/>
          <w:noProof/>
          <w:szCs w:val="24"/>
        </w:rPr>
      </w:pPr>
      <w:bookmarkStart w:id="59" w:name="_Toc514938055"/>
      <w:bookmarkStart w:id="60" w:name="_Toc520485054"/>
      <w:r>
        <w:lastRenderedPageBreak/>
        <w:t>3.2.3.</w:t>
      </w:r>
      <w:r>
        <w:tab/>
      </w:r>
      <w:r>
        <w:rPr>
          <w:noProof/>
        </w:rPr>
        <w:t>Обобщение на очакваното отражение върху бюджетните кредити за административни разходи</w:t>
      </w:r>
      <w:bookmarkEnd w:id="59"/>
      <w:bookmarkEnd w:id="60"/>
      <w:r>
        <w:rPr>
          <w:noProof/>
        </w:rPr>
        <w:t xml:space="preserve"> </w:t>
      </w:r>
    </w:p>
    <w:p>
      <w:pPr>
        <w:pStyle w:val="ListDash1"/>
        <w:rPr>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 xml:space="preserve">N </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9"/>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lastRenderedPageBreak/>
        <w:t>3.2.3.1.</w:t>
      </w:r>
      <w:r>
        <w:tab/>
      </w:r>
      <w:r>
        <w:rPr>
          <w:noProof/>
        </w:rPr>
        <w:t xml:space="preserve">Очаквани нужди от човешки ресурси </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600" w:type="dxa"/>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20"/>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лица</w:t>
            </w:r>
          </w:p>
        </w:tc>
        <w:tc>
          <w:tcPr>
            <w:tcW w:w="7200" w:type="dxa"/>
          </w:tcPr>
          <w:p>
            <w:pPr>
              <w:rPr>
                <w:noProof/>
                <w:sz w:val="20"/>
              </w:rPr>
            </w:pPr>
            <w:r>
              <w:rPr>
                <w:noProof/>
              </w:rPr>
              <w:t>Изпълнение на протокола (плащания, достъп на кораби на Съюза до водите на Кабо Верде, обработване на разрешенията за риболов), подготовка на заседанията на съвместните комитети и съответни последващи действия, подготовка за подновяването на протокола: външна оценка, законодателни процедури, преговори.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rPr>
              <w:t xml:space="preserve">Изпълнение на протокола: контакти с органите на Кабо Верде във връзка с достъпа на кораби на Съюза до водите на Кабо Верде, обработване на разрешенията за риболов, подготовка на </w:t>
            </w:r>
            <w:r>
              <w:rPr>
                <w:noProof/>
              </w:rPr>
              <w:lastRenderedPageBreak/>
              <w:t>заседанията на съвместните комитети и съответни последващи действия, по-специално изпълнението на секторната подкрепа.</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61" w:name="_Toc514938056"/>
      <w:bookmarkStart w:id="62" w:name="_Toc520485055"/>
      <w:r>
        <w:t>3.2.4.</w:t>
      </w:r>
      <w:r>
        <w:tab/>
      </w:r>
      <w:r>
        <w:rPr>
          <w:noProof/>
        </w:rPr>
        <w:t>Съвместимост с настоящата многогодишна финансова рамка</w:t>
      </w:r>
      <w:bookmarkEnd w:id="61"/>
      <w:bookmarkEnd w:id="62"/>
      <w:r>
        <w:rPr>
          <w:noProof/>
        </w:rPr>
        <w:t xml:space="preserve"> </w:t>
      </w:r>
    </w:p>
    <w:p>
      <w:pPr>
        <w:pStyle w:val="Text1"/>
        <w:rPr>
          <w:noProof/>
        </w:rPr>
      </w:pPr>
      <w:r>
        <w:rPr>
          <w:noProof/>
        </w:rPr>
        <w:t>Предложението/инициативата:</w:t>
      </w:r>
    </w:p>
    <w:p>
      <w:pPr>
        <w:pStyle w:val="ListDash1"/>
        <w:rPr>
          <w:noProof/>
        </w:rPr>
      </w:pPr>
      <w:r>
        <w:rPr>
          <w:noProof/>
        </w:rPr>
        <w:t>X</w:t>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Отнася се за използването на бюджетния ред „Резерви“ (глава 40).</w:t>
      </w:r>
    </w:p>
    <w:p>
      <w:pPr>
        <w:pStyle w:val="ListDash1"/>
        <w:rPr>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 и инструментите, които се предлага да бъдат използвани.</w:t>
      </w:r>
    </w:p>
    <w:p>
      <w:pPr>
        <w:pStyle w:val="ListDash1"/>
        <w:rPr>
          <w:noProof/>
        </w:rPr>
      </w:pPr>
      <w:r>
        <w:rPr>
          <w:noProof/>
        </w:rPr>
        <w:sym w:font="Wingdings" w:char="F0A8"/>
      </w:r>
      <w:r>
        <w:rPr>
          <w:noProof/>
        </w:rPr>
        <w:tab/>
        <w:t>налага преразглеждане на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bookmarkStart w:id="63" w:name="_Toc514938058"/>
      <w:bookmarkStart w:id="64" w:name="_Toc520485056"/>
      <w:r>
        <w:t>3.2.5.</w:t>
      </w:r>
      <w:r>
        <w:tab/>
      </w:r>
      <w:r>
        <w:rPr>
          <w:noProof/>
        </w:rPr>
        <w:t>Участие на трети страни във финансирането</w:t>
      </w:r>
      <w:bookmarkEnd w:id="63"/>
      <w:bookmarkEnd w:id="64"/>
      <w:r>
        <w:rPr>
          <w:noProof/>
        </w:rPr>
        <w:t xml:space="preserve"> </w:t>
      </w:r>
    </w:p>
    <w:p>
      <w:pPr>
        <w:pStyle w:val="Text1"/>
        <w:rPr>
          <w:noProof/>
        </w:rPr>
      </w:pPr>
      <w:r>
        <w:rPr>
          <w:noProof/>
        </w:rPr>
        <w:t>Предложението/инициативата:</w:t>
      </w:r>
    </w:p>
    <w:p>
      <w:pPr>
        <w:pStyle w:val="ListDash1"/>
        <w:rPr>
          <w:noProof/>
        </w:rPr>
      </w:pPr>
      <w:r>
        <w:rPr>
          <w:noProof/>
        </w:rPr>
        <w:t>X</w:t>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22"/>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65" w:name="_Toc514938059"/>
      <w:bookmarkStart w:id="66" w:name="_Toc520485057"/>
      <w:r>
        <w:t>3.3.</w:t>
      </w:r>
      <w:r>
        <w:tab/>
      </w:r>
      <w:r>
        <w:rPr>
          <w:noProof/>
        </w:rPr>
        <w:t>Очаквано отражение върху приходите</w:t>
      </w:r>
      <w:bookmarkEnd w:id="65"/>
      <w:bookmarkEnd w:id="66"/>
      <w:r>
        <w:rPr>
          <w:noProof/>
        </w:rPr>
        <w:t xml:space="preserve">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върху разните приходи</w:t>
      </w:r>
    </w:p>
    <w:p>
      <w:pPr>
        <w:pStyle w:val="ListNumberLevel3"/>
        <w:rPr>
          <w:noProof/>
        </w:rPr>
      </w:pPr>
      <w:r>
        <w:rPr>
          <w:noProof/>
        </w:rPr>
        <w:t>моля, посочете дали приходите са записани по разходни бюджетни редове </w:t>
      </w:r>
      <w:r>
        <w:rPr>
          <w:noProof/>
        </w:rPr>
        <w:sym w:font="Wingdings" w:char="F0A8"/>
      </w:r>
      <w:r>
        <w:rPr>
          <w:noProof/>
        </w:rPr>
        <w:tab/>
      </w:r>
    </w:p>
    <w:p>
      <w:pPr>
        <w:ind w:left="4320"/>
        <w:rPr>
          <w:i/>
          <w:noProof/>
          <w:sz w:val="20"/>
        </w:rPr>
      </w:pPr>
      <w:r>
        <w:rPr>
          <w:noProof/>
        </w:rPr>
        <w:t xml:space="preserve">     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3"/>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414, 30.12.2006 г., стр. 3.</w:t>
      </w:r>
    </w:p>
  </w:footnote>
  <w:footnote w:id="2">
    <w:p>
      <w:pPr>
        <w:pStyle w:val="FootnoteText"/>
        <w:rPr>
          <w:lang w:val="ru-RU"/>
        </w:rPr>
      </w:pPr>
      <w:r>
        <w:rPr>
          <w:rStyle w:val="FootnoteReference"/>
        </w:rPr>
        <w:footnoteRef/>
      </w:r>
      <w:r>
        <w:tab/>
        <w:t>ОВ L 107, 25.4.2007 г., стр. 7.</w:t>
      </w:r>
    </w:p>
  </w:footnote>
  <w:footnote w:id="3">
    <w:p>
      <w:pPr>
        <w:pStyle w:val="FootnoteText"/>
        <w:rPr>
          <w:lang w:val="ru-RU"/>
        </w:rPr>
      </w:pPr>
      <w:r>
        <w:rPr>
          <w:rStyle w:val="FootnoteReference"/>
        </w:rPr>
        <w:footnoteRef/>
      </w:r>
      <w:r>
        <w:tab/>
        <w:t>Приети по време на Съвета по правосъдие и вътрешни работи, проведен на 4—5 юни 2018 г.</w:t>
      </w:r>
    </w:p>
  </w:footnote>
  <w:footnote w:id="4">
    <w:p>
      <w:pPr>
        <w:pStyle w:val="FootnoteText"/>
        <w:rPr>
          <w:lang w:val="ru-RU"/>
        </w:rPr>
      </w:pPr>
      <w:r>
        <w:rPr>
          <w:rStyle w:val="FootnoteReference"/>
        </w:rPr>
        <w:footnoteRef/>
      </w:r>
      <w:r>
        <w:tab/>
        <w:t>ОВ L 354, 28.12.2013 г., стр. 22.</w:t>
      </w:r>
    </w:p>
  </w:footnote>
  <w:footnote w:id="5">
    <w:p>
      <w:pPr>
        <w:pStyle w:val="FootnoteText"/>
        <w:rPr>
          <w:lang w:val="ru-RU"/>
        </w:rPr>
      </w:pPr>
      <w:r>
        <w:rPr>
          <w:rStyle w:val="FootnoteReference"/>
        </w:rPr>
        <w:footnoteRef/>
      </w:r>
      <w:r>
        <w:tab/>
        <w:t>SWD (2018) 194 final, 16.5.2018 г.</w:t>
      </w:r>
    </w:p>
  </w:footnote>
  <w:footnote w:id="6">
    <w:p>
      <w:pPr>
        <w:pStyle w:val="FootnoteText"/>
        <w:rPr>
          <w:lang w:val="ru-RU"/>
        </w:rPr>
      </w:pPr>
      <w:r>
        <w:rPr>
          <w:rStyle w:val="FootnoteReference"/>
        </w:rPr>
        <w:footnoteRef/>
      </w:r>
      <w:r>
        <w:tab/>
        <w:t>В съответствие с Междуинституционалното споразумение относно сътрудничеството по бюджетни въпроси (2013/C 373/01).</w:t>
      </w:r>
    </w:p>
  </w:footnote>
  <w:footnote w:id="7">
    <w:p>
      <w:pPr>
        <w:pStyle w:val="FootnoteText"/>
        <w:rPr>
          <w:lang w:val="ru-RU"/>
        </w:rPr>
      </w:pPr>
      <w:r>
        <w:rPr>
          <w:rStyle w:val="FootnoteReference"/>
        </w:rPr>
        <w:footnoteRef/>
      </w:r>
      <w:r>
        <w:tab/>
        <w:t>Регламент (ЕО) № 2027/2006 на Съвета от 19 декември 2006 г. за сключване на Споразумение за партньорство в областта на рибарството между Европейската общност и Република Кабо Верде (ОВ L 414, 30.12.2006 г., стр. 1).</w:t>
      </w:r>
    </w:p>
  </w:footnote>
  <w:footnote w:id="8">
    <w:p>
      <w:pPr>
        <w:pStyle w:val="FootnoteText"/>
        <w:rPr>
          <w:lang w:val="ru-RU"/>
        </w:rPr>
      </w:pPr>
      <w:r>
        <w:rPr>
          <w:rStyle w:val="FootnoteReference"/>
        </w:rPr>
        <w:footnoteRef/>
      </w:r>
      <w:r>
        <w:tab/>
        <w:t>ОВ L 414, 30.12.2006 г., стр. 3.</w:t>
      </w:r>
    </w:p>
  </w:footnote>
  <w:footnote w:id="9">
    <w:p>
      <w:pPr>
        <w:pStyle w:val="FootnoteText"/>
        <w:rPr>
          <w:szCs w:val="24"/>
        </w:rPr>
      </w:pPr>
      <w:r>
        <w:rPr>
          <w:rStyle w:val="FootnoteReference"/>
        </w:rPr>
        <w:footnoteRef/>
      </w:r>
      <w:r>
        <w:tab/>
        <w:t>Съгласно член 58, параграф 2, буква а) или б) от Финансовия регламент.</w:t>
      </w:r>
    </w:p>
  </w:footnote>
  <w:footnote w:id="10">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https://myintracomm.ec.europa.eu/budgweb/BG/man/budgmanag/Pages/budgmanag.aspx</w:t>
        </w:r>
      </w:hyperlink>
      <w:r>
        <w:t xml:space="preserve"> </w:t>
      </w:r>
    </w:p>
  </w:footnote>
  <w:footnote w:id="11">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12">
    <w:p>
      <w:pPr>
        <w:pStyle w:val="FootnoteText"/>
        <w:rPr>
          <w:szCs w:val="24"/>
        </w:rPr>
      </w:pPr>
      <w:r>
        <w:rPr>
          <w:rStyle w:val="FootnoteReference"/>
        </w:rPr>
        <w:footnoteRef/>
      </w:r>
      <w:r>
        <w:tab/>
        <w:t xml:space="preserve">ЕАСТ: Европейска асоциация за свободна търговия. </w:t>
      </w:r>
    </w:p>
  </w:footnote>
  <w:footnote w:id="13">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4">
    <w:p>
      <w:pPr>
        <w:pStyle w:val="FootnoteText"/>
        <w:rPr>
          <w:sz w:val="18"/>
          <w:szCs w:val="18"/>
        </w:rPr>
      </w:pPr>
      <w:r>
        <w:rPr>
          <w:rStyle w:val="FootnoteReference"/>
        </w:rPr>
        <w:footnoteRef/>
      </w:r>
      <w:r>
        <w:tab/>
      </w:r>
      <w:r>
        <w:rPr>
          <w:sz w:val="18"/>
        </w:rPr>
        <w:t>Съгласно официалната бюджетна номенклатура.</w:t>
      </w:r>
    </w:p>
  </w:footnote>
  <w:footnote w:id="15">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6">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7">
    <w:p>
      <w:pPr>
        <w:pStyle w:val="FootnoteText"/>
        <w:rPr>
          <w:szCs w:val="24"/>
        </w:rPr>
      </w:pPr>
      <w:r>
        <w:rPr>
          <w:rStyle w:val="FootnoteReference"/>
        </w:rPr>
        <w:footnoteRef/>
      </w:r>
      <w:r>
        <w:tab/>
        <w:t xml:space="preserve">Съгласно описанието в част 1.4.2. „Конкретни цели…“. </w:t>
      </w:r>
    </w:p>
  </w:footnote>
  <w:footnote w:id="18">
    <w:p>
      <w:pPr>
        <w:pStyle w:val="FootnoteText"/>
        <w:rPr>
          <w:sz w:val="18"/>
          <w:szCs w:val="18"/>
        </w:rPr>
      </w:pPr>
      <w:r>
        <w:rPr>
          <w:rStyle w:val="FootnoteReference"/>
        </w:rPr>
        <w:footnoteRef/>
      </w:r>
      <w:r>
        <w:tab/>
      </w:r>
      <w:r>
        <w:rPr>
          <w:sz w:val="18"/>
        </w:rPr>
        <w:t>Година N е годината, през която започва да се осъществява предложението/инициативата. Моля, заменете буквата N с очакваната първа година от изпълнението (например: 2021). Същото за следващите години.</w:t>
      </w:r>
    </w:p>
  </w:footnote>
  <w:footnote w:id="19">
    <w:p>
      <w:pPr>
        <w:pStyle w:val="FootnoteText"/>
        <w:rPr>
          <w:szCs w:val="24"/>
        </w:rPr>
      </w:pPr>
      <w:r>
        <w:rPr>
          <w:rStyle w:val="FootnoteReference"/>
        </w:rPr>
        <w:footnoteRef/>
      </w:r>
      <w:r>
        <w:tab/>
      </w:r>
      <w:r>
        <w:rPr>
          <w:sz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2">
    <w:p>
      <w:pPr>
        <w:pStyle w:val="FootnoteText"/>
      </w:pPr>
      <w:r>
        <w:rPr>
          <w:rStyle w:val="FootnoteReference"/>
        </w:rPr>
        <w:footnoteRef/>
      </w:r>
      <w:r>
        <w:tab/>
        <w:t>Година N е годината, през която започва да се осъществява предложението/инициативата. Заменете буквата N с очакваната първа година от изпълнението (например: 2021). Същото за следващите години.</w:t>
      </w:r>
    </w:p>
  </w:footnote>
  <w:footnote w:id="2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es-ES_tradnl" w:vendorID="64" w:dllVersion="131078" w:nlCheck="1" w:checkStyle="0"/>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26: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7032A57-98E8-45F3-BCC7-0FED169627C7"/>
    <w:docVar w:name="LW_COVERPAGE_TYPE" w:val="1"/>
    <w:docVar w:name="LW_CROSSREFERENCE" w:val="&lt;UNUSED&gt;"/>
    <w:docVar w:name="LW_DocType" w:val="COM"/>
    <w:docVar w:name="LW_EMISSION" w:val="14.3.2019"/>
    <w:docVar w:name="LW_EMISSION_ISODATE" w:val="2019-03-1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1"/>
    <w:docVar w:name="LW_REF.II.NEW.CP_YEAR" w:val="2019"/>
    <w:docVar w:name="LW_REF.INST.NEW" w:val="COM"/>
    <w:docVar w:name="LW_REF.INST.NEW_ADOPTED" w:val="final"/>
    <w:docVar w:name="LW_REF.INST.NEW_TEXT" w:val="(2019)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57?\u1098?\u1102?\u1079?\u1072? \u1080? \u1074?\u1088?\u1077?\u1084?\u1077?\u1085?\u1085?\u1086?\u1090?\u1086? \u1087?\u1088?\u1080?\u1083?\u1072?\u1075?\u1072?\u1085?\u1077?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56?\u1077?\u1087?\u1091?\u1073?\u1083?\u1080?\u1082?\u1072? \u1050?\u1072?\u1073?\u1086? \u1042?\u1077?\u1088?\u1076?\u1077? (2019\u8212?2024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bidi="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bidi="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bidi="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eastAsia="bg-BG" w:bidi="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bidi="bg-BG"/>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bidi="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bidi="bg-BG"/>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bidi="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eastAsia="bg-BG" w:bidi="bg-BG"/>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bg-BG" w:eastAsia="bg-BG" w:bidi="bg-BG"/>
    </w:rPr>
  </w:style>
  <w:style w:type="paragraph" w:customStyle="1" w:styleId="Normal1">
    <w:name w:val="Normal1"/>
    <w:basedOn w:val="Normal"/>
    <w:pPr>
      <w:spacing w:after="0"/>
    </w:pPr>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4978">
      <w:bodyDiv w:val="1"/>
      <w:marLeft w:val="0"/>
      <w:marRight w:val="0"/>
      <w:marTop w:val="0"/>
      <w:marBottom w:val="0"/>
      <w:divBdr>
        <w:top w:val="none" w:sz="0" w:space="0" w:color="auto"/>
        <w:left w:val="none" w:sz="0" w:space="0" w:color="auto"/>
        <w:bottom w:val="none" w:sz="0" w:space="0" w:color="auto"/>
        <w:right w:val="none" w:sz="0" w:space="0" w:color="auto"/>
      </w:divBdr>
    </w:div>
    <w:div w:id="642663602">
      <w:bodyDiv w:val="1"/>
      <w:marLeft w:val="0"/>
      <w:marRight w:val="0"/>
      <w:marTop w:val="0"/>
      <w:marBottom w:val="0"/>
      <w:divBdr>
        <w:top w:val="none" w:sz="0" w:space="0" w:color="auto"/>
        <w:left w:val="none" w:sz="0" w:space="0" w:color="auto"/>
        <w:bottom w:val="none" w:sz="0" w:space="0" w:color="auto"/>
        <w:right w:val="none" w:sz="0" w:space="0" w:color="auto"/>
      </w:divBdr>
    </w:div>
    <w:div w:id="863901926">
      <w:bodyDiv w:val="1"/>
      <w:marLeft w:val="0"/>
      <w:marRight w:val="0"/>
      <w:marTop w:val="0"/>
      <w:marBottom w:val="0"/>
      <w:divBdr>
        <w:top w:val="none" w:sz="0" w:space="0" w:color="auto"/>
        <w:left w:val="none" w:sz="0" w:space="0" w:color="auto"/>
        <w:bottom w:val="none" w:sz="0" w:space="0" w:color="auto"/>
        <w:right w:val="none" w:sz="0" w:space="0" w:color="auto"/>
      </w:divBdr>
    </w:div>
    <w:div w:id="1405688202">
      <w:bodyDiv w:val="1"/>
      <w:marLeft w:val="0"/>
      <w:marRight w:val="0"/>
      <w:marTop w:val="0"/>
      <w:marBottom w:val="0"/>
      <w:divBdr>
        <w:top w:val="none" w:sz="0" w:space="0" w:color="auto"/>
        <w:left w:val="none" w:sz="0" w:space="0" w:color="auto"/>
        <w:bottom w:val="none" w:sz="0" w:space="0" w:color="auto"/>
        <w:right w:val="none" w:sz="0" w:space="0" w:color="auto"/>
      </w:divBdr>
    </w:div>
    <w:div w:id="1782334019">
      <w:bodyDiv w:val="1"/>
      <w:marLeft w:val="0"/>
      <w:marRight w:val="0"/>
      <w:marTop w:val="0"/>
      <w:marBottom w:val="0"/>
      <w:divBdr>
        <w:top w:val="none" w:sz="0" w:space="0" w:color="auto"/>
        <w:left w:val="none" w:sz="0" w:space="0" w:color="auto"/>
        <w:bottom w:val="none" w:sz="0" w:space="0" w:color="auto"/>
        <w:right w:val="none" w:sz="0" w:space="0" w:color="auto"/>
      </w:divBdr>
      <w:divsChild>
        <w:div w:id="1459758302">
          <w:marLeft w:val="0"/>
          <w:marRight w:val="0"/>
          <w:marTop w:val="0"/>
          <w:marBottom w:val="0"/>
          <w:divBdr>
            <w:top w:val="none" w:sz="0" w:space="0" w:color="auto"/>
            <w:left w:val="none" w:sz="0" w:space="0" w:color="auto"/>
            <w:bottom w:val="none" w:sz="0" w:space="0" w:color="auto"/>
            <w:right w:val="none" w:sz="0" w:space="0" w:color="auto"/>
          </w:divBdr>
          <w:divsChild>
            <w:div w:id="180510652">
              <w:marLeft w:val="0"/>
              <w:marRight w:val="0"/>
              <w:marTop w:val="0"/>
              <w:marBottom w:val="0"/>
              <w:divBdr>
                <w:top w:val="none" w:sz="0" w:space="0" w:color="auto"/>
                <w:left w:val="none" w:sz="0" w:space="0" w:color="auto"/>
                <w:bottom w:val="none" w:sz="0" w:space="0" w:color="auto"/>
                <w:right w:val="none" w:sz="0" w:space="0" w:color="auto"/>
              </w:divBdr>
              <w:divsChild>
                <w:div w:id="1153175904">
                  <w:marLeft w:val="0"/>
                  <w:marRight w:val="0"/>
                  <w:marTop w:val="0"/>
                  <w:marBottom w:val="0"/>
                  <w:divBdr>
                    <w:top w:val="none" w:sz="0" w:space="0" w:color="auto"/>
                    <w:left w:val="none" w:sz="0" w:space="0" w:color="auto"/>
                    <w:bottom w:val="none" w:sz="0" w:space="0" w:color="auto"/>
                    <w:right w:val="none" w:sz="0" w:space="0" w:color="auto"/>
                  </w:divBdr>
                  <w:divsChild>
                    <w:div w:id="978534353">
                      <w:marLeft w:val="-150"/>
                      <w:marRight w:val="-150"/>
                      <w:marTop w:val="0"/>
                      <w:marBottom w:val="0"/>
                      <w:divBdr>
                        <w:top w:val="none" w:sz="0" w:space="0" w:color="auto"/>
                        <w:left w:val="none" w:sz="0" w:space="0" w:color="auto"/>
                        <w:bottom w:val="none" w:sz="0" w:space="0" w:color="auto"/>
                        <w:right w:val="none" w:sz="0" w:space="0" w:color="auto"/>
                      </w:divBdr>
                      <w:divsChild>
                        <w:div w:id="267666398">
                          <w:marLeft w:val="0"/>
                          <w:marRight w:val="0"/>
                          <w:marTop w:val="0"/>
                          <w:marBottom w:val="0"/>
                          <w:divBdr>
                            <w:top w:val="none" w:sz="0" w:space="0" w:color="auto"/>
                            <w:left w:val="none" w:sz="0" w:space="0" w:color="auto"/>
                            <w:bottom w:val="none" w:sz="0" w:space="0" w:color="auto"/>
                            <w:right w:val="none" w:sz="0" w:space="0" w:color="auto"/>
                          </w:divBdr>
                          <w:divsChild>
                            <w:div w:id="716393277">
                              <w:marLeft w:val="0"/>
                              <w:marRight w:val="0"/>
                              <w:marTop w:val="0"/>
                              <w:marBottom w:val="0"/>
                              <w:divBdr>
                                <w:top w:val="none" w:sz="0" w:space="0" w:color="auto"/>
                                <w:left w:val="none" w:sz="0" w:space="0" w:color="auto"/>
                                <w:bottom w:val="none" w:sz="0" w:space="0" w:color="auto"/>
                                <w:right w:val="none" w:sz="0" w:space="0" w:color="auto"/>
                              </w:divBdr>
                              <w:divsChild>
                                <w:div w:id="929048233">
                                  <w:marLeft w:val="0"/>
                                  <w:marRight w:val="0"/>
                                  <w:marTop w:val="0"/>
                                  <w:marBottom w:val="300"/>
                                  <w:divBdr>
                                    <w:top w:val="none" w:sz="0" w:space="0" w:color="auto"/>
                                    <w:left w:val="none" w:sz="0" w:space="0" w:color="auto"/>
                                    <w:bottom w:val="none" w:sz="0" w:space="0" w:color="auto"/>
                                    <w:right w:val="none" w:sz="0" w:space="0" w:color="auto"/>
                                  </w:divBdr>
                                  <w:divsChild>
                                    <w:div w:id="1594313518">
                                      <w:marLeft w:val="0"/>
                                      <w:marRight w:val="0"/>
                                      <w:marTop w:val="0"/>
                                      <w:marBottom w:val="0"/>
                                      <w:divBdr>
                                        <w:top w:val="none" w:sz="0" w:space="0" w:color="auto"/>
                                        <w:left w:val="none" w:sz="0" w:space="0" w:color="auto"/>
                                        <w:bottom w:val="none" w:sz="0" w:space="0" w:color="auto"/>
                                        <w:right w:val="none" w:sz="0" w:space="0" w:color="auto"/>
                                      </w:divBdr>
                                      <w:divsChild>
                                        <w:div w:id="56711654">
                                          <w:marLeft w:val="0"/>
                                          <w:marRight w:val="0"/>
                                          <w:marTop w:val="0"/>
                                          <w:marBottom w:val="0"/>
                                          <w:divBdr>
                                            <w:top w:val="none" w:sz="0" w:space="0" w:color="auto"/>
                                            <w:left w:val="none" w:sz="0" w:space="0" w:color="auto"/>
                                            <w:bottom w:val="none" w:sz="0" w:space="0" w:color="auto"/>
                                            <w:right w:val="none" w:sz="0" w:space="0" w:color="auto"/>
                                          </w:divBdr>
                                          <w:divsChild>
                                            <w:div w:id="17712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FR/leg/internal/Documents/2016-5-legislative-financial-statement-ann-fr.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BG/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1881-7E99-45D5-A4C0-1828990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16</Pages>
  <Words>5001</Words>
  <Characters>29508</Characters>
  <Application>Microsoft Office Word</Application>
  <DocSecurity>0</DocSecurity>
  <Lines>1475</Lines>
  <Paragraphs>616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2018-12-06T13:51:00Z</cp:lastPrinted>
  <dcterms:created xsi:type="dcterms:W3CDTF">2019-02-18T13:16:00Z</dcterms:created>
  <dcterms:modified xsi:type="dcterms:W3CDTF">2019-03-13T13:26:00Z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