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8266A2-A352-41A1-838E-2CE42C924727"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Въз основа на 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Република Кабо Верде (наричана по-долу „Кабо Верде“) с цел сключване на нов протокол към Споразумението за партньорство в областта на рибарството между Европейската общност и Република Кабо Верде</w:t>
      </w:r>
      <w:r>
        <w:rPr>
          <w:rStyle w:val="FootnoteReference"/>
          <w:noProof/>
          <w:vertAlign w:val="baseline"/>
        </w:rPr>
        <w:t xml:space="preserve"> </w:t>
      </w:r>
      <w:r>
        <w:rPr>
          <w:rStyle w:val="FootnoteReference"/>
          <w:noProof/>
        </w:rPr>
        <w:footnoteReference w:id="2"/>
      </w:r>
      <w:r>
        <w:rPr>
          <w:noProof/>
        </w:rPr>
        <w:t xml:space="preserve">. След приключването на тези преговори, на 12 октомври 2018 г. бе парафиран нов протокол. Протоколът обхваща период от пет години, считано от датата на започване на временното му прилагане, т.е. датата на подписването му, както е посочено в член 15 от него. </w:t>
      </w:r>
    </w:p>
    <w:p>
      <w:pPr>
        <w:pBdr>
          <w:top w:val="nil"/>
          <w:left w:val="nil"/>
          <w:bottom w:val="nil"/>
          <w:right w:val="nil"/>
          <w:between w:val="nil"/>
          <w:bar w:val="nil"/>
        </w:pBdr>
        <w:spacing w:before="0" w:after="240"/>
        <w:rPr>
          <w:rFonts w:eastAsia="Arial Unicode MS"/>
          <w:noProof/>
        </w:rPr>
      </w:pPr>
      <w:r>
        <w:rPr>
          <w:noProof/>
        </w:rPr>
        <w:t>Главната цел на новия протокол е да предостави възможности за риболов на корабите на Съюза във водите на Кабо Верде въз основа на най-добрите налични научни становища и при спазване на препоръките на Международната комисия за опазване на рибата тон в Атлантическия океан (ICCAT). С новия протокол се вземат предвид резултатите от оценката на последния протокол (2014—2018 г.) и на прогнозната оценка на възможността да се сключи нов протокол. И двете оценки са извършени от външни експерти. Протоколът също така ще позволи на Европейския съюз и на Република Кабо Верде да работят в по-тясно сътрудничество, за да насърчават отговорното използване на рибните ресурси във водите на Кабо Верде и да подкрепят усилията на тази държава за развитието на нейната синя икономика в интерес и на двете страни.</w:t>
      </w:r>
    </w:p>
    <w:p>
      <w:pPr>
        <w:pBdr>
          <w:top w:val="nil"/>
          <w:left w:val="nil"/>
          <w:bottom w:val="nil"/>
          <w:right w:val="nil"/>
          <w:between w:val="nil"/>
          <w:bar w:val="nil"/>
        </w:pBdr>
        <w:spacing w:before="0"/>
        <w:rPr>
          <w:noProof/>
        </w:rPr>
      </w:pPr>
      <w:r>
        <w:rPr>
          <w:noProof/>
        </w:rPr>
        <w:t>Протоколът предвижда възможности за риболов в следните категории:</w:t>
      </w:r>
    </w:p>
    <w:p>
      <w:pPr>
        <w:pStyle w:val="Point0"/>
        <w:rPr>
          <w:noProof/>
        </w:rPr>
      </w:pPr>
      <w:r>
        <w:rPr>
          <w:noProof/>
        </w:rPr>
        <w:t>а)</w:t>
      </w:r>
      <w:r>
        <w:rPr>
          <w:noProof/>
        </w:rPr>
        <w:tab/>
        <w:t>28 кораба с мрежи гъргър за улов на риба тон с оборудване за дълбоко замразяване;</w:t>
      </w:r>
    </w:p>
    <w:p>
      <w:pPr>
        <w:pStyle w:val="Point0"/>
        <w:rPr>
          <w:noProof/>
        </w:rPr>
      </w:pPr>
      <w:r>
        <w:rPr>
          <w:noProof/>
        </w:rPr>
        <w:t>б)</w:t>
      </w:r>
      <w:r>
        <w:rPr>
          <w:noProof/>
        </w:rPr>
        <w:tab/>
        <w:t>27 кораба с парагади за улов на повърхността;</w:t>
      </w:r>
    </w:p>
    <w:p>
      <w:pPr>
        <w:pStyle w:val="Point0"/>
        <w:rPr>
          <w:noProof/>
        </w:rPr>
      </w:pPr>
      <w:r>
        <w:rPr>
          <w:noProof/>
        </w:rPr>
        <w:t>в)</w:t>
      </w:r>
      <w:r>
        <w:rPr>
          <w:noProof/>
        </w:rPr>
        <w:tab/>
        <w:t>14 кораба за улов на риба тон с въдици.</w:t>
      </w:r>
    </w:p>
    <w:p>
      <w:pPr>
        <w:pBdr>
          <w:top w:val="nil"/>
          <w:left w:val="nil"/>
          <w:bottom w:val="nil"/>
          <w:right w:val="nil"/>
          <w:between w:val="nil"/>
          <w:bar w:val="nil"/>
        </w:pBdr>
        <w:spacing w:before="0" w:after="240"/>
        <w:rPr>
          <w:noProof/>
        </w:rPr>
      </w:pPr>
      <w:r>
        <w:rPr>
          <w:noProof/>
        </w:rPr>
        <w:t>Следва да бъде определен принципът за разпределяне на тези възможности за риболов между държавите членки.</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0" w:after="240"/>
        <w:rPr>
          <w:noProof/>
        </w:rPr>
      </w:pPr>
      <w:r>
        <w:rPr>
          <w:noProof/>
        </w:rPr>
        <w:t xml:space="preserve">Избраното правно основание е Договорът за функционирането на Европейския съюз, където в член 43, параграф 3 се постановява, че Съветът, по предложение на Комисията, приема мерки за разпределянето на възможностите за риболов. </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spacing w:before="0" w:after="240"/>
        <w:rPr>
          <w:noProof/>
        </w:rPr>
      </w:pPr>
      <w:r>
        <w:rPr>
          <w:noProof/>
        </w:rPr>
        <w:t xml:space="preserve">Областта на политиката попада в обхвата на изключителната компетентност на Европейския съюз. </w:t>
      </w:r>
    </w:p>
    <w:p>
      <w:pPr>
        <w:spacing w:before="0" w:after="240"/>
        <w:rPr>
          <w:noProof/>
        </w:rPr>
      </w:pP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Консултации със заинтересованите страни бяха проведени в рамките на последващите и предварителните оценки относно евентуален нов протокол между Европейския съюз и Република Кабо Верде. По време на техническите срещи бяха извършени консултации и с експерти от държавите членки и от сектора. Тези консултации доведоха до заключението, че за Европейския съюз и Република Кабо Верде би било от полза да сключат нов протокол към Споразумението за партньорство в областта на рибарството.</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представители на органа за управление на рибарството и на гражданското общество на Кабо Верде. Бяха проведени също така консултации в рамките на Консултативния съвет по далечно плаване.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t>4.</w:t>
      </w:r>
      <w:r>
        <w:rPr>
          <w:noProof/>
        </w:rPr>
        <w:tab/>
        <w:t>ОТРАЖЕНИЕ ВЪРХУ БЮДЖЕТА</w:t>
      </w:r>
    </w:p>
    <w:p>
      <w:pPr>
        <w:spacing w:before="0" w:after="240"/>
        <w:rPr>
          <w:noProof/>
        </w:rPr>
      </w:pPr>
      <w:r>
        <w:rPr>
          <w:noProof/>
        </w:rPr>
        <w:t>Проектът на регламент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spacing w:before="0" w:after="240"/>
        <w:rPr>
          <w:noProof/>
        </w:rPr>
      </w:pPr>
      <w:r>
        <w:rPr>
          <w:noProof/>
        </w:rPr>
        <w:t xml:space="preserve">Настоящата процедура се открива едновременно с процедурите, свързани с решението на Съвета относно подписването от името на Съюза на протокола към Споразумението за партньорство в областта на рибарството между Европейската общност и Република Кабо Верде, както и с решението на Съвета относно неговото сключване. Настоящият регламент следва да започне да се прилага, след като стане възможно извършването на риболовни дейности по силата на споразумението, тоест от датата на временно прилагане на протокола.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2019/0072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относно разпределянето на възможностите за риболов съгласно Протокола за прилагане на Споразумението за партньорство в областта на рибарството между Европейската общност и Република Кабо Верде (2019—2024 г.)</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w:t>
      </w:r>
    </w:p>
    <w:p>
      <w:pPr>
        <w:rPr>
          <w:noProof/>
        </w:rPr>
      </w:pPr>
      <w:r>
        <w:rPr>
          <w:noProof/>
        </w:rPr>
        <w:t>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19 декември 2006 г. Съветът прие Регламент (ЕО) № 2027/2006 за сключване на Споразумение за партньорство в областта на рибарството между Европейската общност и Република Кабо Верде</w:t>
      </w:r>
      <w:r>
        <w:rPr>
          <w:rStyle w:val="FootnoteReference"/>
          <w:noProof/>
        </w:rPr>
        <w:footnoteReference w:id="3"/>
      </w:r>
      <w:r>
        <w:rPr>
          <w:noProof/>
        </w:rPr>
        <w:t xml:space="preserve"> (наричано по-долу „споразумението“), което влезе в сила на 30 март 2007 г., впоследствие бе подновено с мълчаливо съгласие и все още е в сила.</w:t>
      </w:r>
    </w:p>
    <w:p>
      <w:pPr>
        <w:pStyle w:val="ManualConsidrant"/>
        <w:rPr>
          <w:noProof/>
        </w:rPr>
      </w:pPr>
      <w:r>
        <w:t>(2)</w:t>
      </w:r>
      <w:r>
        <w:tab/>
      </w:r>
      <w:r>
        <w:rPr>
          <w:noProof/>
        </w:rPr>
        <w:t>Срокът на действие на последния протокол към споразумението изтече на 22 декември 2018 г.</w:t>
      </w:r>
    </w:p>
    <w:p>
      <w:pPr>
        <w:pStyle w:val="ManualConsidrant"/>
        <w:rPr>
          <w:noProof/>
        </w:rPr>
      </w:pPr>
      <w:r>
        <w:t>(3)</w:t>
      </w:r>
      <w:r>
        <w:tab/>
      </w:r>
      <w:r>
        <w:rPr>
          <w:noProof/>
        </w:rPr>
        <w:t xml:space="preserve">Комисията проведе преговори от името на Европейския съюз за нов протокол за прилагане на споразумението (наричан по-долу „протоколът“). След приключването на преговорите протоколът беше парафиран на 12 октомври 2018 г. </w:t>
      </w:r>
    </w:p>
    <w:p>
      <w:pPr>
        <w:pStyle w:val="ManualConsidrant"/>
        <w:rPr>
          <w:noProof/>
        </w:rPr>
      </w:pPr>
      <w:r>
        <w:t>(4)</w:t>
      </w:r>
      <w:r>
        <w:tab/>
      </w:r>
      <w:r>
        <w:rPr>
          <w:noProof/>
        </w:rPr>
        <w:t>Съгласно Решение 2018/.../ЕС на Съвета</w:t>
      </w:r>
      <w:r>
        <w:rPr>
          <w:rStyle w:val="FootnoteReference"/>
          <w:noProof/>
        </w:rPr>
        <w:footnoteReference w:id="4"/>
      </w:r>
      <w:r>
        <w:rPr>
          <w:noProof/>
        </w:rPr>
        <w:t xml:space="preserve"> протоколът за прилагане на Споразумението в областта на рибарството между Европейската общност и Република Кабо Верде беше подписан на [</w:t>
      </w:r>
      <w:r>
        <w:rPr>
          <w:i/>
          <w:noProof/>
        </w:rPr>
        <w:t>да се въведе датата на подписване</w:t>
      </w:r>
      <w:r>
        <w:rPr>
          <w:noProof/>
        </w:rPr>
        <w:t>].</w:t>
      </w:r>
    </w:p>
    <w:p>
      <w:pPr>
        <w:pStyle w:val="ManualConsidrant"/>
        <w:rPr>
          <w:noProof/>
        </w:rPr>
      </w:pPr>
      <w:r>
        <w:t>(5)</w:t>
      </w:r>
      <w:r>
        <w:tab/>
      </w:r>
      <w:r>
        <w:rPr>
          <w:noProof/>
        </w:rPr>
        <w:t>Предвидените в протокола възможности за риболов следва да се разпределят между държавите членки за целия период на прилагане на протокола.</w:t>
      </w:r>
    </w:p>
    <w:p>
      <w:pPr>
        <w:pStyle w:val="ManualConsidrant"/>
        <w:rPr>
          <w:noProof/>
        </w:rPr>
      </w:pPr>
      <w:r>
        <w:t>(6)</w:t>
      </w:r>
      <w:r>
        <w:tab/>
      </w:r>
      <w:r>
        <w:rPr>
          <w:noProof/>
        </w:rPr>
        <w:t>Протоколът следва да се прилага временно от датата на подписването му, за да се осигури скорошно започване на риболовните дейности на корабите на Съюза. Поради това настоящият регламент следва да започне да се прилага от същата дата,</w:t>
      </w:r>
    </w:p>
    <w:p>
      <w:pPr>
        <w:rPr>
          <w:noProof/>
        </w:rPr>
      </w:pPr>
    </w:p>
    <w:p>
      <w:pPr>
        <w:pStyle w:val="Formuledadoption"/>
        <w:rPr>
          <w:noProof/>
        </w:rPr>
      </w:pPr>
      <w:r>
        <w:rPr>
          <w:noProof/>
        </w:rPr>
        <w:lastRenderedPageBreak/>
        <w:t>ПРИЕ НАСТОЯЩИЯ РЕГЛАМЕНТ:</w:t>
      </w:r>
    </w:p>
    <w:p>
      <w:pPr>
        <w:pStyle w:val="Titrearticle"/>
        <w:rPr>
          <w:noProof/>
        </w:rPr>
      </w:pPr>
      <w:r>
        <w:rPr>
          <w:noProof/>
        </w:rPr>
        <w:t>Член 1</w:t>
      </w:r>
    </w:p>
    <w:p>
      <w:pPr>
        <w:rPr>
          <w:noProof/>
        </w:rPr>
      </w:pPr>
      <w:r>
        <w:rPr>
          <w:noProof/>
        </w:rPr>
        <w:t>(1)</w:t>
      </w:r>
      <w:r>
        <w:rPr>
          <w:noProof/>
        </w:rPr>
        <w:tab/>
        <w:t>Възможностите за риболов, установени съгласно Протокола за прилагане на Споразумението за партньорство в областта на рибарството между Европейската общност и Република Кабо Верде (2019—2024 г.) (наричан по-долу „протоколът“), се разпределят между държавите членки, както следва:</w:t>
      </w:r>
    </w:p>
    <w:p>
      <w:pPr>
        <w:rPr>
          <w:noProof/>
        </w:rPr>
      </w:pPr>
      <w:r>
        <w:rPr>
          <w:noProof/>
        </w:rPr>
        <w:t>а)</w:t>
      </w:r>
      <w:r>
        <w:rPr>
          <w:noProof/>
        </w:rPr>
        <w:tab/>
        <w:t>кораби с мрежи гъргър за улов на риба тон:</w:t>
      </w:r>
    </w:p>
    <w:p>
      <w:pPr>
        <w:rPr>
          <w:noProof/>
        </w:rPr>
      </w:pPr>
      <w:r>
        <w:rPr>
          <w:noProof/>
        </w:rPr>
        <w:t>Испания:</w:t>
      </w:r>
      <w:r>
        <w:rPr>
          <w:noProof/>
        </w:rPr>
        <w:tab/>
      </w:r>
      <w:r>
        <w:rPr>
          <w:noProof/>
        </w:rPr>
        <w:tab/>
        <w:t>[16]</w:t>
      </w:r>
      <w:r>
        <w:rPr>
          <w:noProof/>
        </w:rPr>
        <w:tab/>
        <w:t>кораба,</w:t>
      </w:r>
    </w:p>
    <w:p>
      <w:pPr>
        <w:rPr>
          <w:noProof/>
        </w:rPr>
      </w:pPr>
      <w:r>
        <w:rPr>
          <w:noProof/>
        </w:rPr>
        <w:t xml:space="preserve">Франция:   </w:t>
      </w:r>
      <w:r>
        <w:rPr>
          <w:noProof/>
        </w:rPr>
        <w:tab/>
      </w:r>
      <w:r>
        <w:rPr>
          <w:noProof/>
        </w:rPr>
        <w:tab/>
        <w:t>[12]</w:t>
      </w:r>
      <w:r>
        <w:rPr>
          <w:noProof/>
        </w:rPr>
        <w:tab/>
        <w:t>кораба;</w:t>
      </w:r>
    </w:p>
    <w:p>
      <w:pPr>
        <w:rPr>
          <w:noProof/>
        </w:rPr>
      </w:pPr>
      <w:r>
        <w:rPr>
          <w:noProof/>
        </w:rPr>
        <w:t>б)</w:t>
      </w:r>
      <w:r>
        <w:rPr>
          <w:noProof/>
        </w:rPr>
        <w:tab/>
        <w:t>кораби с парагади за улов на повърхността:</w:t>
      </w:r>
    </w:p>
    <w:p>
      <w:pPr>
        <w:rPr>
          <w:noProof/>
        </w:rPr>
      </w:pPr>
      <w:r>
        <w:rPr>
          <w:noProof/>
        </w:rPr>
        <w:t>Испания:</w:t>
      </w:r>
      <w:r>
        <w:rPr>
          <w:noProof/>
        </w:rPr>
        <w:tab/>
      </w:r>
      <w:r>
        <w:rPr>
          <w:noProof/>
        </w:rPr>
        <w:tab/>
        <w:t>[21]</w:t>
      </w:r>
      <w:r>
        <w:rPr>
          <w:noProof/>
        </w:rPr>
        <w:tab/>
        <w:t>кораба,</w:t>
      </w:r>
    </w:p>
    <w:p>
      <w:pPr>
        <w:rPr>
          <w:noProof/>
        </w:rPr>
      </w:pPr>
      <w:r>
        <w:rPr>
          <w:noProof/>
        </w:rPr>
        <w:t>Португалия:</w:t>
      </w:r>
      <w:r>
        <w:rPr>
          <w:noProof/>
        </w:rPr>
        <w:tab/>
      </w:r>
      <w:r>
        <w:rPr>
          <w:noProof/>
        </w:rPr>
        <w:tab/>
        <w:t>[6]</w:t>
      </w:r>
      <w:r>
        <w:rPr>
          <w:noProof/>
        </w:rPr>
        <w:tab/>
        <w:t>кораба;</w:t>
      </w:r>
    </w:p>
    <w:p>
      <w:pPr>
        <w:rPr>
          <w:noProof/>
        </w:rPr>
      </w:pPr>
      <w:r>
        <w:rPr>
          <w:noProof/>
        </w:rPr>
        <w:t>в)</w:t>
      </w:r>
      <w:r>
        <w:rPr>
          <w:noProof/>
        </w:rPr>
        <w:tab/>
        <w:t>кораби за улов на риба тон с въдици:</w:t>
      </w:r>
    </w:p>
    <w:p>
      <w:pPr>
        <w:rPr>
          <w:noProof/>
        </w:rPr>
      </w:pPr>
      <w:r>
        <w:rPr>
          <w:noProof/>
        </w:rPr>
        <w:t>Испания:</w:t>
      </w:r>
      <w:r>
        <w:rPr>
          <w:noProof/>
        </w:rPr>
        <w:tab/>
      </w:r>
      <w:r>
        <w:rPr>
          <w:noProof/>
        </w:rPr>
        <w:tab/>
        <w:t>[8]</w:t>
      </w:r>
      <w:r>
        <w:rPr>
          <w:noProof/>
        </w:rPr>
        <w:tab/>
        <w:t>кораба,</w:t>
      </w:r>
    </w:p>
    <w:p>
      <w:pPr>
        <w:rPr>
          <w:noProof/>
        </w:rPr>
      </w:pPr>
      <w:r>
        <w:rPr>
          <w:noProof/>
        </w:rPr>
        <w:t xml:space="preserve">Франция: </w:t>
      </w:r>
      <w:r>
        <w:rPr>
          <w:noProof/>
        </w:rPr>
        <w:tab/>
      </w:r>
      <w:r>
        <w:rPr>
          <w:noProof/>
        </w:rPr>
        <w:tab/>
        <w:t>[4]</w:t>
      </w:r>
      <w:r>
        <w:rPr>
          <w:noProof/>
        </w:rPr>
        <w:tab/>
        <w:t>кораба,</w:t>
      </w:r>
    </w:p>
    <w:p>
      <w:pPr>
        <w:rPr>
          <w:noProof/>
        </w:rPr>
      </w:pPr>
      <w:r>
        <w:rPr>
          <w:noProof/>
        </w:rPr>
        <w:t>Португалия:</w:t>
      </w:r>
      <w:r>
        <w:rPr>
          <w:noProof/>
        </w:rPr>
        <w:tab/>
      </w:r>
      <w:r>
        <w:rPr>
          <w:noProof/>
        </w:rPr>
        <w:tab/>
        <w:t>[2]</w:t>
      </w:r>
      <w:r>
        <w:rPr>
          <w:noProof/>
        </w:rPr>
        <w:tab/>
        <w:t>кораба.</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датата на прилагане на протокола.</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Приети по време на Съвета по правосъдие и вътрешни работи, проведен на 4—5 юни 2018 г.</w:t>
      </w:r>
    </w:p>
  </w:footnote>
  <w:footnote w:id="2">
    <w:p>
      <w:pPr>
        <w:pStyle w:val="FootnoteText"/>
        <w:rPr>
          <w:lang w:val="fr-BE"/>
        </w:rPr>
      </w:pPr>
      <w:r>
        <w:rPr>
          <w:rStyle w:val="FootnoteReference"/>
        </w:rPr>
        <w:footnoteRef/>
      </w:r>
      <w:r>
        <w:tab/>
        <w:t>ОВ L 414, 30.12.2006 г., стр. 3.</w:t>
      </w:r>
    </w:p>
  </w:footnote>
  <w:footnote w:id="3">
    <w:p>
      <w:pPr>
        <w:pStyle w:val="Footno"/>
      </w:pPr>
      <w:r>
        <w:rPr>
          <w:rStyle w:val="FootnoteReference"/>
        </w:rPr>
        <w:footnoteRef/>
      </w:r>
      <w:r>
        <w:tab/>
        <w:t>Регламент (ЕО) № 2027/2006 на Съвета от 19 декември 2006 г. за сключване на Споразумение за партньорство в областта на рибарството между Европейската общност и Република Кабо Верде (ОВ L 414, 30.12.2006 г., стр. 1).</w:t>
      </w:r>
    </w:p>
  </w:footnote>
  <w:footnote w:id="4">
    <w:p>
      <w:pPr>
        <w:pStyle w:val="FootnoteText"/>
        <w:ind w:left="0" w:firstLine="0"/>
      </w:pPr>
      <w:r>
        <w:rPr>
          <w:rStyle w:val="FootnoteReference"/>
        </w:rPr>
        <w:footnoteRef/>
      </w:r>
      <w:r>
        <w:tab/>
        <w:t>Решение … (ОВ L ..., ... г.,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084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76AE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1ADA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6279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8A5A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C433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9EFF5C"/>
    <w:lvl w:ilvl="0">
      <w:start w:val="1"/>
      <w:numFmt w:val="decimal"/>
      <w:pStyle w:val="ListNumber"/>
      <w:lvlText w:val="%1."/>
      <w:lvlJc w:val="left"/>
      <w:pPr>
        <w:tabs>
          <w:tab w:val="num" w:pos="360"/>
        </w:tabs>
        <w:ind w:left="360" w:hanging="360"/>
      </w:pPr>
    </w:lvl>
  </w:abstractNum>
  <w:abstractNum w:abstractNumId="7">
    <w:nsid w:val="FFFFFF89"/>
    <w:multiLevelType w:val="singleLevel"/>
    <w:tmpl w:val="851E6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4:35: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08266A2-A352-41A1-838E-2CE42C924727"/>
    <w:docVar w:name="LW_COVERPAGE_TYPE" w:val="1"/>
    <w:docVar w:name="LW_CROSSREFERENCE" w:val="&lt;UNUSED&gt;"/>
    <w:docVar w:name="LW_DocType" w:val="COM"/>
    <w:docVar w:name="LW_EMISSION" w:val="14.3.2019"/>
    <w:docVar w:name="LW_EMISSION_ISODATE" w:val="2019-03-1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2"/>
    <w:docVar w:name="LW_REF.II.NEW.CP_YEAR" w:val="2019"/>
    <w:docVar w:name="LW_REF.INST.NEW" w:val="COM"/>
    <w:docVar w:name="LW_REF.INST.NEW_ADOPTED" w:val="final"/>
    <w:docVar w:name="LW_REF.INST.NEW_TEXT" w:val="(2019)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8?\u1072?\u1079?\u1087?\u1088?\u1077?\u1076?\u1077?\u1083?\u1103?\u1085?\u1077?\u1090?\u1086? \u1085?\u1072? \u1074?\u1098?\u1079?\u1084?\u1086?\u1078?\u1085?\u1086?\u1089?\u1090?\u1080?\u1090?\u1077? \u1079?\u1072? \u1088?\u1080?\u1073?\u1086?\u1083?\u1086?\u1074? \u1089?\u1098?\u1075?\u1083?\u1072?\u1089?\u1085?\u1086?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56?\u1077?\u1087?\u1091?\u1073?\u1083?\u1080?\u1082?\u1072? \u1050?\u1072?\u1073?\u1086? \u1042?\u1077?\u1088?\u1076?\u1077? (2019\u8212?2024 \u1075?.)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Footno">
    <w:name w:val="Footno"/>
    <w:basedOn w:val="FootnoteText"/>
    <w:pPr>
      <w:ind w:left="0" w:firstLine="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Footno">
    <w:name w:val="Footno"/>
    <w:basedOn w:val="FootnoteText"/>
    <w:pPr>
      <w:ind w:left="0" w:firstLine="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5499">
      <w:bodyDiv w:val="1"/>
      <w:marLeft w:val="0"/>
      <w:marRight w:val="0"/>
      <w:marTop w:val="0"/>
      <w:marBottom w:val="0"/>
      <w:divBdr>
        <w:top w:val="none" w:sz="0" w:space="0" w:color="auto"/>
        <w:left w:val="none" w:sz="0" w:space="0" w:color="auto"/>
        <w:bottom w:val="none" w:sz="0" w:space="0" w:color="auto"/>
        <w:right w:val="none" w:sz="0" w:space="0" w:color="auto"/>
      </w:divBdr>
    </w:div>
    <w:div w:id="413746695">
      <w:bodyDiv w:val="1"/>
      <w:marLeft w:val="0"/>
      <w:marRight w:val="0"/>
      <w:marTop w:val="0"/>
      <w:marBottom w:val="0"/>
      <w:divBdr>
        <w:top w:val="none" w:sz="0" w:space="0" w:color="auto"/>
        <w:left w:val="none" w:sz="0" w:space="0" w:color="auto"/>
        <w:bottom w:val="none" w:sz="0" w:space="0" w:color="auto"/>
        <w:right w:val="none" w:sz="0" w:space="0" w:color="auto"/>
      </w:divBdr>
    </w:div>
    <w:div w:id="627245849">
      <w:bodyDiv w:val="1"/>
      <w:marLeft w:val="0"/>
      <w:marRight w:val="0"/>
      <w:marTop w:val="0"/>
      <w:marBottom w:val="0"/>
      <w:divBdr>
        <w:top w:val="none" w:sz="0" w:space="0" w:color="auto"/>
        <w:left w:val="none" w:sz="0" w:space="0" w:color="auto"/>
        <w:bottom w:val="none" w:sz="0" w:space="0" w:color="auto"/>
        <w:right w:val="none" w:sz="0" w:space="0" w:color="auto"/>
      </w:divBdr>
    </w:div>
    <w:div w:id="1516916177">
      <w:bodyDiv w:val="1"/>
      <w:marLeft w:val="0"/>
      <w:marRight w:val="0"/>
      <w:marTop w:val="0"/>
      <w:marBottom w:val="0"/>
      <w:divBdr>
        <w:top w:val="none" w:sz="0" w:space="0" w:color="auto"/>
        <w:left w:val="none" w:sz="0" w:space="0" w:color="auto"/>
        <w:bottom w:val="none" w:sz="0" w:space="0" w:color="auto"/>
        <w:right w:val="none" w:sz="0" w:space="0" w:color="auto"/>
      </w:divBdr>
    </w:div>
    <w:div w:id="17111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8568FD-6298-47BE-A30B-854420A3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Pages>
  <Words>1019</Words>
  <Characters>5891</Characters>
  <Application>Microsoft Office Word</Application>
  <DocSecurity>0</DocSecurity>
  <Lines>133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2018-12-14T14:47:00Z</cp:lastPrinted>
  <dcterms:created xsi:type="dcterms:W3CDTF">2019-02-15T10:24:00Z</dcterms:created>
  <dcterms:modified xsi:type="dcterms:W3CDTF">2019-03-13T13:35:00Z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