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AFFC6761-05E0-436C-ACAD-668C9CCD32F6" style="width:450.75pt;height:320.2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 xml:space="preserve">ВЪВЕДЕНИЕ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Регламентът относно пазарите на финансови инструменти (РПФИ)</w:t>
      </w:r>
      <w:r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rFonts w:ascii="Times New Roman" w:hAnsi="Times New Roman"/>
          <w:noProof/>
          <w:sz w:val="24"/>
        </w:rPr>
        <w:t xml:space="preserve"> и Директивата относно пазарите на финансови инструменти (ДПФИ II)</w:t>
      </w:r>
      <w:r>
        <w:rPr>
          <w:rStyle w:val="FootnoteReference"/>
          <w:rFonts w:ascii="Times New Roman" w:hAnsi="Times New Roman"/>
          <w:noProof/>
          <w:sz w:val="24"/>
        </w:rPr>
        <w:footnoteReference w:id="2"/>
      </w:r>
      <w:r>
        <w:rPr>
          <w:rFonts w:ascii="Times New Roman" w:hAnsi="Times New Roman"/>
          <w:noProof/>
          <w:sz w:val="24"/>
        </w:rPr>
        <w:t xml:space="preserve"> бяха публикувани в Официален вестник на 12 юни 2014 г., влязоха в сила на 2 юли 2014 г. и се прилагат от 3 януари 2018 г.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 ДПФИ II и РПФИ се въвежда структура на пазара, чието предназначение е да се гарантира, че търговията се осъществява – когато това е целесъобразно – на регулирани платформи и по прозрачен начин с цел ефикасно и справедливо ценообразуване.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 тази рамка в РПФИ се предвижда освобождаване от изискванията за прозрачност преди и след сключването на сделките при некапиталовите финансови инструменти, което е от полза за регулираните пазари, пазарните оператори и инвестиционните посредници при сделките с контрагент, който е член на Европейската система на централните банки (ЕСЦБ), сключени при изпълнението на паричната политика, валутната политика и политиката в областта на финансовата стабилност, която този член на ЕСЦБ е законово оправомощен да провежда, когато този член предварително е уведомил своя контрагент, че сделката е освободена. Освен това по силата на РПФИ Комисията е оправомощена да разширява обхвата на това освобождаване чрез включване на централните банки на трети държави, когато са изпълнени предварителните условия.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За тази цел Европейската комисия възложи на Центъра за европейски политически изследвания (CEPS) и на Болонския университет да проведат външно изследване на тема „Освобождавания на централните банки на трети държави и други субекти по Регламента относно пазарната злоупотреба (РПЗ) и Регламента относно пазарите на финансови инструменти (РПФИ)“ (по-нататък наричано „изследването“)</w:t>
      </w:r>
      <w:r>
        <w:rPr>
          <w:rStyle w:val="FootnoteReference"/>
          <w:rFonts w:ascii="Times New Roman" w:hAnsi="Times New Roman"/>
          <w:noProof/>
          <w:sz w:val="24"/>
        </w:rPr>
        <w:footnoteReference w:id="3"/>
      </w:r>
      <w:r>
        <w:rPr>
          <w:rFonts w:ascii="Times New Roman" w:hAnsi="Times New Roman"/>
          <w:noProof/>
          <w:sz w:val="24"/>
        </w:rPr>
        <w:t xml:space="preserve">. Изследването е извършено въз основа на допитване и документално проучване. В него се анализират разпоредбите за прозрачност преди и след сключването на сделките, които се прилагат, когато централните банки на трети държави търгуват с некапиталови финансови инструменти, както и мащабът на търговията на тези централни банки с такива инструменти в Съюза.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доклад</w:t>
      </w:r>
      <w:r>
        <w:rPr>
          <w:noProof/>
          <w:sz w:val="24"/>
          <w:vertAlign w:val="superscript"/>
        </w:rPr>
        <w:footnoteReference w:id="4"/>
      </w:r>
      <w:r>
        <w:rPr>
          <w:rFonts w:ascii="Times New Roman" w:hAnsi="Times New Roman"/>
          <w:noProof/>
          <w:sz w:val="24"/>
        </w:rPr>
        <w:t>, приет на 9 юни 2017 г., Комисията заключава, че в съответствие с член 1, параграф 9 от РПФИ е целесъобразно следните централни банки на трети държави да бъдат освободени от предвидените в РПФИ изисквания за прозрачност преди и след сключването на сделки: Австралия, Бразилия, Канада, САР Хонконг, Индия, Япония, Мексико, Сингапур, Република Корея, Швейцария, Турция и Съединените щати, както и Банката за международни разплащания (БМР). С Делегиран регламент (ЕС) 2017/1799, приет на 14 юни 2017 г., в съответствие с член 1, параграф 9 от РПФИ централните банки на горепосочените трети държави бяха освободени от предвидените в РПФИ изисквания за прозрачност преди и след сключването на сделки.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br w:type="page"/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ПРАВНО ОСНОВАНИЕ НА ДОКЛАДА: ЧЛЕН 1, ПАРАГРАФ 9 ОТ РПФИ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Централната банка на Китайската народна република (Китайската народна банка, КНБ) не представи достатъчно информация, а именно по отношение на търговската си дейност в ЕС, поради което Комисията не бе в състояние да извърши оценка към момента на приемане на Делегиран регламент (ЕС) 2017/1799 на Комисията. През август 2018 г. КНБ представи данните, необходими за извършването на оценката по член 1, параграф 9 от РПФИ. С оглед на допълнителните сведения, получени от КНБ, в настоящия доклад се преценява дали е целесъобразно КНБ да бъде освободена от изискванията за прозрачност преди и след сключването на сделките по силата на член 1, параграф 9 от РПФИ.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 член 1, параграф 6 от РПФИ се предвижда освобождаване от правилата за прозрачност преди и след сключването на сделките, по които контрагентът е член на Европейската система на централните банки (ЕСЦБ) и които са сключени при изпълнението на паричната политика, валутната политика и политиката в областта на финансовата стабилност, която този член на ЕСЦБ е законово оправомощен да провежда, когато той предварително е уведомил своя контрагент, че сделката е освободена. </w:t>
      </w:r>
    </w:p>
    <w:p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Освен това с член 1, параграф 9 от РПФИ на Комисията се предоставя правомощието да: „</w:t>
      </w:r>
      <w:r>
        <w:rPr>
          <w:rFonts w:ascii="Times New Roman" w:hAnsi="Times New Roman"/>
          <w:i/>
          <w:noProof/>
          <w:sz w:val="24"/>
        </w:rPr>
        <w:t>[…] приема делегирани актове в съответствие с член 50, за да разшири обхвата на параграф 6 по отношение на други централни банки.</w:t>
      </w:r>
    </w:p>
    <w:p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 xml:space="preserve">За тази цел, до 1 юни 2015 г. Комисията представя на Европейския парламент и на Съвета доклад за оценка на третирането на сделки на централните банки на трети държави, което за целите на настоящия параграф включва и Банката за международни разплащания. Докладът включва анализ на техните законово установени задачи и техните търгувани обеми в рамките на Съюза. В доклада: </w:t>
      </w:r>
    </w:p>
    <w:p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 xml:space="preserve">а) се определят разпоредби, приложими в съответните трети държави относно нормативно изискуемото оповестяване на сделки на централни банки, включително сделки, извършени от членовете на ЕСЦБ в тези трети държави, и </w:t>
      </w:r>
    </w:p>
    <w:p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 xml:space="preserve">б) се оценява потенциалното въздействие, което нормативно изискуемото оповестяване на информация в рамките на Съюза може да окаже върху сделки с централните банки на трети държави.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Ако в доклада се заключава, че освобождаването, предвидено в съответствие с параграф 6, е необходимо по отношение на сделки, когато контрагентът е централна банка на трета държава, осъществяваща операции в областта на паричната политика, валутната политика и финансовата стабилност, Комисията следи това освобождаване да се прилага към тази централна банка на трета държава.</w:t>
      </w:r>
      <w:r>
        <w:rPr>
          <w:rFonts w:ascii="Times New Roman" w:hAnsi="Times New Roman"/>
          <w:noProof/>
          <w:sz w:val="24"/>
        </w:rPr>
        <w:t>“</w:t>
      </w:r>
      <w:r>
        <w:rPr>
          <w:rFonts w:ascii="Times New Roman" w:hAnsi="Times New Roman"/>
          <w:i/>
          <w:noProof/>
          <w:sz w:val="24"/>
        </w:rPr>
        <w:t xml:space="preserve"> </w:t>
      </w:r>
    </w:p>
    <w:p>
      <w:pPr>
        <w:pStyle w:val="ListParagraph"/>
        <w:keepNext/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АНАЛИЗ НА ПОЛОЖЕНИЕТО ЗА КИТАЙСКАТА НАРОДНА БАНКА </w:t>
      </w:r>
    </w:p>
    <w:p>
      <w:pPr>
        <w:keepNext/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Критерии, използвани при оценката</w:t>
      </w:r>
    </w:p>
    <w:p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spacing w:before="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Предвиденият в член 1, параграф 9 от РПФИ мандат за извършване на анализ на определените юрисдикции се основава на два основни критерия, които бяха от съществено значение за оценката на Комисията: </w:t>
      </w:r>
    </w:p>
    <w:p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а)</w:t>
      </w:r>
      <w:r>
        <w:rPr>
          <w:rFonts w:ascii="Times New Roman" w:hAnsi="Times New Roman"/>
          <w:noProof/>
          <w:sz w:val="24"/>
        </w:rPr>
        <w:tab/>
        <w:t>правилата относно изискваното разкриване на информация за сделките на централни банки: разпоредбите за прозрачността на пазара, приложими за сделките на централни банки („прозрачност на пазара“), и/или прозрачността на уредбата за дейността на централната банка („прозрачност на дейността“); както и</w:t>
      </w:r>
    </w:p>
    <w:p>
      <w:pPr>
        <w:jc w:val="both"/>
        <w:rPr>
          <w:rFonts w:cs="Times New Roman"/>
          <w:noProof/>
          <w:szCs w:val="24"/>
        </w:rPr>
      </w:pPr>
      <w:r>
        <w:rPr>
          <w:rFonts w:ascii="Times New Roman" w:hAnsi="Times New Roman"/>
          <w:noProof/>
          <w:sz w:val="24"/>
        </w:rPr>
        <w:t>б)</w:t>
      </w:r>
      <w:r>
        <w:rPr>
          <w:rFonts w:ascii="Times New Roman" w:hAnsi="Times New Roman"/>
          <w:noProof/>
          <w:sz w:val="24"/>
        </w:rPr>
        <w:tab/>
        <w:t xml:space="preserve">необходимостта от освобождаване: обемът на сделките, които централната банка е изпълнила с контрагенти от ЕС или с финансови инструменти, търгувани на регулиран пазар в ЕС. </w:t>
      </w:r>
    </w:p>
    <w:p>
      <w:pPr>
        <w:spacing w:before="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За целите на оценката беше счетено, че изпълнението на тези два критерия е от съществено значение, тъй като те обхващат факторите, посочени в член 1, параграф 9 от РПФИ. В това отношение понятието „прозрачност на пазара“ се отнася до прозрачността на конкретни сделки, свързани с отделни ценни книжа, а „прозрачност на дейността“ – до по-общите правила за прозрачността, които уреждат дейността на дадена централна банка. Поради това, като се имат предвид целите и обхватът на РПФИ, беше счетено, че е необходим анализ на изпълнението на нормативните изисквания за прозрачността на пазара за сделките и за прозрачността на уредбата на дейността, за да се прецени дали е целесъобразно централните банки на трети държави да бъдат освободени в съответствие с член 1, параграф 9, буква а) от РПФИ. От значение е и обемът на сделките между централната банка на съответната трета държава и ЕС, тъй като той е показател за потенциалното въздействие, което изискваното разкриване на информация в Съюза може да окаже върху сделките с централни банки на трети държави съгласно член 1, параграф 9, буква б) от РПФИ. </w:t>
      </w:r>
    </w:p>
    <w:p>
      <w:pPr>
        <w:spacing w:before="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Освен това, като се имат предвид изискванията и целите на РПФИ, отчетени бяха и следните критерии: </w:t>
      </w:r>
    </w:p>
    <w:p>
      <w:pPr>
        <w:spacing w:before="60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i)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 xml:space="preserve">наличието на процедура за уведомяване, посредством която централната банка на трета държава уведомява своя контрагент от ЕС, че сделката е освободена; </w:t>
      </w:r>
    </w:p>
    <w:p>
      <w:pPr>
        <w:spacing w:before="60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ii) 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 xml:space="preserve">способността на централната банка на третата държава да разграничава сделките за целите на ключовите политики по РПФИ и сделките, които се изпълняват само с „чисто“ инвестиционни цели; както и </w:t>
      </w:r>
    </w:p>
    <w:p>
      <w:pPr>
        <w:spacing w:before="60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iii) 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наличието на сходно освобождаване, прилагано от централните банки на трети държави в разглежданата юрисдикция.</w:t>
      </w:r>
    </w:p>
    <w:p>
      <w:pPr>
        <w:spacing w:before="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Изпълнението на горепосочените допълнителни критерии бе оценено въз основа на изискванията и целите на РПФИ. По-конкретно, в рамките на оценяването бе разгледан въпросът дали централната банка на трета държава има въведена процедура, с която да уведоми контрагента си от ЕС, че сделката е освободена. Освобождавания по член 1, параграф 6 от РПФИ не може да се предоставят на централни банки, когато извършват операции с чисто инвестиционни цели. Затова в изследването беше проверено дали централните банки на третите държави разграничават сделките, изпълнявани за регулаторни цели, от сделките, изпълнявани с инвестиционни цели. Накрая, с оглед на пазарното въздействие на изискванията за разкриване на информация и евентуалното им отражение върху ефективността на паричната политика, анализирано бе и наличието на законоустановено освобождаване за централните банки, които търгуват на места за търговия в трети държави.</w:t>
      </w:r>
    </w:p>
    <w:p>
      <w:pPr>
        <w:spacing w:before="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За подробно описание на критериите вижте осъщественото от CEPS изследване.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br w:type="page"/>
      </w:r>
    </w:p>
    <w:p>
      <w:pPr>
        <w:spacing w:before="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bookmarkStart w:id="2" w:name="_Toc413169301"/>
      <w:bookmarkStart w:id="3" w:name="_Toc412950561"/>
      <w:bookmarkStart w:id="4" w:name="_Toc412947399"/>
      <w:bookmarkStart w:id="5" w:name="_Toc412933595"/>
      <w:bookmarkStart w:id="6" w:name="_Toc412835395"/>
      <w:bookmarkStart w:id="7" w:name="_Toc418165659"/>
      <w:r>
        <w:rPr>
          <w:rFonts w:ascii="Times New Roman" w:hAnsi="Times New Roman"/>
          <w:b/>
          <w:noProof/>
          <w:sz w:val="24"/>
        </w:rPr>
        <w:t xml:space="preserve">Обобщение на анализа за </w:t>
      </w:r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/>
          <w:b/>
          <w:noProof/>
          <w:sz w:val="24"/>
        </w:rPr>
        <w:t>Китайската народна банка</w:t>
      </w: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Комисията заключи, че КНБ разполага с нормативна уредба, която осигурява достатъчно равнище на прозрачност</w:t>
      </w:r>
      <w:r>
        <w:rPr>
          <w:rStyle w:val="FootnoteReference"/>
          <w:rFonts w:ascii="Times New Roman" w:hAnsi="Times New Roman"/>
          <w:noProof/>
          <w:sz w:val="24"/>
        </w:rPr>
        <w:footnoteReference w:id="5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Освен това търговската дейност в ЕС, произтичаща от Китайската народна република, е достатъчно мащабна, за да оправдае освобождаването на КНБ от изискванията за прозрачност преди и след сключването на сделките. </w:t>
      </w:r>
    </w:p>
    <w:p>
      <w:pPr>
        <w:spacing w:before="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По-долу е направено кратко обобщение на анализа на КНБ по горепосочените критерии.</w:t>
      </w:r>
    </w:p>
    <w:p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Основни критерии</w:t>
      </w: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КНБ има изисквания в реално време към борсите, на които се търгуват облигации на търговски дружества и други ценни книжа. За извънборсовите сделки пазарните участници нямат задължения за разкриване на информация. Все пак Китайската система за търговия с чуждестранна валута, известна и като Национален междубанков център за финансиране, има достъп до цялата информация за сделките и може да разкрива тази информация пред обществеността. Прозрачността на дейността се постига чрез обществени обявления за операциите на открития пазар и за резултатите от краткосрочните операции за осигуряване на ликвидност. </w:t>
      </w: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Европейската комисия получи данни относно търговската дейност на КНБ на финансовите пазари на ЕС и с контрагенти от ЕС. Търговските обеми на КНБ с контрагенти от ЕС са големи. </w:t>
      </w: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Допълнителни критерии</w:t>
      </w: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Чуждестранните централни банки, търгуващи в Китай, не са освободени от изискванията за прозрачност.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КНБ разграничава сделките за целите на политиката от сделките за други цели (по-специално за „инвестиционни“ цели), които имат незначителна роля.</w:t>
      </w: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Накрая, има въведена процедура за уведомяване на контрагентите от ЕС, че за сделките не се прилагат изискванията за прозрачност.</w:t>
      </w: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Caption"/>
        <w:keepNext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i w:val="0"/>
          <w:noProof/>
          <w:color w:val="auto"/>
          <w:sz w:val="22"/>
        </w:rPr>
        <w:t>Обзор на изпълнението на критериите</w:t>
      </w:r>
    </w:p>
    <w:tbl>
      <w:tblPr>
        <w:tblW w:w="8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3596"/>
      </w:tblGrid>
      <w:tr>
        <w:trPr>
          <w:trHeight w:val="502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Основни критерии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Прозрачност на пазара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Средна</w:t>
            </w:r>
          </w:p>
        </w:tc>
      </w:tr>
      <w:tr>
        <w:trPr>
          <w:trHeight w:val="502"/>
        </w:trPr>
        <w:tc>
          <w:tcPr>
            <w:tcW w:w="1701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Прозрачност на дейността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Средна</w:t>
            </w:r>
          </w:p>
        </w:tc>
      </w:tr>
      <w:tr>
        <w:trPr>
          <w:trHeight w:val="502"/>
        </w:trPr>
        <w:tc>
          <w:tcPr>
            <w:tcW w:w="1701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Необходимост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</w:tr>
      <w:tr>
        <w:trPr>
          <w:trHeight w:val="502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Други критерии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Разграничаване между целите на сделките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</w:tr>
      <w:tr>
        <w:trPr>
          <w:trHeight w:val="502"/>
        </w:trPr>
        <w:tc>
          <w:tcPr>
            <w:tcW w:w="1701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Процедура за уведомяване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</w:tr>
      <w:tr>
        <w:trPr>
          <w:trHeight w:val="502"/>
        </w:trPr>
        <w:tc>
          <w:tcPr>
            <w:tcW w:w="1701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Освобождаване на чуждестранни ЦБ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Не</w:t>
            </w:r>
          </w:p>
        </w:tc>
      </w:tr>
      <w:tr>
        <w:trPr>
          <w:trHeight w:val="502"/>
        </w:trPr>
        <w:tc>
          <w:tcPr>
            <w:tcW w:w="1701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Вид на изпълнението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Двустранно (50 – 100 %), места за търговия (10 – 50 %)</w:t>
            </w:r>
          </w:p>
        </w:tc>
      </w:tr>
      <w:tr>
        <w:trPr>
          <w:trHeight w:val="502"/>
        </w:trPr>
        <w:tc>
          <w:tcPr>
            <w:tcW w:w="1701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Освобождаване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 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ЗАКЛЮЧЕНИЯ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Въз основа на получената информация Комисията заключава, че в съответствие с член 1, параграф 9 от РПФИ е целесъобразно КНБ да бъде освободена от предвидените в РПФИ изисквания за прозрачност преди и след сключването на сделките.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Това заключение не засяга евентуалните промени в бъдеще въз основа на нови данни, предоставени от централните банки в трети държави, промени в законодателството на трети държави или промени във фактическите обстоятелства. Вследствие на такива събития може да възникне нужда от преразглеждане на списъка на освободените централни банки на трети държави.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6361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Регламент (ЕС) № 600/2014 на Европейския парламент и на Съвета от 15 май 2014 година относно пазарите на финансови инструменти и за изменение на Регламент (ЕС) № 648/2012 (OB L 173, 12.6.2014 г., стр. 84).</w:t>
      </w:r>
    </w:p>
  </w:footnote>
  <w:footnote w:id="2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Директива 2014/65/ЕС на Европейския парламент и на Съвета от 15 май 2014 година относно пазарите на финансови инструменти и за изменение на Директива 2002/92/ЕО и на Директива 2011/61/ЕС (OB L 173, 12.6.2014 г.).</w:t>
      </w:r>
    </w:p>
  </w:footnote>
  <w:footnote w:id="3">
    <w:p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https://www.ceps.eu/publications/study-exemptions-third-country-central-banks-and-debt-management-offices-under-mifir</w:t>
      </w:r>
    </w:p>
  </w:footnote>
  <w:footnote w:id="4">
    <w:p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COM(2017) 298 final.</w:t>
      </w:r>
    </w:p>
  </w:footnote>
  <w:footnote w:id="5">
    <w:p>
      <w:pPr>
        <w:pStyle w:val="FootnoteText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Целта на настоящия доклад не е да се направи оценка дали горепосочената юрисдикция е въвела правила за прозрачност на търговията, които може да се считат за равностойни на предвидените в РПФИ. Заключенията в настоящия доклад нямат отношение към подобна оценка. За целите на настоящата оценка е достатъчно въпросната юрисдикция да разполага с уредба за разкриването на информация.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3F98"/>
    <w:multiLevelType w:val="hybridMultilevel"/>
    <w:tmpl w:val="DCD466BA"/>
    <w:lvl w:ilvl="0" w:tplc="E388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AFFC6761-05E0-436C-ACAD-668C9CCD32F6"/>
    <w:docVar w:name="LW_COVERPAGE_TYPE" w:val="1"/>
    <w:docVar w:name="LW_CROSSREFERENCE" w:val="&lt;UNUSED&gt;"/>
    <w:docVar w:name="LW_DocType" w:val="NORMAL"/>
    <w:docVar w:name="LW_EMISSION" w:val="14.3.2019"/>
    <w:docVar w:name="LW_EMISSION_ISODATE" w:val="2019-03-14"/>
    <w:docVar w:name="LW_EMISSION_LOCATION" w:val="BRX"/>
    <w:docVar w:name="LW_EMISSION_PREFIX" w:val="Брюксел, "/>
    <w:docVar w:name="LW_EMISSION_SUFFIX" w:val=" \u1075?."/>
    <w:docVar w:name="LW_ID_DOCTYPE_NONLW" w:val="CP-00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9) 14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\u1054?\u1089?\u1074?\u1086?\u1073?\u1086?\u1078?\u1076?\u1072?\u1074?\u1072?\u1085?\u1077? \u1085?\u1072? \u1094?\u1077?\u1085?\u1090?\u1088?\u1072?\u1083?\u1085?\u1072?\u1090?\u1072? \u1073?\u1072?\u1085?\u1082?\u1072? \u1085?\u1072? \u1050?\u1080?\u1090?\u1072?\u1081?\u1089?\u1082?\u1072?\u1090?\u1072? \u1085?\u1072?\u1088?\u1086?\u1076?\u1085?\u1072? \u1088?\u1077?\u1087?\u1091?\u1073?\u1083?\u1080?\u1082?\u1072? \u1087?\u1086? \u1056?\u1077?\u1075?\u1083?\u1072?\u1084?\u1077?\u1085?\u1090?\u1072? \u1079?\u1072? \u1087?\u1072?\u1079?\u1072?\u1088?\u1080?\u1090?\u1077? \u1085?\u1072? \u1092?\u1080?\u1085?\u1072?\u1085?\u1089?\u1086?\u1074?\u1080? \u1080?\u1085?\u1089?\u1090?\u1088?\u1091?\u1084?\u1077?\u1085?\u1090?\u1080?_x000d__x000d__x000d__x000d__x000d__x000b_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9D980A2-E6DD-45D2-9586-4D0FB241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1682</Words>
  <Characters>9678</Characters>
  <Application>Microsoft Office Word</Application>
  <DocSecurity>0</DocSecurity>
  <Lines>201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22</cp:revision>
  <cp:lastPrinted>2018-10-11T07:04:00Z</cp:lastPrinted>
  <dcterms:created xsi:type="dcterms:W3CDTF">2018-11-13T08:06:00Z</dcterms:created>
  <dcterms:modified xsi:type="dcterms:W3CDTF">2019-03-12T18:03:00Z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reated using">
    <vt:lpwstr>LW 6.0.1, Build 20180503</vt:lpwstr>
  </property>
  <property fmtid="{D5CDD505-2E9C-101B-9397-08002B2CF9AE}" pid="7" name="Last edited using">
    <vt:lpwstr>LW 6.0.1, Build 20180503</vt:lpwstr>
  </property>
</Properties>
</file>