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A63348" w:rsidRPr="0033303B" w14:paraId="0DFC2868" w14:textId="77777777" w:rsidTr="00CB5762">
        <w:trPr>
          <w:trHeight w:hRule="exact" w:val="1418"/>
        </w:trPr>
        <w:tc>
          <w:tcPr>
            <w:tcW w:w="6804" w:type="dxa"/>
            <w:shd w:val="clear" w:color="auto" w:fill="auto"/>
            <w:vAlign w:val="center"/>
          </w:tcPr>
          <w:p w14:paraId="582E768F" w14:textId="77777777" w:rsidR="00A63348" w:rsidRPr="0033303B" w:rsidRDefault="00C019DA" w:rsidP="00CB5762">
            <w:pPr>
              <w:pStyle w:val="EPName"/>
            </w:pPr>
            <w:r w:rsidRPr="0033303B">
              <w:t>Европейски парламент</w:t>
            </w:r>
          </w:p>
          <w:p w14:paraId="098730CE" w14:textId="77777777" w:rsidR="00A63348" w:rsidRPr="0033303B" w:rsidRDefault="00711633" w:rsidP="00711633">
            <w:pPr>
              <w:pStyle w:val="EPTerm"/>
              <w:rPr>
                <w:rStyle w:val="HideTWBExt"/>
                <w:noProof w:val="0"/>
                <w:vanish w:val="0"/>
                <w:color w:val="auto"/>
              </w:rPr>
            </w:pPr>
            <w:r w:rsidRPr="0033303B">
              <w:t>2014-2019</w:t>
            </w:r>
          </w:p>
        </w:tc>
        <w:tc>
          <w:tcPr>
            <w:tcW w:w="2268" w:type="dxa"/>
            <w:shd w:val="clear" w:color="auto" w:fill="auto"/>
          </w:tcPr>
          <w:p w14:paraId="2268150C" w14:textId="77777777" w:rsidR="00A63348" w:rsidRPr="0033303B" w:rsidRDefault="00362518" w:rsidP="00CB5762">
            <w:pPr>
              <w:pStyle w:val="EPLogo"/>
            </w:pPr>
            <w:r w:rsidRPr="0033303B">
              <w:drawing>
                <wp:inline distT="0" distB="0" distL="0" distR="0" wp14:anchorId="71C18C80" wp14:editId="2938090E">
                  <wp:extent cx="1166495" cy="651510"/>
                  <wp:effectExtent l="0" t="0" r="0" b="0"/>
                  <wp:docPr id="1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495" cy="651510"/>
                          </a:xfrm>
                          <a:prstGeom prst="rect">
                            <a:avLst/>
                          </a:prstGeom>
                          <a:noFill/>
                          <a:ln>
                            <a:noFill/>
                          </a:ln>
                        </pic:spPr>
                      </pic:pic>
                    </a:graphicData>
                  </a:graphic>
                </wp:inline>
              </w:drawing>
            </w:r>
          </w:p>
        </w:tc>
      </w:tr>
    </w:tbl>
    <w:p w14:paraId="1DA6D65B" w14:textId="77777777" w:rsidR="00565466" w:rsidRPr="0033303B" w:rsidRDefault="00565466" w:rsidP="00565466">
      <w:pPr>
        <w:pStyle w:val="LineTop"/>
      </w:pPr>
    </w:p>
    <w:p w14:paraId="247A19DB" w14:textId="1796F282" w:rsidR="00565466" w:rsidRPr="0033303B" w:rsidRDefault="00234051" w:rsidP="00565466">
      <w:pPr>
        <w:pStyle w:val="ZCommittee"/>
      </w:pPr>
      <w:r w:rsidRPr="0033303B">
        <w:t>Документ за разглеждане в заседание</w:t>
      </w:r>
    </w:p>
    <w:p w14:paraId="7B3EB442" w14:textId="77777777" w:rsidR="00565466" w:rsidRPr="0033303B" w:rsidRDefault="00565466" w:rsidP="00565466">
      <w:pPr>
        <w:pStyle w:val="LineBottom"/>
      </w:pPr>
    </w:p>
    <w:p w14:paraId="2F962FAE" w14:textId="384B53F2" w:rsidR="002E7F11" w:rsidRPr="0033303B" w:rsidRDefault="00234051">
      <w:pPr>
        <w:pStyle w:val="RefProc"/>
      </w:pPr>
      <w:r w:rsidRPr="0033303B">
        <w:rPr>
          <w:rStyle w:val="HideTWBExt"/>
          <w:noProof w:val="0"/>
        </w:rPr>
        <w:t>&lt;NoDocSe&gt;</w:t>
      </w:r>
      <w:r w:rsidRPr="0033303B">
        <w:t>A8-0404/2018</w:t>
      </w:r>
      <w:r w:rsidRPr="0033303B">
        <w:rPr>
          <w:rStyle w:val="HideTWBExt"/>
          <w:noProof w:val="0"/>
        </w:rPr>
        <w:t>&lt;/NoDocSe&gt;</w:t>
      </w:r>
    </w:p>
    <w:p w14:paraId="2FAFE8AC" w14:textId="32272A39" w:rsidR="002E7F11" w:rsidRPr="0033303B" w:rsidRDefault="002E7F11">
      <w:pPr>
        <w:pStyle w:val="ZDate"/>
      </w:pPr>
      <w:r w:rsidRPr="0033303B">
        <w:rPr>
          <w:rStyle w:val="HideTWBExt"/>
          <w:noProof w:val="0"/>
        </w:rPr>
        <w:t>&lt;Date&gt;</w:t>
      </w:r>
      <w:r w:rsidRPr="0033303B">
        <w:rPr>
          <w:rStyle w:val="HideTWBInt"/>
        </w:rPr>
        <w:t>{27/11/2018}</w:t>
      </w:r>
      <w:r w:rsidRPr="0033303B">
        <w:t>27.11.2018</w:t>
      </w:r>
      <w:r w:rsidRPr="0033303B">
        <w:rPr>
          <w:rStyle w:val="HideTWBExt"/>
          <w:noProof w:val="0"/>
        </w:rPr>
        <w:t>&lt;/Date&gt;</w:t>
      </w:r>
    </w:p>
    <w:p w14:paraId="0A7DECBF" w14:textId="5584CB7D" w:rsidR="002E7F11" w:rsidRPr="0033303B" w:rsidRDefault="002E7F11">
      <w:pPr>
        <w:pStyle w:val="TypeDoc"/>
      </w:pPr>
      <w:r w:rsidRPr="0033303B">
        <w:rPr>
          <w:rStyle w:val="HideTWBExt"/>
          <w:b w:val="0"/>
          <w:noProof w:val="0"/>
        </w:rPr>
        <w:t>&lt;TitreType&gt;</w:t>
      </w:r>
      <w:r w:rsidRPr="0033303B">
        <w:t>ДОКЛАД</w:t>
      </w:r>
      <w:r w:rsidRPr="0033303B">
        <w:rPr>
          <w:rStyle w:val="HideTWBExt"/>
          <w:b w:val="0"/>
          <w:noProof w:val="0"/>
        </w:rPr>
        <w:t>&lt;/TitreType&gt;</w:t>
      </w:r>
    </w:p>
    <w:p w14:paraId="1BF02232" w14:textId="77777777" w:rsidR="002E7F11" w:rsidRPr="0033303B" w:rsidRDefault="002E7F11">
      <w:pPr>
        <w:pStyle w:val="CoverNormal"/>
      </w:pPr>
      <w:r w:rsidRPr="0033303B">
        <w:rPr>
          <w:rStyle w:val="HideTWBExt"/>
          <w:noProof w:val="0"/>
        </w:rPr>
        <w:t>&lt;Titre&gt;</w:t>
      </w:r>
      <w:r w:rsidRPr="0033303B">
        <w:t>относно разискванията в комисията по петиции през 2017 г.</w:t>
      </w:r>
      <w:r w:rsidRPr="0033303B">
        <w:rPr>
          <w:rStyle w:val="HideTWBExt"/>
          <w:noProof w:val="0"/>
        </w:rPr>
        <w:t>&lt;/Titre&gt;</w:t>
      </w:r>
    </w:p>
    <w:p w14:paraId="665CA497" w14:textId="2C6CD0E9" w:rsidR="002E7F11" w:rsidRPr="0033303B" w:rsidRDefault="002E7F11">
      <w:pPr>
        <w:pStyle w:val="Cover24"/>
      </w:pPr>
      <w:r w:rsidRPr="0033303B">
        <w:rPr>
          <w:rStyle w:val="HideTWBExt"/>
          <w:noProof w:val="0"/>
        </w:rPr>
        <w:t>&lt;DocRef&gt;</w:t>
      </w:r>
      <w:r w:rsidRPr="0033303B">
        <w:t>(2018/2104(INI))</w:t>
      </w:r>
      <w:r w:rsidRPr="0033303B">
        <w:rPr>
          <w:rStyle w:val="HideTWBExt"/>
          <w:noProof w:val="0"/>
        </w:rPr>
        <w:t>&lt;/DocRef&gt;</w:t>
      </w:r>
    </w:p>
    <w:p w14:paraId="0B231930" w14:textId="77777777" w:rsidR="002E7F11" w:rsidRPr="0033303B" w:rsidRDefault="002E7F11">
      <w:pPr>
        <w:pStyle w:val="Cover24"/>
      </w:pPr>
      <w:r w:rsidRPr="0033303B">
        <w:rPr>
          <w:rStyle w:val="HideTWBExt"/>
          <w:noProof w:val="0"/>
        </w:rPr>
        <w:t>&lt;Commission&gt;</w:t>
      </w:r>
      <w:r w:rsidRPr="0033303B">
        <w:rPr>
          <w:rStyle w:val="HideTWBInt"/>
        </w:rPr>
        <w:t>{PETI}</w:t>
      </w:r>
      <w:r w:rsidRPr="0033303B">
        <w:t>Комисия по петиции</w:t>
      </w:r>
      <w:r w:rsidRPr="0033303B">
        <w:rPr>
          <w:rStyle w:val="HideTWBExt"/>
          <w:noProof w:val="0"/>
        </w:rPr>
        <w:t>&lt;/Commission&gt;</w:t>
      </w:r>
    </w:p>
    <w:p w14:paraId="5C8A023B" w14:textId="77777777" w:rsidR="002E7F11" w:rsidRPr="0033303B" w:rsidRDefault="00C019DA">
      <w:pPr>
        <w:pStyle w:val="Cover24"/>
      </w:pPr>
      <w:r w:rsidRPr="0033303B">
        <w:t xml:space="preserve">Докладчик: </w:t>
      </w:r>
      <w:r w:rsidRPr="0033303B">
        <w:rPr>
          <w:rStyle w:val="HideTWBExt"/>
          <w:noProof w:val="0"/>
        </w:rPr>
        <w:t>&lt;Depute&gt;</w:t>
      </w:r>
      <w:r w:rsidRPr="0033303B">
        <w:t>Сесилия Викстрьом</w:t>
      </w:r>
      <w:r w:rsidRPr="0033303B">
        <w:rPr>
          <w:rStyle w:val="HideTWBExt"/>
          <w:noProof w:val="0"/>
        </w:rPr>
        <w:t>&lt;/Depute&gt;</w:t>
      </w:r>
    </w:p>
    <w:p w14:paraId="35846953" w14:textId="4A86938A" w:rsidR="00162763" w:rsidRPr="0033303B" w:rsidRDefault="00162763" w:rsidP="00162763">
      <w:pPr>
        <w:pStyle w:val="CoverNormal"/>
      </w:pPr>
    </w:p>
    <w:p w14:paraId="33C97177" w14:textId="77777777" w:rsidR="002E7F11" w:rsidRPr="0033303B" w:rsidRDefault="002E7F11" w:rsidP="00A63348">
      <w:pPr>
        <w:widowControl/>
        <w:tabs>
          <w:tab w:val="center" w:pos="4677"/>
        </w:tabs>
      </w:pPr>
      <w:r w:rsidRPr="0033303B">
        <w:br w:type="page"/>
      </w:r>
    </w:p>
    <w:p w14:paraId="5212B3AD" w14:textId="77777777" w:rsidR="002E7F11" w:rsidRPr="0033303B" w:rsidRDefault="00C019DA" w:rsidP="00A63348">
      <w:pPr>
        <w:widowControl/>
        <w:tabs>
          <w:tab w:val="center" w:pos="4677"/>
        </w:tabs>
      </w:pPr>
      <w:r w:rsidRPr="0033303B">
        <w:lastRenderedPageBreak/>
        <w:t>PR_INI_AnnPETI</w:t>
      </w:r>
    </w:p>
    <w:p w14:paraId="3283DEB2" w14:textId="77777777" w:rsidR="002E7F11" w:rsidRPr="0033303B" w:rsidRDefault="00C019DA">
      <w:pPr>
        <w:pStyle w:val="TOCHeading"/>
      </w:pPr>
      <w:r w:rsidRPr="0033303B">
        <w:t>СЪДЪРЖАНИЕ</w:t>
      </w:r>
    </w:p>
    <w:p w14:paraId="08032D42" w14:textId="77777777" w:rsidR="002E7F11" w:rsidRPr="0033303B" w:rsidRDefault="00C019DA">
      <w:pPr>
        <w:pStyle w:val="TOCPage"/>
      </w:pPr>
      <w:r w:rsidRPr="0033303B">
        <w:t>Страница</w:t>
      </w:r>
    </w:p>
    <w:bookmarkStart w:id="0" w:name="_GoBack"/>
    <w:p w14:paraId="55213ED7" w14:textId="59432090" w:rsidR="00891D3D" w:rsidRDefault="002E7F11">
      <w:pPr>
        <w:pStyle w:val="TOC1"/>
        <w:tabs>
          <w:tab w:val="right" w:leader="dot" w:pos="9016"/>
        </w:tabs>
        <w:rPr>
          <w:rFonts w:asciiTheme="minorHAnsi" w:eastAsiaTheme="minorEastAsia" w:hAnsiTheme="minorHAnsi" w:cstheme="minorBidi"/>
          <w:noProof/>
          <w:sz w:val="22"/>
          <w:szCs w:val="22"/>
          <w:lang w:val="en-GB"/>
        </w:rPr>
      </w:pPr>
      <w:r w:rsidRPr="0033303B">
        <w:rPr>
          <w:b/>
        </w:rPr>
        <w:fldChar w:fldCharType="begin"/>
      </w:r>
      <w:r w:rsidRPr="0033303B">
        <w:rPr>
          <w:b/>
        </w:rPr>
        <w:instrText xml:space="preserve"> TOC \o "1-3" \t "PageHeading</w:instrText>
      </w:r>
      <w:r w:rsidR="008A4934" w:rsidRPr="0033303B">
        <w:rPr>
          <w:b/>
        </w:rPr>
        <w:instrText>;</w:instrText>
      </w:r>
      <w:r w:rsidRPr="0033303B">
        <w:rPr>
          <w:b/>
        </w:rPr>
        <w:instrText xml:space="preserve">1" </w:instrText>
      </w:r>
      <w:r w:rsidRPr="0033303B">
        <w:rPr>
          <w:b/>
        </w:rPr>
        <w:fldChar w:fldCharType="separate"/>
      </w:r>
      <w:r w:rsidR="00891D3D">
        <w:rPr>
          <w:noProof/>
        </w:rPr>
        <w:t>ПРЕДЛОЖЕНИЕ ЗА РЕЗОЛЮЦИЯ НА ЕВРОПЕЙСКИЯ ПАРЛАМЕНТ</w:t>
      </w:r>
      <w:r w:rsidR="00891D3D">
        <w:rPr>
          <w:noProof/>
        </w:rPr>
        <w:tab/>
      </w:r>
      <w:r w:rsidR="00891D3D">
        <w:rPr>
          <w:noProof/>
        </w:rPr>
        <w:fldChar w:fldCharType="begin"/>
      </w:r>
      <w:r w:rsidR="00891D3D">
        <w:rPr>
          <w:noProof/>
        </w:rPr>
        <w:instrText xml:space="preserve"> PAGEREF _Toc532207115 \h </w:instrText>
      </w:r>
      <w:r w:rsidR="00891D3D">
        <w:rPr>
          <w:noProof/>
        </w:rPr>
      </w:r>
      <w:r w:rsidR="00891D3D">
        <w:rPr>
          <w:noProof/>
        </w:rPr>
        <w:fldChar w:fldCharType="separate"/>
      </w:r>
      <w:r w:rsidR="00891D3D">
        <w:rPr>
          <w:noProof/>
        </w:rPr>
        <w:t>3</w:t>
      </w:r>
      <w:r w:rsidR="00891D3D">
        <w:rPr>
          <w:noProof/>
        </w:rPr>
        <w:fldChar w:fldCharType="end"/>
      </w:r>
    </w:p>
    <w:p w14:paraId="77749D43" w14:textId="1AC3573C" w:rsidR="00891D3D" w:rsidRDefault="00891D3D">
      <w:pPr>
        <w:pStyle w:val="TOC1"/>
        <w:tabs>
          <w:tab w:val="right" w:leader="dot" w:pos="9016"/>
        </w:tabs>
        <w:rPr>
          <w:rFonts w:asciiTheme="minorHAnsi" w:eastAsiaTheme="minorEastAsia" w:hAnsiTheme="minorHAnsi" w:cstheme="minorBidi"/>
          <w:noProof/>
          <w:sz w:val="22"/>
          <w:szCs w:val="22"/>
          <w:lang w:val="en-GB"/>
        </w:rPr>
      </w:pPr>
      <w:r>
        <w:rPr>
          <w:noProof/>
        </w:rPr>
        <w:t>ИЗЛОЖЕНИЕ НА МОТИВИТЕ</w:t>
      </w:r>
      <w:r>
        <w:rPr>
          <w:noProof/>
        </w:rPr>
        <w:tab/>
      </w:r>
      <w:r>
        <w:rPr>
          <w:noProof/>
        </w:rPr>
        <w:fldChar w:fldCharType="begin"/>
      </w:r>
      <w:r>
        <w:rPr>
          <w:noProof/>
        </w:rPr>
        <w:instrText xml:space="preserve"> PAGEREF _Toc532207116 \h </w:instrText>
      </w:r>
      <w:r>
        <w:rPr>
          <w:noProof/>
        </w:rPr>
      </w:r>
      <w:r>
        <w:rPr>
          <w:noProof/>
        </w:rPr>
        <w:fldChar w:fldCharType="separate"/>
      </w:r>
      <w:r>
        <w:rPr>
          <w:noProof/>
        </w:rPr>
        <w:t>16</w:t>
      </w:r>
      <w:r>
        <w:rPr>
          <w:noProof/>
        </w:rPr>
        <w:fldChar w:fldCharType="end"/>
      </w:r>
    </w:p>
    <w:p w14:paraId="4FC20767" w14:textId="4F545A08" w:rsidR="00891D3D" w:rsidRDefault="00891D3D">
      <w:pPr>
        <w:pStyle w:val="TOC1"/>
        <w:tabs>
          <w:tab w:val="right" w:leader="dot" w:pos="9016"/>
        </w:tabs>
        <w:rPr>
          <w:rFonts w:asciiTheme="minorHAnsi" w:eastAsiaTheme="minorEastAsia" w:hAnsiTheme="minorHAnsi" w:cstheme="minorBidi"/>
          <w:noProof/>
          <w:sz w:val="22"/>
          <w:szCs w:val="22"/>
          <w:lang w:val="en-GB"/>
        </w:rPr>
      </w:pPr>
      <w:r>
        <w:rPr>
          <w:noProof/>
        </w:rPr>
        <w:t>ИНФОРМАЦИЯ ОТНОСНО ПРИЕМАНЕТО ВЪВ ВОДЕЩАТА КОМИСИЯ</w:t>
      </w:r>
      <w:r>
        <w:rPr>
          <w:noProof/>
        </w:rPr>
        <w:tab/>
      </w:r>
      <w:r>
        <w:rPr>
          <w:noProof/>
        </w:rPr>
        <w:fldChar w:fldCharType="begin"/>
      </w:r>
      <w:r>
        <w:rPr>
          <w:noProof/>
        </w:rPr>
        <w:instrText xml:space="preserve"> PAGEREF _Toc532207117 \h </w:instrText>
      </w:r>
      <w:r>
        <w:rPr>
          <w:noProof/>
        </w:rPr>
      </w:r>
      <w:r>
        <w:rPr>
          <w:noProof/>
        </w:rPr>
        <w:fldChar w:fldCharType="separate"/>
      </w:r>
      <w:r>
        <w:rPr>
          <w:noProof/>
        </w:rPr>
        <w:t>28</w:t>
      </w:r>
      <w:r>
        <w:rPr>
          <w:noProof/>
        </w:rPr>
        <w:fldChar w:fldCharType="end"/>
      </w:r>
    </w:p>
    <w:p w14:paraId="61A2E231" w14:textId="399EC3BC" w:rsidR="00891D3D" w:rsidRDefault="00891D3D">
      <w:pPr>
        <w:pStyle w:val="TOC1"/>
        <w:tabs>
          <w:tab w:val="right" w:leader="dot" w:pos="9016"/>
        </w:tabs>
        <w:rPr>
          <w:rFonts w:asciiTheme="minorHAnsi" w:eastAsiaTheme="minorEastAsia" w:hAnsiTheme="minorHAnsi" w:cstheme="minorBidi"/>
          <w:noProof/>
          <w:sz w:val="22"/>
          <w:szCs w:val="22"/>
          <w:lang w:val="en-GB"/>
        </w:rPr>
      </w:pPr>
      <w:r>
        <w:rPr>
          <w:noProof/>
        </w:rPr>
        <w:t>ПОИМЕННО ОКОНЧАТЕЛНО ГЛАСУВАНЕ ВЪВ ВОДЕЩАТА КОМИСИЯ</w:t>
      </w:r>
      <w:r>
        <w:rPr>
          <w:noProof/>
        </w:rPr>
        <w:tab/>
      </w:r>
      <w:r>
        <w:rPr>
          <w:noProof/>
        </w:rPr>
        <w:fldChar w:fldCharType="begin"/>
      </w:r>
      <w:r>
        <w:rPr>
          <w:noProof/>
        </w:rPr>
        <w:instrText xml:space="preserve"> PAGEREF _Toc532207118 \h </w:instrText>
      </w:r>
      <w:r>
        <w:rPr>
          <w:noProof/>
        </w:rPr>
      </w:r>
      <w:r>
        <w:rPr>
          <w:noProof/>
        </w:rPr>
        <w:fldChar w:fldCharType="separate"/>
      </w:r>
      <w:r>
        <w:rPr>
          <w:noProof/>
        </w:rPr>
        <w:t>29</w:t>
      </w:r>
      <w:r>
        <w:rPr>
          <w:noProof/>
        </w:rPr>
        <w:fldChar w:fldCharType="end"/>
      </w:r>
    </w:p>
    <w:p w14:paraId="54500439" w14:textId="2F331108" w:rsidR="002E7F11" w:rsidRPr="0033303B" w:rsidRDefault="002E7F11" w:rsidP="00162763">
      <w:r w:rsidRPr="0033303B">
        <w:fldChar w:fldCharType="end"/>
      </w:r>
      <w:bookmarkEnd w:id="0"/>
    </w:p>
    <w:p w14:paraId="1CBED494" w14:textId="77777777" w:rsidR="00162763" w:rsidRPr="0033303B" w:rsidRDefault="00162763" w:rsidP="00162763"/>
    <w:p w14:paraId="5FEDF9C5" w14:textId="77777777" w:rsidR="00162763" w:rsidRPr="0033303B" w:rsidRDefault="00162763">
      <w:pPr>
        <w:pStyle w:val="PageHeading"/>
      </w:pPr>
    </w:p>
    <w:p w14:paraId="4793E9C3" w14:textId="77777777" w:rsidR="002E7F11" w:rsidRPr="0033303B" w:rsidRDefault="002E7F11">
      <w:pPr>
        <w:pStyle w:val="PageHeading"/>
      </w:pPr>
      <w:r w:rsidRPr="0033303B">
        <w:br w:type="page"/>
      </w:r>
      <w:bookmarkStart w:id="1" w:name="_Toc532207115"/>
      <w:r w:rsidRPr="0033303B">
        <w:lastRenderedPageBreak/>
        <w:t>ПРЕДЛОЖЕНИЕ ЗА РЕЗОЛЮЦИЯ НА ЕВРОПЕЙСКИЯ ПАРЛАМЕНТ</w:t>
      </w:r>
      <w:bookmarkEnd w:id="1"/>
    </w:p>
    <w:p w14:paraId="107BA699" w14:textId="77777777" w:rsidR="002E7F11" w:rsidRPr="0033303B" w:rsidRDefault="005107D9">
      <w:pPr>
        <w:pStyle w:val="NormalBold"/>
      </w:pPr>
      <w:r w:rsidRPr="0033303B">
        <w:t>относно разискванията в комисията по петиции през 2017 г.</w:t>
      </w:r>
    </w:p>
    <w:p w14:paraId="72B2FD5E" w14:textId="65973A42" w:rsidR="002E7F11" w:rsidRPr="0033303B" w:rsidRDefault="00C019DA">
      <w:pPr>
        <w:pStyle w:val="Normal12Bold"/>
      </w:pPr>
      <w:r w:rsidRPr="0033303B">
        <w:t>(2018/2104(INI))</w:t>
      </w:r>
    </w:p>
    <w:p w14:paraId="57AEEB6B" w14:textId="77777777" w:rsidR="002E7F11" w:rsidRPr="0033303B" w:rsidRDefault="00C019DA">
      <w:pPr>
        <w:pStyle w:val="Normal12"/>
      </w:pPr>
      <w:r w:rsidRPr="0033303B">
        <w:rPr>
          <w:i/>
        </w:rPr>
        <w:t>Европейският парламент</w:t>
      </w:r>
      <w:r w:rsidRPr="0033303B">
        <w:t>,</w:t>
      </w:r>
    </w:p>
    <w:p w14:paraId="6C8A53D7" w14:textId="713FA1DD" w:rsidR="002E7F11" w:rsidRPr="0033303B" w:rsidRDefault="002E7F11">
      <w:pPr>
        <w:pStyle w:val="Normal12Hanging"/>
      </w:pPr>
      <w:r w:rsidRPr="0033303B">
        <w:t>–</w:t>
      </w:r>
      <w:r w:rsidRPr="0033303B">
        <w:tab/>
        <w:t>като взе предвид своите предходни резолюции относно резултата от разискванията в комисията по петиции,</w:t>
      </w:r>
    </w:p>
    <w:p w14:paraId="11BF557F" w14:textId="77777777" w:rsidR="00711633" w:rsidRPr="0033303B" w:rsidRDefault="00711633" w:rsidP="00711633">
      <w:pPr>
        <w:pStyle w:val="Normal12Hanging"/>
      </w:pPr>
      <w:r w:rsidRPr="0033303B">
        <w:t>–</w:t>
      </w:r>
      <w:r w:rsidRPr="0033303B">
        <w:tab/>
        <w:t>като взе предвид член 10 и член 11 от Договора за Европейския съюз (ДЕС),</w:t>
      </w:r>
    </w:p>
    <w:p w14:paraId="743F9C4F" w14:textId="77777777" w:rsidR="00711633" w:rsidRPr="0033303B" w:rsidRDefault="00711633" w:rsidP="00711633">
      <w:pPr>
        <w:pStyle w:val="Normal12Hanging"/>
      </w:pPr>
      <w:r w:rsidRPr="0033303B">
        <w:t>–</w:t>
      </w:r>
      <w:r w:rsidRPr="0033303B">
        <w:tab/>
        <w:t>като взе предвид членове 24 и 227 от Договора за функционирането на Европейския съюз (ДФЕС), които отразяват значението, което се дава в Договора на правото на гражданите на ЕС и на лицата, пребиваващи в ЕС, да представят своите тревоги на вниманието на Парламента,</w:t>
      </w:r>
    </w:p>
    <w:p w14:paraId="475C8539" w14:textId="3D67AF3A" w:rsidR="00711633" w:rsidRPr="0033303B" w:rsidRDefault="00711633" w:rsidP="00711633">
      <w:pPr>
        <w:pStyle w:val="Normal12Hanging"/>
      </w:pPr>
      <w:r w:rsidRPr="0033303B">
        <w:t>–</w:t>
      </w:r>
      <w:r w:rsidRPr="0033303B">
        <w:tab/>
        <w:t>като взе предвид член 228 от ДФЕС,</w:t>
      </w:r>
    </w:p>
    <w:p w14:paraId="436FC5BB" w14:textId="77777777" w:rsidR="00711633" w:rsidRPr="0033303B" w:rsidRDefault="00711633" w:rsidP="00711633">
      <w:pPr>
        <w:pStyle w:val="Normal12Hanging"/>
      </w:pPr>
      <w:r w:rsidRPr="0033303B">
        <w:t>–</w:t>
      </w:r>
      <w:r w:rsidRPr="0033303B">
        <w:tab/>
        <w:t>като взе предвид член 44 от Хартата на основните права на Европейския съюз, който се отнася до правото на петиция до Европейския парламент,</w:t>
      </w:r>
    </w:p>
    <w:p w14:paraId="32017199" w14:textId="6B01FBD8" w:rsidR="00711633" w:rsidRPr="0033303B" w:rsidRDefault="00711633" w:rsidP="00711633">
      <w:pPr>
        <w:pStyle w:val="Normal12Hanging"/>
      </w:pPr>
      <w:r w:rsidRPr="0033303B">
        <w:t>–</w:t>
      </w:r>
      <w:r w:rsidRPr="0033303B">
        <w:tab/>
        <w:t>като взе предвид разпоредбите на ДФЕС във връзка с производството за установяване на неизпълнение на задължения от държава членка, и по-специално членове 258 и 260 от него,</w:t>
      </w:r>
    </w:p>
    <w:p w14:paraId="587766A4" w14:textId="75A2D7FB" w:rsidR="00045426" w:rsidRPr="0033303B" w:rsidRDefault="00E75DFF" w:rsidP="00045426">
      <w:pPr>
        <w:pStyle w:val="Normal12Hanging"/>
      </w:pPr>
      <w:r w:rsidRPr="0033303B">
        <w:t>–</w:t>
      </w:r>
      <w:r w:rsidRPr="0033303B">
        <w:tab/>
        <w:t>като взе предвид членове 52, 215 и 216 от своя правилник,</w:t>
      </w:r>
    </w:p>
    <w:p w14:paraId="67F8D321" w14:textId="55FB9AE8" w:rsidR="00711633" w:rsidRPr="0033303B" w:rsidRDefault="00711633" w:rsidP="00711633">
      <w:pPr>
        <w:pStyle w:val="Normal12Hanging"/>
      </w:pPr>
      <w:r w:rsidRPr="0033303B">
        <w:t>–</w:t>
      </w:r>
      <w:r w:rsidRPr="0033303B">
        <w:tab/>
        <w:t>като взе предвид доклада на комисията по петиции (A8-0404/2018),</w:t>
      </w:r>
    </w:p>
    <w:p w14:paraId="4FC891B2" w14:textId="77777777" w:rsidR="00711633" w:rsidRPr="0033303B" w:rsidRDefault="002E7F11" w:rsidP="00711633">
      <w:pPr>
        <w:pStyle w:val="Normal12Hanging"/>
      </w:pPr>
      <w:r w:rsidRPr="0033303B">
        <w:t>А.</w:t>
      </w:r>
      <w:r w:rsidRPr="0033303B">
        <w:tab/>
        <w:t>като има предвид, че през 2017 г. бяха получени 1271 петиции, а през 2016 г. — 1569, и че 776 петиции (60,2 %) бяха обявени за допустими;</w:t>
      </w:r>
    </w:p>
    <w:p w14:paraId="14196D86" w14:textId="55D01A87" w:rsidR="00045426" w:rsidRPr="0033303B" w:rsidRDefault="00045426" w:rsidP="00045426">
      <w:pPr>
        <w:pStyle w:val="Normal12Hanging"/>
      </w:pPr>
      <w:r w:rsidRPr="0033303B">
        <w:t>Б.</w:t>
      </w:r>
      <w:r w:rsidRPr="0033303B">
        <w:tab/>
        <w:t>като има предвид, че 15540 ползватели на уеб портала на Парламента са подкрепили една или повече петиции през 2017 г. в сравнение с 902 ползватели през 2015 г. и 6132 ползватели през 2016 г.; като има предвид, че общият брой на щракванията в подкрепа на петициите беше 21955 в сравнение с 18810 през 2016 г. и 1329 през 2015 г.; като има предвид, че тази нова форма на публично участие в представянето на петициите е все по-често явление, което следва да бъде взето под внимание;</w:t>
      </w:r>
    </w:p>
    <w:p w14:paraId="407BA448" w14:textId="77777777" w:rsidR="00711633" w:rsidRPr="0033303B" w:rsidRDefault="00711633" w:rsidP="00711633">
      <w:pPr>
        <w:pStyle w:val="Normal12Hanging"/>
      </w:pPr>
      <w:r w:rsidRPr="0033303B">
        <w:t>В.</w:t>
      </w:r>
      <w:r w:rsidRPr="0033303B">
        <w:tab/>
        <w:t>като има предвид, че почти 250 еднакви или много сходни петиции по три различни теми, подадени през 2017 г., бяха разглеждани заедно в тематични групи;</w:t>
      </w:r>
    </w:p>
    <w:p w14:paraId="625A2D47" w14:textId="0F6937E7" w:rsidR="00711633" w:rsidRPr="0033303B" w:rsidRDefault="001C2F32" w:rsidP="00711633">
      <w:pPr>
        <w:pStyle w:val="Normal12Hanging"/>
      </w:pPr>
      <w:r w:rsidRPr="0033303B">
        <w:t>Г.</w:t>
      </w:r>
      <w:r w:rsidRPr="0033303B">
        <w:tab/>
        <w:t>като има предвид, че от подадените през 2017 г. петиции 67 бяха подписани от един или повече граждани, 25 петиции бяха подписани от повече от 100 граждани, а десет петиции бяха подписани от над 10000 граждани, като две от тях — от над 100 000 граждани;</w:t>
      </w:r>
    </w:p>
    <w:p w14:paraId="73CA41B1" w14:textId="77777777" w:rsidR="00A035CB" w:rsidRPr="0033303B" w:rsidRDefault="00A43F94" w:rsidP="00711633">
      <w:pPr>
        <w:pStyle w:val="Normal12Hanging"/>
        <w:rPr>
          <w:rFonts w:eastAsia="Calibri"/>
        </w:rPr>
      </w:pPr>
      <w:r w:rsidRPr="0033303B">
        <w:lastRenderedPageBreak/>
        <w:t>Д.</w:t>
      </w:r>
      <w:r w:rsidRPr="0033303B">
        <w:tab/>
        <w:t>като има предвид, че броят на получените петиции е скромен на фона на общата численост на населението на ЕС; като има предвид, че това би могло да показва, че голяма част от гражданите на ЕС и от лицата, пребиваващи в Съюза, не се възползват от правото на петиция поради липса на информираност, като се имат предвид многото действителни и потенциални тревоги или очаквания в различните сфери на дейност на Съюза; като има предвид, че са необходими повече усилия за популяризиране на правото на внасяне на петиции в Европейския парламент;</w:t>
      </w:r>
    </w:p>
    <w:p w14:paraId="52EDA0B9" w14:textId="1C3336CE" w:rsidR="00711633" w:rsidRPr="0033303B" w:rsidRDefault="00A43F94" w:rsidP="00711633">
      <w:pPr>
        <w:pStyle w:val="Normal12Hanging"/>
      </w:pPr>
      <w:r w:rsidRPr="0033303B">
        <w:t>Е.</w:t>
      </w:r>
      <w:r w:rsidRPr="0033303B">
        <w:tab/>
        <w:t>като има предвид, че много малко на брой граждани на ЕС и лица, пребиваващи в Съюза, са запознати с правото на петиция, което потвърждава необходимостта от повече усилия и подходящи мерки за повишаване на осведомеността на всички граждани и за постигане на значително подобрение в упражняването на правото на петиция;</w:t>
      </w:r>
    </w:p>
    <w:p w14:paraId="013BBE97" w14:textId="66A9CD17" w:rsidR="00711633" w:rsidRPr="0033303B" w:rsidRDefault="001C2F32" w:rsidP="00711633">
      <w:pPr>
        <w:pStyle w:val="Normal12Hanging"/>
      </w:pPr>
      <w:r w:rsidRPr="0033303B">
        <w:t>Ж.</w:t>
      </w:r>
      <w:r w:rsidRPr="0033303B">
        <w:tab/>
        <w:t>като има предвид, че в съответствие с критериите за допустимост на петициите съгласно член 227 от ДФЕС и член 215 от Правилника за дейността на Парламента петициите трябва да отговарят на формалните условия за допустимост, и по-конкретно вносителят на петицията трябва да е гражданин на ЕС или да пребивава в ЕС и да е засегнат от въпрос, който се отнася до сферата на дейност на Европейския съюз; като има предвид, че 495 петиции бяха обявени за недопустими, защото не отговаряха на условията за допустимост;</w:t>
      </w:r>
    </w:p>
    <w:p w14:paraId="405E7F07" w14:textId="77777777" w:rsidR="00FD4C2C" w:rsidRPr="0033303B" w:rsidRDefault="00A43F94" w:rsidP="00711633">
      <w:pPr>
        <w:pStyle w:val="Normal12Hanging"/>
      </w:pPr>
      <w:r w:rsidRPr="0033303B">
        <w:t>З.</w:t>
      </w:r>
      <w:r w:rsidRPr="0033303B">
        <w:tab/>
        <w:t>като има предвид, че правото на подаване на петиция до Парламента предлага на гражданите на ЕС и на лицата, пребиваващи в ЕС, възможност да се обръщат към пряко избраните представители по официален начин; като имат предвид, че правото на петиции следва да бъде ключов елемент от активното участие на гражданите на ЕС и на лицата, пребиваващи в ЕС, в сферите на дейност на Съюза и че по тази причина това право следва да бъде насърчавано по най-добрия възможен начин; като има предвид, че пълноценното използване на правото на петиция е свързано с необходимостта институциите на ЕС и държавите членки да постигнат своевременно и ефективно разрешаване на повдигнатите в петициите проблеми на гражданите по начин, осигуряващ пълна защита на основните им права;</w:t>
      </w:r>
    </w:p>
    <w:p w14:paraId="0933B076" w14:textId="1E9E4992" w:rsidR="00711633" w:rsidRPr="0033303B" w:rsidRDefault="001C2F32" w:rsidP="00711633">
      <w:pPr>
        <w:pStyle w:val="Normal12Hanging"/>
      </w:pPr>
      <w:r w:rsidRPr="0033303B">
        <w:t>И.</w:t>
      </w:r>
      <w:r w:rsidRPr="0033303B">
        <w:tab/>
        <w:t>като има предвид, че в международен план Парламентът от дълго време е в челните редици при разработването на процедурата за внасяне и разглеждане на петиции и че той разполага с най-отворената и прозрачна система на внасяне и разглеждане на петиции в Европа, което позволява на вносителите на петиции участват изцяло в неговите дейности;</w:t>
      </w:r>
    </w:p>
    <w:p w14:paraId="148B067E" w14:textId="46EAFEC3" w:rsidR="007C43AA" w:rsidRPr="0033303B" w:rsidRDefault="00FD4C2C" w:rsidP="00711633">
      <w:pPr>
        <w:pStyle w:val="Normal12Hanging"/>
      </w:pPr>
      <w:r w:rsidRPr="0033303B">
        <w:t>Й.</w:t>
      </w:r>
      <w:r w:rsidRPr="0033303B">
        <w:tab/>
        <w:t xml:space="preserve">като има предвид, че активното участие е възможно само при наличието на демократичен и прозрачен процес, което дава възможност на Парламента и на комисията по петиции да работят по начин, който е достъпен и съдържателен за гражданите; като има предвид, че това изисква постоянно подобряване на взаимодействието с вносителите на петиции, поддържане на обратна връзка и използване, наред с другите аспекти, на предимствата от прилагането на новите технологични разработки, както и с други заинтересовани граждани и </w:t>
      </w:r>
      <w:r w:rsidRPr="0033303B">
        <w:lastRenderedPageBreak/>
        <w:t>пребиваващи лица, като например поддръжниците на петиции чрез уебпортала за петициите;</w:t>
      </w:r>
    </w:p>
    <w:p w14:paraId="2BB6429D" w14:textId="28F65093" w:rsidR="007C43AA" w:rsidRPr="0033303B" w:rsidRDefault="00FD4C2C" w:rsidP="00711633">
      <w:pPr>
        <w:pStyle w:val="Normal12Hanging"/>
      </w:pPr>
      <w:r w:rsidRPr="0033303B">
        <w:t>К.</w:t>
      </w:r>
      <w:r w:rsidRPr="0033303B">
        <w:tab/>
        <w:t xml:space="preserve">като има предвид, че петициите са полезни инструменти за разкриване на нарушения на правото на ЕС, както и на пропуски, непоследователности и евентуални празнини в правото на ЕС, когато става въпрос за гарантирането на най-високите стандарти за социална справедливост и на пълна защита на основните права на всички граждани; като има предвид, че петициите дават възможност на Парламента и на другите институции на ЕС да правят оценка на транспонирането и прилагането на правото на ЕС и на действителното въздействие на неговото неправилно прилагане върху гражданите на ЕС и пребиваващите в ЕС лица; </w:t>
      </w:r>
      <w:r w:rsidRPr="0033303B">
        <w:rPr>
          <w:color w:val="000000"/>
        </w:rPr>
        <w:t>като има предвид, че петициите могат също така да дадат възможност за по-добро разбиране за последиците от отсъствието на регулаторни разпоредби в областите на дейност, в които ЕС би могъл да законодателства;</w:t>
      </w:r>
    </w:p>
    <w:p w14:paraId="1BC2F104" w14:textId="503186FB" w:rsidR="00A43F94" w:rsidRPr="0033303B" w:rsidRDefault="00FD4C2C" w:rsidP="00A43F94">
      <w:pPr>
        <w:pStyle w:val="Normal12Hanging"/>
      </w:pPr>
      <w:r w:rsidRPr="0033303B">
        <w:t>Л.</w:t>
      </w:r>
      <w:r w:rsidRPr="0033303B">
        <w:tab/>
        <w:t>като има предвид, че петициите представляват допълнителна гаранция за гражданите на ЕС и лицата, пребиваващи в ЕС, в сравнение с подаваните пряко до Комисията жалби, тъй като в процеса на разглеждане на петициите е ангажиран и Парламентът и те дават възможност за по-ефективен контрол над това как Комисията изпълнява задълженията си за извършване на разследвания, както и за осигуряване на прозрачни дебати по повдигнатите въпроси в присъствието на вносителите на петициите, на членове на Европейския парламент и на представители на Комисията, както и на всеки друг съответен орган, когато е целесъобразно;</w:t>
      </w:r>
    </w:p>
    <w:p w14:paraId="6F33FA7A" w14:textId="73B05D4A" w:rsidR="007C43AA" w:rsidRPr="0033303B" w:rsidRDefault="00FD4C2C" w:rsidP="00711633">
      <w:pPr>
        <w:pStyle w:val="Normal12Hanging"/>
      </w:pPr>
      <w:r w:rsidRPr="0033303B">
        <w:t>М.</w:t>
      </w:r>
      <w:r w:rsidRPr="0033303B">
        <w:tab/>
        <w:t xml:space="preserve">като има предвид, че петициите често са източник на информация в различни области на политиките на ЕС, която е полезна за други парламентарни комисии, включително и във връзка със законодателната им дейност; като има предвид, че на свой ред от комисиите, които са отговорни за въпросите, повдиганите с петициите, се очаква да предоставят своя експертен опит с цел надлежното им разглеждане, което от своя страна позволява на Парламента да дава съдържателни отговори по петициите; </w:t>
      </w:r>
      <w:r w:rsidRPr="0033303B">
        <w:rPr>
          <w:color w:val="000000"/>
        </w:rPr>
        <w:t xml:space="preserve">като има предвид, че Парламентът е отговорен като цяло за изпълнението на основното право на петиция чрез адекватно разглеждане на петициите; </w:t>
      </w:r>
    </w:p>
    <w:p w14:paraId="19D6F9AC" w14:textId="740EB5B8" w:rsidR="00EC592E" w:rsidRPr="0033303B" w:rsidRDefault="00FD4C2C" w:rsidP="00711633">
      <w:pPr>
        <w:pStyle w:val="Normal12Hanging"/>
      </w:pPr>
      <w:r w:rsidRPr="0033303B">
        <w:t>Н.</w:t>
      </w:r>
      <w:r w:rsidRPr="0033303B">
        <w:tab/>
        <w:t>като има предвид, че всяка петиция следва да се разглежда и обработва старателно; като има предвид, че вносителят на петиция има право да получи в разумен срок информация относно решението, взето от комисията по петиции относно нейната допустимост, както и право на пълно разглеждане на неговия въпрос в разумен срок;</w:t>
      </w:r>
    </w:p>
    <w:p w14:paraId="7CE6FDBD" w14:textId="62C27CD0" w:rsidR="00711633" w:rsidRPr="0033303B" w:rsidRDefault="00FD4C2C" w:rsidP="00711633">
      <w:pPr>
        <w:pStyle w:val="Normal12Hanging"/>
      </w:pPr>
      <w:r w:rsidRPr="0033303B">
        <w:t>О.</w:t>
      </w:r>
      <w:r w:rsidRPr="0033303B">
        <w:tab/>
        <w:t xml:space="preserve">като има предвид, че значителен брой петиции е обсъждан публично на заседания на комисията по петиции; като има предвид, че вносителите на петиции имат право да представят своите петиции и че те често участват пълноценно в дискусията, като по този начин допринасят активно за работата на комисията; като има предвид, че през 2017 г. по време на разисквания в комисията са били обсъдени 248 петиции, а 59 вносители на петиции са участвали активно чрез </w:t>
      </w:r>
      <w:r w:rsidRPr="0033303B">
        <w:lastRenderedPageBreak/>
        <w:t>вземане на думата;</w:t>
      </w:r>
    </w:p>
    <w:p w14:paraId="35CD755C" w14:textId="070A087C" w:rsidR="007C43AA" w:rsidRPr="0033303B" w:rsidRDefault="00FD4C2C" w:rsidP="00711633">
      <w:pPr>
        <w:pStyle w:val="Normal12Hanging"/>
      </w:pPr>
      <w:r w:rsidRPr="0033303B">
        <w:t>П.</w:t>
      </w:r>
      <w:r w:rsidRPr="0033303B">
        <w:tab/>
        <w:t>като има предвид, че информацията, предоставена от граждани и пребиваващи лица в петиции и по време на заседанията на комисията и допълнена от експертните мнения, предоставяни от Европейската комисия, държавите членки и от други органи, е от водещо значение за работата на комисията по петиции; като има предвид, че за да се избегне всякаква социално-икономическа дискриминация, вносителите, чиито петиции подлежат на обсъждане в публично заседание на комисията и които желаят да участват в дискусията, следва да имат право на възстановяване на свързаните с това участие разходи в разумни граници;</w:t>
      </w:r>
    </w:p>
    <w:p w14:paraId="427C7266" w14:textId="2467242C" w:rsidR="007C43AA" w:rsidRPr="0033303B" w:rsidRDefault="00FD4C2C" w:rsidP="00711633">
      <w:pPr>
        <w:pStyle w:val="Normal12Hanging"/>
      </w:pPr>
      <w:r w:rsidRPr="0033303B">
        <w:t>Р.</w:t>
      </w:r>
      <w:r w:rsidRPr="0033303B">
        <w:tab/>
        <w:t>като има предвид, че основните будещи безпокойство въпроси, повдигнати в петициите през 2017 г., се отнасят до околната среда (а именно въпроси, свързани с управлението на водите, управлението на отпадъците и опазването на околната среда), основните права (по-специално правото на гласуване и правата на детето), проблема с кражбите на бебета, свободното движение на лица, социални въпроси (условия на труд), дискриминацията в нейните различни форми и имиграцията, в допълнение към множество други сфери на дейност;</w:t>
      </w:r>
    </w:p>
    <w:p w14:paraId="5B6EC0DE" w14:textId="06FCE1A4" w:rsidR="007C43AA" w:rsidRPr="0033303B" w:rsidRDefault="00FD4C2C" w:rsidP="00711633">
      <w:pPr>
        <w:pStyle w:val="Normal12Hanging"/>
      </w:pPr>
      <w:r w:rsidRPr="0033303B">
        <w:t>С.</w:t>
      </w:r>
      <w:r w:rsidRPr="0033303B">
        <w:tab/>
        <w:t>като има предвид, че преразглеждането на Правилника за дейността на Парламента следва да доведе до подобряване на процедурата по подаване на петиции, и като има предвид, че съответните правила следва да дават възможност за оптимизиране на капацитета на комисията по петиции за разследвания по повдигнатите от гражданите въпроси, с цел пълна защита и по-ефективно упражняване на правото на петиция;</w:t>
      </w:r>
    </w:p>
    <w:p w14:paraId="55135ECE" w14:textId="3CF75A9D" w:rsidR="007C43AA" w:rsidRPr="0033303B" w:rsidRDefault="00FD4C2C" w:rsidP="00711633">
      <w:pPr>
        <w:pStyle w:val="Normal12Hanging"/>
      </w:pPr>
      <w:r w:rsidRPr="0033303B">
        <w:t>Т.</w:t>
      </w:r>
      <w:r w:rsidRPr="0033303B">
        <w:tab/>
        <w:t>като има предвид, че 69,1% от получените петиции (878 петиции) през 2017 г. са били подадени чрез уеб портала на Парламента за петиции, в сравнение с 68% (1067 петиции) през 2016 г.; като има предвид, че предпочитанието към този формат и очакваното му още по-широко използване в бъдеще би могло да позволи по-бързо първоначално обработване на внесените в този формат петиции, при условие че същите се обработват още от самото начало в секретариата на комисията по петиции;</w:t>
      </w:r>
    </w:p>
    <w:p w14:paraId="0ED1C3BF" w14:textId="5BF9AE4E" w:rsidR="007C43AA" w:rsidRPr="0033303B" w:rsidRDefault="00FD4C2C" w:rsidP="00711633">
      <w:pPr>
        <w:pStyle w:val="Normal12Hanging"/>
      </w:pPr>
      <w:r w:rsidRPr="0033303B">
        <w:t>У.</w:t>
      </w:r>
      <w:r w:rsidRPr="0033303B">
        <w:tab/>
        <w:t xml:space="preserve">като има предвид, че на портала вече могат да бъдат качвани по-рано резюмета на петиции, приблизително една седмица след като комисията по петициите стигне до решение по допустимостта; като има предвид, че автоматичното качване на дневния ред на заседанията, на протоколите от тях и на отговорите на Комисията, отнасящи се до петициите, беше въведено в края на 2017 г., което направи тези документи обществено достояние и доведе до повишаване на прозрачността на работата на комисията по петиции; като има предвид, че всички тези характеристики отразяват ангажимента на Парламента към предоставяне на по-интерактивно преживяване и общуване в реално време с вносителите на петиции; като има предвид, че приложенията, свързани с „често задаваните въпроси“ и декларацията за неприкосновеност на личния живот, бяха преработени, за да се отразят промените в разпоредбите за поверителност, съдържащи се в Правилника за дейността; като има предвид, че бяха въведени и технически подобрения, включително на функцията за търсене, както и страница „Първо прочетете тази </w:t>
      </w:r>
      <w:r w:rsidRPr="0033303B">
        <w:lastRenderedPageBreak/>
        <w:t>информация“, преди да бъде подадена петиция, като тази страница съдържа информация и съвети за вносителите на петиции; като има предвид, че голям брой индивидуални искания за техническа помощ са били обработени успешно;</w:t>
      </w:r>
    </w:p>
    <w:p w14:paraId="6CB86E62" w14:textId="02E5ED05" w:rsidR="007C43AA" w:rsidRPr="0033303B" w:rsidRDefault="00FD4C2C" w:rsidP="00711633">
      <w:pPr>
        <w:pStyle w:val="Normal12Hanging"/>
      </w:pPr>
      <w:r w:rsidRPr="0033303B">
        <w:t>Ф.</w:t>
      </w:r>
      <w:r w:rsidRPr="0033303B">
        <w:tab/>
        <w:t>като има предвид, че според комисията по петиции Европейската гражданска инициатива е важен инструмент на пряката и представителната демокрация, който, ако бъде прилаган с надлежната сериозност, следва да предостави на гражданите възможност да участват активно в оформянето на европейските политики и законодателство;</w:t>
      </w:r>
    </w:p>
    <w:p w14:paraId="4C734ECA" w14:textId="4237CECB" w:rsidR="007C43AA" w:rsidRPr="0033303B" w:rsidRDefault="00FD4C2C" w:rsidP="00711633">
      <w:pPr>
        <w:pStyle w:val="Normal12Hanging"/>
      </w:pPr>
      <w:r w:rsidRPr="0033303B">
        <w:t>Х.</w:t>
      </w:r>
      <w:r w:rsidRPr="0033303B">
        <w:tab/>
        <w:t>като има предвид, че през 2017 г. бяха проведени четири констативни посещения съгласно член 216а от Правилника за дейността на Парламента; едно в Швеция във връзка с трудностите, с които се сблъскват гражданите на ЕС, за да получат необходимия идентификационен номер за достъп до по-голямата част от услугите, от които се нуждаят по време на временното си пребиваване в Швеция; едно в Испания по повод на петиции, отнасящи се до предполагаеми случаи на взети новородени бебета от болници по време на и след диктатурата на Франко; едно в Таранто (Италия) във връзка с въздействието на емисиите от местния стоманодобивен комбинат и от местната рафинерия върху околната среда и на замърсяването на въздуха, почвата и водите, причинени от тях; и едно в Ларнака (Кипър) във връзка с въздействието върху околната среда и здравето, оказвано от новопостроеното промишлено пристанище в града;</w:t>
      </w:r>
    </w:p>
    <w:p w14:paraId="11B406A2" w14:textId="79EEECC7" w:rsidR="007C43AA" w:rsidRPr="0033303B" w:rsidRDefault="00FD4C2C" w:rsidP="00711633">
      <w:pPr>
        <w:pStyle w:val="Normal12Hanging"/>
      </w:pPr>
      <w:r w:rsidRPr="0033303B">
        <w:t>Ц.</w:t>
      </w:r>
      <w:r w:rsidRPr="0033303B">
        <w:tab/>
        <w:t>като има предвид, че съгласно Правилника за дейността на Парламента комисията по петиции отговаря за отношенията с Европейския омбудсман, който разследва жалби относно лошо управление в институциите и органите на Европейския съюз; като има предвид, че настоящият Европейски омбудсман Емили О’Райли представи годишния си доклад за 2016 г. на комисията по петиции на нейното заседание от 30 май 2017 г., като на свой ред годишният доклад на комисията по петиции се основава отчасти на годишния доклад на Омбудсмана или на специалните доклади, представени пред Парламента, последният от които е относно прозрачността на процеса на вземане на решения в Съвета;</w:t>
      </w:r>
    </w:p>
    <w:p w14:paraId="3C2F1476" w14:textId="0B989ADB" w:rsidR="00711633" w:rsidRPr="0033303B" w:rsidRDefault="00FD4C2C" w:rsidP="00711633">
      <w:pPr>
        <w:pStyle w:val="Normal12Hanging"/>
      </w:pPr>
      <w:r w:rsidRPr="0033303B">
        <w:t>Ч.</w:t>
      </w:r>
      <w:r w:rsidRPr="0033303B">
        <w:tab/>
        <w:t>като има предвид, че комисията по петиции е член на Европейската мрежа на омбудсманите, която включва също така Европейския омбудсман, националните и регионалните омбудсмани и сходните органи в държавите членки, държавите кандидатки и в другите държави от Европейското икономическо пространство и има за цел насърчаване на обмена на информация за законодателството и политиката на ЕС, както и споделяне на най-добри практики;</w:t>
      </w:r>
    </w:p>
    <w:p w14:paraId="267C0043" w14:textId="3BB5BAA2" w:rsidR="007C43AA" w:rsidRPr="0033303B" w:rsidRDefault="00E44078" w:rsidP="00711633">
      <w:pPr>
        <w:pStyle w:val="Normal12Hanging"/>
      </w:pPr>
      <w:r w:rsidRPr="0033303B">
        <w:t>1.</w:t>
      </w:r>
      <w:r w:rsidRPr="0033303B">
        <w:tab/>
        <w:t xml:space="preserve">обръща внимание на основополагащата роля на комисията по петиции като мост между гражданите на ЕС, пребиваващите лица в ЕС и институциите на Съюза, чрез който гражданите на ЕС и лицата, пребиваващи в ЕС, могат по официален ред да сигнализират пред Парламента за случаи на неправилно прилагане на правото на ЕС и да изложат своите тревоги и идеи пред избраните от тях представители, като по този начин се дава възможност за своевременно разглеждане и разрешаване на исканията на вносителите на петиции, когато това </w:t>
      </w:r>
      <w:r w:rsidRPr="0033303B">
        <w:lastRenderedPageBreak/>
        <w:t>е възможно; изтъква, че начинът, по който се разглеждат посочените в петициите проблеми, оказва съществено въздействие върху гражданите във връзка с ефективното зачитане на правото им на петиция, залегнало в правото на ЕС, както и във връзка с мнението им за институциите на ЕС; припомня на Комисията, че петициите предлагат единствено по рода си средство за разкриване на случаи на неспазване на правото на ЕС и за разследването им чрез механизма на политическия контрол, упражняван от Европейския парламент;</w:t>
      </w:r>
    </w:p>
    <w:p w14:paraId="1C303825" w14:textId="21D64E35" w:rsidR="007C43AA" w:rsidRPr="0033303B" w:rsidRDefault="00CA38F9" w:rsidP="00711633">
      <w:pPr>
        <w:pStyle w:val="Normal12Hanging"/>
      </w:pPr>
      <w:r w:rsidRPr="0033303B">
        <w:t>2.</w:t>
      </w:r>
      <w:r w:rsidRPr="0033303B">
        <w:tab/>
        <w:t>посочва, че петициите представляват както възможност, така и предизвикателство пред Парламента и пред други институции на ЕС, тъй като те дават възможност за установяване на пряк диалог с гражданите на ЕС и с лицата, пребиваващи в Съюза, по-специално когато те са засегнати от прилагането на правото на ЕС и търсят ефективен и ефикасен механизъм за защита;</w:t>
      </w:r>
    </w:p>
    <w:p w14:paraId="7A90B4D8" w14:textId="77085482" w:rsidR="007C43AA" w:rsidRPr="0033303B" w:rsidRDefault="00066B64" w:rsidP="00711633">
      <w:pPr>
        <w:pStyle w:val="Normal12Hanging"/>
      </w:pPr>
      <w:r w:rsidRPr="0033303B">
        <w:t>3.</w:t>
      </w:r>
      <w:r w:rsidRPr="0033303B">
        <w:tab/>
        <w:t>подчертава значението на повишаването на осведомеността чрез непрекъснат обществен дебат и по-широка информация относно действителните компетенции на ЕС, неговото функциониране и необходимостта от бъдещи подобрения, за да се гарантира, че гражданите и лицата, пребиваващи в Съюза, са добре информирани за равнищата, на които се вземат решенията, така че те също да могат да участват в дискусиите относно евентуални реформи, и с цел предотвратяване на феномена „за всичко е виновен Брюксел“, което се използва като оправдание от някои не особено отговорни държави членки; счита, че по-широк обществен дебат относно ЕС, както и по-добра информираност и образованост и подробно съобщаване в медиите ще намали броя на недопустимите петиции, тъй като гражданите и пребиваващите лица ще са по-добре запознати с компетенциите на ЕС; отбелязва, че предметът на петиция, счетена за недопустима, може да играе роля за създаването на политики, въпреки че самата петиция попада извън обхвата на компетентността на комисията по петиции;</w:t>
      </w:r>
    </w:p>
    <w:p w14:paraId="7FAF0053" w14:textId="24FAABEE" w:rsidR="007C43AA" w:rsidRPr="0033303B" w:rsidRDefault="00EB586A" w:rsidP="00711633">
      <w:pPr>
        <w:pStyle w:val="Normal12Hanging"/>
      </w:pPr>
      <w:r w:rsidRPr="0033303B">
        <w:t>4.</w:t>
      </w:r>
      <w:r w:rsidRPr="0033303B">
        <w:tab/>
        <w:t xml:space="preserve">подчертава необходимостта от засилено сътрудничество между Комисията и другите институции на ЕС и националните, регионалните и местните органи на държавите членки, за да се гарантира приемането и прилагането на разпоредбите от законодателството на ЕС, насочено към постигането на най-високи стандарти за социална справедливост и на пълна защита на икономическите, социалните и културните права на всички граждани; подчертава необходимостта от по-активно сътрудничество с представители на държавите членки по време на заседанията на комисията и от по-бързи последващи действия по искания, изпратени от комисията; поради това призовава за силен ангажимент на всички участващи органи на национално и европейско равнище в процеса на разглеждането и решаването на петициите; </w:t>
      </w:r>
      <w:r w:rsidRPr="0033303B">
        <w:rPr>
          <w:color w:val="000000"/>
        </w:rPr>
        <w:t>отново отбелязва, че голям брой петиции са получили повърхностни отговори от Комисията;</w:t>
      </w:r>
    </w:p>
    <w:p w14:paraId="070B1C8D" w14:textId="44BC12ED" w:rsidR="007C43AA" w:rsidRPr="0033303B" w:rsidRDefault="007C43AA" w:rsidP="00EB586A">
      <w:pPr>
        <w:pStyle w:val="Normal12Hanging"/>
      </w:pPr>
      <w:r w:rsidRPr="0033303B">
        <w:t>5.</w:t>
      </w:r>
      <w:r w:rsidRPr="0033303B">
        <w:tab/>
        <w:t xml:space="preserve">настоятелно призовава Комисията да използва правилно правомощията си, произтичащи от ролята ѝ на пазител на Договорите, тъй като тази роля е от първостепенно значение за функционирането на ЕС, що се отнася до гражданите и европейските законодатели; призовава за незабавно започване на процедури срещу държави членки за установяване на неизпълнение на задължения в </w:t>
      </w:r>
      <w:r w:rsidRPr="0033303B">
        <w:lastRenderedPageBreak/>
        <w:t>случаите на неспазване на правото на ЕС;</w:t>
      </w:r>
    </w:p>
    <w:p w14:paraId="4998FF18" w14:textId="018FBEC3" w:rsidR="00711633" w:rsidRPr="0033303B" w:rsidRDefault="007C43AA" w:rsidP="00711633">
      <w:pPr>
        <w:pStyle w:val="Normal12Hanging"/>
      </w:pPr>
      <w:r w:rsidRPr="0033303B">
        <w:t>6.</w:t>
      </w:r>
      <w:r w:rsidRPr="0033303B">
        <w:tab/>
        <w:t>отново заявява, че сътрудничеството с други парламентарни комисии е от съществено значение за всеобхватно разглеждане на петициите; отбелязва, че през 2017 г. са изпратени 18 петиции на други парламентарни комисии за становище и 357 — за информация; приветства факта, че са получени 21 становища по петиции от другите парламентарни комисии; насърчава диалога между различните парламентарни комисии, за да се обръща необходимото внимание на проблемите, представяни от гражданите на ЕС;</w:t>
      </w:r>
    </w:p>
    <w:p w14:paraId="6156A41B" w14:textId="3ECE9EEC" w:rsidR="00EB586A" w:rsidRPr="0033303B" w:rsidRDefault="007C43AA" w:rsidP="00517B97">
      <w:pPr>
        <w:pStyle w:val="Normal12Hanging"/>
      </w:pPr>
      <w:r w:rsidRPr="0033303B">
        <w:t>7.</w:t>
      </w:r>
      <w:r w:rsidRPr="0033303B">
        <w:tab/>
        <w:t>изтъква стартирането на мрежата за петиции на 21 март 2017 г., на което присъстваха представители на всички парламентарни комисии и в рамките на което бяха представени насоките на мрежата и нейната цел и ролята на нейните членове; изразява убеждение, че ако бъде възприета по сериозен начин, мрежата за петиции е полезен инструмент за осъществяването на по-ефективни последващи действия по петициите в парламентарната и законодателната работа; подчертава значението на мрежата за повишаване на осведомеността сред членовете относно опасенията на гражданите, които те споделят пред Парламента със своите петиции, и за обсъждането на евентуални подобрения в процедурата и споделяне на най-добри практики; подчертава, че по-тясното взаимодействие между комисиите може да подобри ефикасността в планирането на изслушванията и парламентарните изследвания по сходни теми; очаква с нетърпение публикуването на проучването на Тематичен отдел „В“ на Парламента относно актуалното функциониране на сътрудничеството между различните комисии и комисията по петиции; подчертава факта, че засиленото сътрудничество с парламентарните комисии по въпроси, повдигнати от вносителите на петиции, следва да дава възможност на Парламента да предприема по-ефективни и индивидуализирани последващи действия по петициите и да реагира много по-бързо и много по-ефикасно на тревогите на гражданите, като по този начин се осигурява добавена стойност в живота на гражданите на ЕС и в дейностите на Парламента и ЕС като цяло;</w:t>
      </w:r>
    </w:p>
    <w:p w14:paraId="31EDF227" w14:textId="45A15E5D" w:rsidR="007C43AA" w:rsidRPr="0033303B" w:rsidRDefault="007C43AA" w:rsidP="00711633">
      <w:pPr>
        <w:pStyle w:val="Normal12Hanging"/>
      </w:pPr>
      <w:r w:rsidRPr="0033303B">
        <w:t>8.</w:t>
      </w:r>
      <w:r w:rsidRPr="0033303B">
        <w:tab/>
        <w:t>подчертава важния принос на петициите, внесени от засегнати граждани и пребиваващи лица преди преговорите по излизането на Обединеното кралство от ЕС; посочва съвместното публично изслушване, проведено на 11 май 2017 г. от комисията по петиции и от комисиите по граждански свободи, правосъдие и вътрешни работи (LIBE), по конституционни въпроси (AFCO) и по трудова заетост и социални въпроси (EMPL), относно правата на гражданите и пребиваващите лица след излизането на Обединеното кралство от ЕС, за да се гарантира, че правата на тези граждани ще бъдат сред основните приоритети на Парламента в преговорите за Брекзит;</w:t>
      </w:r>
    </w:p>
    <w:p w14:paraId="06AC058D" w14:textId="4B957C93" w:rsidR="007C43AA" w:rsidRPr="0033303B" w:rsidRDefault="007C43AA" w:rsidP="00711633">
      <w:pPr>
        <w:pStyle w:val="Normal12Hanging"/>
      </w:pPr>
      <w:r w:rsidRPr="0033303B">
        <w:t>9.</w:t>
      </w:r>
      <w:r w:rsidRPr="0033303B">
        <w:tab/>
        <w:t>счита, че за да се осигури пълна съгласуваност в разглеждането на различните петиции, всички постъпващи петиции следва да се обработват изцяло от комисията по петиции, и че за тази цел на нейния секретариат следва да бъдат предоставени повече ресурси; подчертава факта, че насоките на комисията, приети през януари 2016 г., гарантират прозрачност и яснота при обработката на петициите и в процеса на вземане на решения;</w:t>
      </w:r>
    </w:p>
    <w:p w14:paraId="379E795A" w14:textId="581E03BA" w:rsidR="00A550B7" w:rsidRPr="0033303B" w:rsidRDefault="007C43AA" w:rsidP="00A550B7">
      <w:pPr>
        <w:pStyle w:val="Normal12Hanging"/>
      </w:pPr>
      <w:r w:rsidRPr="0033303B">
        <w:lastRenderedPageBreak/>
        <w:t>10.</w:t>
      </w:r>
      <w:r w:rsidRPr="0033303B">
        <w:tab/>
        <w:t>отправя силна критика поради това, че в отделни случаи на разглеждане на жалби на граждани Комисията си присвоява право на преценка; отбелязва, че отказът да се прави обстойно и експедитивно разследване по жалби на граждани, включително по индивидуални случаи, в съответствие с подхода на Комисията, възприет в нейното съобщение от 2016 г., озаглавено „Право на Европейския съюз: по-добри резултати чрез по-добро прилагане“</w:t>
      </w:r>
      <w:r w:rsidR="00606EEC" w:rsidRPr="0033303B">
        <w:rPr>
          <w:rStyle w:val="FootnoteReference"/>
        </w:rPr>
        <w:footnoteReference w:id="1"/>
      </w:r>
      <w:r w:rsidRPr="0033303B">
        <w:t xml:space="preserve"> , може да възпрепятства бързото откриване на евентуални сериозни системни недостатъци, което позволява да продължат нарушенията на правата, засягащи голям брой граждани, тъй като по същество цялата отговорност се стоварва на плещите на националните съдилища, който трябва да следят за нарушения на законодателството на ЕС, с изключение на системните нарушения; намира тълкуването на това понятие за твърде неясно и счита, че този подход е особено вреден за законодателството в областта на околната среда; счита този подход за стъпка назад спрямо предишния подход при прилагането на законодателството на ЕС в областта на околната среда и като цяло за ограничаване на задълженията на Комисията като пазител на Договорите;</w:t>
      </w:r>
    </w:p>
    <w:p w14:paraId="2FA68931" w14:textId="1CFC3197" w:rsidR="00A550B7" w:rsidRPr="0033303B" w:rsidRDefault="007C43AA" w:rsidP="00711633">
      <w:pPr>
        <w:pStyle w:val="Normal12Hanging"/>
      </w:pPr>
      <w:r w:rsidRPr="0033303B">
        <w:t>11.</w:t>
      </w:r>
      <w:r w:rsidRPr="0033303B">
        <w:tab/>
        <w:t>посочва, че разглеждането на петиции относно несигурните условия на труд показа, че в някои държави членки много работници са жертви на недопустими и дискриминационни практики, което отразява липсата на ефективни превантивни механизми и санкции в редица случаи; изразява съжаление относно факта, че Комисията е допуснала значително натрупване на преписки, свързани с нарушения на трудовото законодателство на ЕС от някои държави членки, което е позволило нарушенията на правата на работниците да продължават с години;</w:t>
      </w:r>
    </w:p>
    <w:p w14:paraId="6D1B6038" w14:textId="58A65901" w:rsidR="00711633" w:rsidRPr="0033303B" w:rsidRDefault="007C43AA" w:rsidP="00517B97">
      <w:pPr>
        <w:spacing w:after="240"/>
        <w:ind w:left="567" w:hanging="567"/>
        <w:jc w:val="both"/>
      </w:pPr>
      <w:r w:rsidRPr="0033303B">
        <w:t>12.</w:t>
      </w:r>
      <w:r w:rsidRPr="0033303B">
        <w:tab/>
        <w:t>повтаря призива си към Комисията да информира редовно комисията по петиции относно текущи пилотни проекти на ЕС и относно открити процедури за установяване на неизпълнение на задължения, свързани с петиции, и да осигури достъп до документите по тези процедури след тяхното приключване, в изпълнение на изискванията съгласно практика на Съда на Европейския съюз, особено когато процедурите са били открити изцяло или частично въз основа на петиции; приветства централизираната платформа, създадена от Комисията през 2014 г., на която се публикуват решения за установяване на неизпълнение на задължения;</w:t>
      </w:r>
    </w:p>
    <w:p w14:paraId="2D14EE11" w14:textId="094E2122" w:rsidR="001001AE" w:rsidRPr="0033303B" w:rsidRDefault="007C43AA" w:rsidP="001001AE">
      <w:pPr>
        <w:pStyle w:val="Normal12Hanging"/>
      </w:pPr>
      <w:r w:rsidRPr="0033303B">
        <w:t>13.</w:t>
      </w:r>
      <w:r w:rsidRPr="0033303B">
        <w:tab/>
        <w:t>очаква Комисията да бъде винаги надлежно представена на публичните обсъждания в рамките на комисията по петиции, и то от високопоставени длъжностни лица, които могат да предоставят допълнителна информация и да отговорят на въпросите на вносителите на петиции и на членовете на Европейския парламент извън рамките на предоставения по-рано писмен отговор, ако е необходимо;</w:t>
      </w:r>
    </w:p>
    <w:p w14:paraId="3E8F0C0A" w14:textId="77777777" w:rsidR="00A035CB" w:rsidRPr="0033303B" w:rsidRDefault="001001AE" w:rsidP="00711633">
      <w:pPr>
        <w:pStyle w:val="Normal12Hanging"/>
      </w:pPr>
      <w:r w:rsidRPr="0033303B">
        <w:t>14.</w:t>
      </w:r>
      <w:r w:rsidRPr="0033303B">
        <w:tab/>
        <w:t xml:space="preserve">приветства тенденцията комисията по петиции да повдига все повече въпроси на пленарните заседания посредством устни въпроси, резолюции или кратки предложения за резолюции в съответствие с член 216, параграф 2 от Правилника за дейността на ЕП; обръща внимание на своите резолюции, приети след </w:t>
      </w:r>
      <w:r w:rsidRPr="0033303B">
        <w:lastRenderedPageBreak/>
        <w:t>публикуването на годишния доклад за дейността на комисията по петиции през 2016 г.</w:t>
      </w:r>
      <w:r w:rsidR="00B50D7D" w:rsidRPr="0033303B">
        <w:rPr>
          <w:rStyle w:val="FootnoteReference"/>
        </w:rPr>
        <w:footnoteReference w:id="2"/>
      </w:r>
      <w:r w:rsidRPr="0033303B">
        <w:t>, годишния доклад за работата на Европейския омбудсман през 2016 г.</w:t>
      </w:r>
      <w:r w:rsidR="00B50D7D" w:rsidRPr="0033303B">
        <w:rPr>
          <w:rStyle w:val="FootnoteReference"/>
        </w:rPr>
        <w:footnoteReference w:id="3"/>
      </w:r>
      <w:r w:rsidRPr="0033303B">
        <w:t xml:space="preserve"> и на доклада за гражданството на ЕС за 2017 г.</w:t>
      </w:r>
      <w:r w:rsidR="00B50D7D" w:rsidRPr="0033303B">
        <w:rPr>
          <w:rStyle w:val="FootnoteReference"/>
        </w:rPr>
        <w:footnoteReference w:id="4"/>
      </w:r>
      <w:r w:rsidRPr="0033303B">
        <w:t>; обръща внимание на своята резолюция от 15 март 2017 г. относно пречките пред правото на гражданите на ЕС на свободно движение и работа в рамките на вътрешния пазар</w:t>
      </w:r>
      <w:r w:rsidRPr="0033303B">
        <w:rPr>
          <w:rStyle w:val="SupBoldItalic"/>
          <w:rFonts w:eastAsia="Calibri"/>
          <w:b w:val="0"/>
          <w:i w:val="0"/>
        </w:rPr>
        <w:footnoteReference w:id="5"/>
      </w:r>
      <w:r w:rsidRPr="0033303B">
        <w:t>;</w:t>
      </w:r>
    </w:p>
    <w:p w14:paraId="264ECE35" w14:textId="43B2D480" w:rsidR="001001AE" w:rsidRPr="0033303B" w:rsidRDefault="001001AE" w:rsidP="00711633">
      <w:pPr>
        <w:pStyle w:val="Normal12Hanging"/>
      </w:pPr>
      <w:r w:rsidRPr="0033303B">
        <w:rPr>
          <w:color w:val="000000"/>
        </w:rPr>
        <w:t>15.</w:t>
      </w:r>
      <w:r w:rsidRPr="0033303B">
        <w:tab/>
        <w:t>отбелязва изслушванията по многобройни и разнообразни теми, организирани от комисията по петиции през 2017 г., самостоятелно или в сътрудничество с други комисии, и в частност изслушванията относно „Борбата срещу дискриминацията и в защита на малцинствата“ на 4 май, относно „Положението и правата на гражданите на ЕС в Обединеното кралство“ след оттеглянето му от Европейския съюз на 11 май съвместно с комисиите EMPL и LIBE, относно „Възстановяване на доверието на гражданите и доверието в европейския проект“ на 22 юни, относно „Лицата без гражданство“ на 29 май съвместно с комисията LIBE, относно Европейската гражданска инициатива на тема „Забрана на използването на глифосат и защита на хората и околната среда от токсични пестициди“ на 20 ноември, както и относно „Защита на правата на работниците на временна или несигурна заетост“ на 22 ноември; приветства също така факта, че на 12 октомври 2017 г. се проведе годишният семинар на тема „Защита на правата на хората с увреждания“;</w:t>
      </w:r>
    </w:p>
    <w:p w14:paraId="1F319FC7" w14:textId="633A9FB1" w:rsidR="00711633" w:rsidRPr="0033303B" w:rsidRDefault="007C43AA" w:rsidP="00711633">
      <w:pPr>
        <w:pStyle w:val="Normal12Hanging"/>
      </w:pPr>
      <w:r w:rsidRPr="0033303B">
        <w:t>16.</w:t>
      </w:r>
      <w:r w:rsidRPr="0033303B">
        <w:tab/>
        <w:t>отбелязва, че комисията по петиции изрази становище по различни въпроси, повдигнати в петиции, в рамките на няколко приноса към парламентарни доклади, като например относно Европейския акт за достъпност</w:t>
      </w:r>
      <w:r w:rsidR="00711633" w:rsidRPr="0033303B">
        <w:rPr>
          <w:vertAlign w:val="superscript"/>
        </w:rPr>
        <w:footnoteReference w:id="6"/>
      </w:r>
      <w:r w:rsidRPr="0033303B">
        <w:t>, относно тълкуването и прилагането на Междуинституционалното споразумение за по-добро законотворчество</w:t>
      </w:r>
      <w:r w:rsidR="00711633" w:rsidRPr="0033303B">
        <w:rPr>
          <w:vertAlign w:val="superscript"/>
        </w:rPr>
        <w:footnoteReference w:id="7"/>
      </w:r>
      <w:r w:rsidRPr="0033303B">
        <w:t>, относно Регламента „Брюксел IIa“</w:t>
      </w:r>
      <w:r w:rsidR="00711633" w:rsidRPr="0033303B">
        <w:rPr>
          <w:vertAlign w:val="superscript"/>
        </w:rPr>
        <w:footnoteReference w:id="8"/>
      </w:r>
      <w:r w:rsidRPr="0033303B">
        <w:t>, относно Договора от Маракеш</w:t>
      </w:r>
      <w:r w:rsidR="00711633" w:rsidRPr="0033303B">
        <w:rPr>
          <w:vertAlign w:val="superscript"/>
        </w:rPr>
        <w:footnoteReference w:id="9"/>
      </w:r>
      <w:r w:rsidRPr="0033303B">
        <w:t>, относно мониторинга на прилагането на правото на ЕС за 2015 г.</w:t>
      </w:r>
      <w:r w:rsidR="00711633" w:rsidRPr="0033303B">
        <w:rPr>
          <w:vertAlign w:val="superscript"/>
        </w:rPr>
        <w:footnoteReference w:id="10"/>
      </w:r>
      <w:r w:rsidRPr="0033303B">
        <w:t>, относно използването на енергия от възобновяеми източници</w:t>
      </w:r>
      <w:r w:rsidR="00711633" w:rsidRPr="0033303B">
        <w:rPr>
          <w:vertAlign w:val="superscript"/>
        </w:rPr>
        <w:footnoteReference w:id="11"/>
      </w:r>
      <w:r w:rsidRPr="0033303B">
        <w:t>, относно Европейската стратегия за хората с увреждания</w:t>
      </w:r>
      <w:r w:rsidR="00711633" w:rsidRPr="0033303B">
        <w:rPr>
          <w:vertAlign w:val="superscript"/>
        </w:rPr>
        <w:footnoteReference w:id="12"/>
      </w:r>
      <w:r w:rsidRPr="0033303B">
        <w:t>, относно Годишния доклад за състоянието на основните права в ЕС през 2016 г.</w:t>
      </w:r>
      <w:r w:rsidR="00711633" w:rsidRPr="0033303B">
        <w:rPr>
          <w:vertAlign w:val="superscript"/>
        </w:rPr>
        <w:footnoteReference w:id="13"/>
      </w:r>
      <w:r w:rsidRPr="0033303B">
        <w:t>, както и относно преразглеждането на Регламент (ЕС) № 211/2011 относно гражданската инициатива</w:t>
      </w:r>
      <w:r w:rsidR="00711633" w:rsidRPr="0033303B">
        <w:rPr>
          <w:vertAlign w:val="superscript"/>
        </w:rPr>
        <w:footnoteReference w:id="14"/>
      </w:r>
      <w:r w:rsidRPr="0033303B">
        <w:t>;</w:t>
      </w:r>
    </w:p>
    <w:p w14:paraId="2B871CB3" w14:textId="485B5BAB" w:rsidR="001001AE" w:rsidRPr="0033303B" w:rsidRDefault="001001AE" w:rsidP="001001AE">
      <w:pPr>
        <w:pStyle w:val="Normal12Hanging"/>
      </w:pPr>
      <w:r w:rsidRPr="0033303B">
        <w:t>17.</w:t>
      </w:r>
      <w:r w:rsidRPr="0033303B">
        <w:tab/>
        <w:t xml:space="preserve">отбелязва, че въпросите, свързани с околната среда, бяха основната област на загриженост за вносителите на петиции през 2017 г.; отбелязва специален доклад </w:t>
      </w:r>
      <w:r w:rsidRPr="0033303B">
        <w:lastRenderedPageBreak/>
        <w:t>№ 468 на Евробарометър, публикуван през ноември 2017 г.</w:t>
      </w:r>
      <w:r w:rsidRPr="0033303B">
        <w:rPr>
          <w:rStyle w:val="Sup"/>
          <w:rFonts w:eastAsia="Calibri"/>
        </w:rPr>
        <w:footnoteReference w:id="15"/>
      </w:r>
      <w:r w:rsidRPr="0033303B">
        <w:t>, който показва, че околната среда е една от областите на основните опасения на европейските граждани; подчертава значението на постигането на резултати в отговор на очакванията на гражданите на ЕС и на лицата, пребиваващи в ЕС, по отношение на правилно законодателство в областта на околната среда и на прилагането на приетите правила и политики; изразява съжаление във връзка с факта, че правилата в областта на околната среда не винаги се прилагат правилно в държавите членки, обстоятелство, което се посочва в петициите; настоятелно призовава Комисията, в качеството си на пазител на Договорите, заедно с държавите членки да гарантира правилното прилагане на законодателството на ЕС;</w:t>
      </w:r>
    </w:p>
    <w:p w14:paraId="7B42611D" w14:textId="42DF13CD" w:rsidR="001001AE" w:rsidRPr="0033303B" w:rsidRDefault="001001AE" w:rsidP="001001AE">
      <w:pPr>
        <w:pStyle w:val="Normal12Hanging"/>
      </w:pPr>
      <w:r w:rsidRPr="0033303B">
        <w:t>18.</w:t>
      </w:r>
      <w:r w:rsidRPr="0033303B">
        <w:tab/>
        <w:t>подчертава необходимостта Комисията да гарантира, че са извършени точни и пълни анализи на съответствието с правото на ЕС по отношение на екологичните оценки, извършвани от държавите членки преди издаването на разрешения за инфраструктурни проекти, във връзка с които гражданите са изразили опасения за сериозни рискове за човешкото здраве и околната среда;</w:t>
      </w:r>
    </w:p>
    <w:p w14:paraId="0CCE74A7" w14:textId="6C435DBB" w:rsidR="001001AE" w:rsidRPr="0033303B" w:rsidRDefault="001001AE" w:rsidP="001001AE">
      <w:pPr>
        <w:pStyle w:val="Normal12Hanging"/>
      </w:pPr>
      <w:r w:rsidRPr="0033303B">
        <w:t>19.</w:t>
      </w:r>
      <w:r w:rsidRPr="0033303B">
        <w:tab/>
        <w:t>изразява дълбоко съжаление във връзка с факта, че проблемите, свързани с качеството на въздуха, повдигнати от вносители на петиции от редица държави членки, са се задълбочили вследствие на емисиите от 43 милиона дизелови превозни средства, които не отговарят на правилата на ЕС за одобрение на типа, и на емисиите от лични леки автомобили и лекотоварни търговски автомобили;</w:t>
      </w:r>
    </w:p>
    <w:p w14:paraId="0E25F78A" w14:textId="5AC10D94" w:rsidR="00711633" w:rsidRPr="0033303B" w:rsidRDefault="007C43AA" w:rsidP="00711633">
      <w:pPr>
        <w:pStyle w:val="Normal12Hanging"/>
      </w:pPr>
      <w:r w:rsidRPr="0033303B">
        <w:t>20.</w:t>
      </w:r>
      <w:r w:rsidRPr="0033303B">
        <w:tab/>
        <w:t>изтъква работата на комисията по петиции във връзка с петиции по проблеми на хората с увреждания; отбелязва, че през 2017 г. са постъпили по-малко на брой петиции по въпроси, свързани с проблеми на хората с увреждания; подчертава, че сред основните предизвикателства за хората с увреждания са достъпът до транспорт и до сградите, както и дискриминацията, по-специално в областта на заетостта; отбелязва, че е обърнато специално внимание на обсъжданията на петициите по проблеми на хората с увреждания, като например подкрепата за членове на семейството, полагащи грижи за хора с увреждания, както и за бързото ратифициране, изпълнение и прилагане на Договора от Маракеш;</w:t>
      </w:r>
    </w:p>
    <w:p w14:paraId="3230BD78" w14:textId="77777777" w:rsidR="0033303B" w:rsidRPr="0033303B" w:rsidRDefault="0033303B" w:rsidP="0033303B">
      <w:pPr>
        <w:pStyle w:val="Normal12Hanging"/>
      </w:pPr>
      <w:r w:rsidRPr="0033303B">
        <w:t>21.</w:t>
      </w:r>
      <w:r w:rsidRPr="0033303B">
        <w:tab/>
        <w:t>подчертава ролята на защитник на комисията по петиции в рамката на ЕС за Конвенцията на ООН за правата на хората с увреждания; посочва семинара относно защитата на правата на хората с увреждания, проведен на заседанието на комисията от 12 октомври 2017 г., който включваше представянето на проучване относно приобщаващото образование; призовава институциите на ЕС да дадат първи пример по този въпрос и да гарантират, че националните органи прилагат по правилен начин и без забавяне законодателството, прието в тази област;</w:t>
      </w:r>
    </w:p>
    <w:p w14:paraId="12E16DBA" w14:textId="77777777" w:rsidR="0033303B" w:rsidRPr="0033303B" w:rsidRDefault="0033303B" w:rsidP="0033303B">
      <w:pPr>
        <w:pStyle w:val="Normal12Hanging"/>
      </w:pPr>
      <w:r w:rsidRPr="0033303B">
        <w:t>22.</w:t>
      </w:r>
      <w:r w:rsidRPr="0033303B">
        <w:tab/>
        <w:t xml:space="preserve">посочва своята резолюция от 15 март 2017 г. относно пречките пред правото на гражданите на ЕС на свободно движение и работа в рамките на вътрешния пазар; </w:t>
      </w:r>
      <w:r w:rsidRPr="0033303B">
        <w:lastRenderedPageBreak/>
        <w:t>призовава отново Комисията да изясни, актуализира и разшири своите насоки за по-добро транспониране и прилагане на Директива 2004/38/ЕО, за да бъдат въведени в законодателството по-специално неотдавнашните решения на Съда на Европейския съюз (дела C-456-12 и 457-12); препоръчва използването на планове за изпълнение на транспонирането, за да се гарантира пълното и правилно прилагане; настоятелно призовава държавите членки да спазват Директива 2004/38/ЕО, както и приложимата практика на Съда на Европейския съюз относно свободното движение на хора, тъй като тяхното неспазване е пряко нарушение на основно право на гражданите на Съюза;</w:t>
      </w:r>
    </w:p>
    <w:p w14:paraId="6D3B36D5" w14:textId="77777777" w:rsidR="0033303B" w:rsidRPr="0033303B" w:rsidRDefault="0033303B" w:rsidP="0033303B">
      <w:pPr>
        <w:pStyle w:val="Normal12Hanging"/>
      </w:pPr>
      <w:r w:rsidRPr="0033303B">
        <w:t>23.</w:t>
      </w:r>
      <w:r w:rsidRPr="0033303B">
        <w:tab/>
        <w:t>признава работата, извършена от работната група на комисията по петиции по въпросите, свързани с благосъстоянието на децата, и приема за сведение нейния окончателен доклад и препоръки, приети на 3 май 2017 г.; твърдо вярва, че Комисията, Съветът и държавите членки следва да предприемат последователни и ефективни последващи действия във връзка с препоръките от окончателния доклад на работната група; призовава институциите на ЕС и държавите членки да спазват законодателството на ЕС и да насърчават ефективно трансграничното сътрудничество в областта на семейното право, като предоставят обучение на съдии и специалисти, информация за правната помощ и улесняват двуезичните адвокати;</w:t>
      </w:r>
    </w:p>
    <w:p w14:paraId="13B38769" w14:textId="77777777" w:rsidR="0033303B" w:rsidRPr="0033303B" w:rsidRDefault="0033303B" w:rsidP="0033303B">
      <w:pPr>
        <w:pStyle w:val="Normal12Hanging"/>
      </w:pPr>
      <w:r w:rsidRPr="0033303B">
        <w:t>24.</w:t>
      </w:r>
      <w:r w:rsidRPr="0033303B">
        <w:tab/>
        <w:t xml:space="preserve">отново изразява своето становище, че едно твърде тясно или непоследователно тълкуване на член 51 от Хартата на основните права отчуждава гражданите от ЕС; изисква от Комисията да предприеме мерки, които ще гарантират последователно и широко прилагане на член 51; </w:t>
      </w:r>
    </w:p>
    <w:p w14:paraId="695E8EB3" w14:textId="77777777" w:rsidR="0033303B" w:rsidRPr="0033303B" w:rsidRDefault="0033303B" w:rsidP="0033303B">
      <w:pPr>
        <w:pStyle w:val="Normal12Hanging"/>
      </w:pPr>
      <w:r w:rsidRPr="0033303B">
        <w:t>25.</w:t>
      </w:r>
      <w:r w:rsidRPr="0033303B">
        <w:tab/>
        <w:t>насърчава Комисията да прикани настоятелно държавите членки да намерят решения срещу загубата на права на глас и лишаването от избирателни права на граждани на ЕС, които свободно се движат и пребивават в рамките на Европейския съюз, както и лишаването от избирателни права на лицата с дългосрочно пребиваване; изразява разочарование, че в проекта на споразумение за оттегляне между Европейския съюз и Обединеното кралство не се споменават политическите права на гражданите;</w:t>
      </w:r>
    </w:p>
    <w:p w14:paraId="6B9554C6" w14:textId="77777777" w:rsidR="0033303B" w:rsidRPr="0033303B" w:rsidRDefault="0033303B" w:rsidP="0033303B">
      <w:pPr>
        <w:pStyle w:val="Normal12Hanging"/>
      </w:pPr>
      <w:r w:rsidRPr="0033303B">
        <w:t>26.</w:t>
      </w:r>
      <w:r w:rsidRPr="0033303B">
        <w:tab/>
        <w:t xml:space="preserve">подчертава, че Европейската гражданска инициатива следва да бъде както прозрачна, така и ефективна, за да служи като важен инструмент за активно гражданство и участие на обществеността; </w:t>
      </w:r>
      <w:r w:rsidRPr="0033303B">
        <w:rPr>
          <w:color w:val="000000"/>
        </w:rPr>
        <w:t>изразява съжаление, че до момента това не е така и че от успешно проведени инициативи не е последвал никакъв осезаем законодателен резултат;</w:t>
      </w:r>
      <w:r w:rsidRPr="0033303B">
        <w:t xml:space="preserve"> отбелязва предложението на Комисията за преразглеждане на Регламент (ЕС) № 211/2011 относно Европейската гражданска инициатива</w:t>
      </w:r>
      <w:r w:rsidRPr="0033303B">
        <w:rPr>
          <w:rStyle w:val="Sup"/>
          <w:rFonts w:eastAsia="Calibri"/>
        </w:rPr>
        <w:footnoteReference w:id="16"/>
      </w:r>
      <w:r w:rsidRPr="0033303B">
        <w:t xml:space="preserve">, публикувано на 13 септември 2017 г.; изтъква най-новата успешна гражданска инициатива под заглавието „Забрана на използването на глифосат и защита на хората и околната среда от токсични пестициди“, посочва публичното изслушване във връзка с тази инициатива, проведено в Парламента на 20 ноември 2017 г.; очаква съдържателна реакция на Комисията по съществото на посочената инициатива; потвърждава ангажимента на комисията по петиции да участва </w:t>
      </w:r>
      <w:r w:rsidRPr="0033303B">
        <w:lastRenderedPageBreak/>
        <w:t>активно в организирането на публични изслушвания за успешни инициативи; поема ангажимент да отдаде предимство на институционално равнище на ефективността на този процес на участие и да гарантира предприемането на надлежни последващи законодателни действия;</w:t>
      </w:r>
    </w:p>
    <w:p w14:paraId="5AE21169" w14:textId="77777777" w:rsidR="0033303B" w:rsidRPr="0033303B" w:rsidRDefault="0033303B" w:rsidP="0033303B">
      <w:pPr>
        <w:pStyle w:val="Normal12Hanging"/>
      </w:pPr>
      <w:r w:rsidRPr="0033303B">
        <w:t>27.</w:t>
      </w:r>
      <w:r w:rsidRPr="0033303B">
        <w:tab/>
        <w:t>подчертава, че във връзка с публичното изслушване относно Европейската гражданска инициатива на тема „Забрана на използването на глифосат и защита на хората и околната среда от токсични пестициди“, и като се вземат предвид други петиции по същия въпрос, стана ясно, че процедурите на ЕС за издаване на разрешения за вещества като глифосат, генетично модифицирани организми и пестициди са компрометирани поради липсата на независимост, недостатъчната прозрачност и неточностите при изготвянето и оценката на научните данни доказателства;</w:t>
      </w:r>
    </w:p>
    <w:p w14:paraId="2DC2CF20" w14:textId="77777777" w:rsidR="0033303B" w:rsidRPr="0033303B" w:rsidRDefault="0033303B" w:rsidP="0033303B">
      <w:pPr>
        <w:pStyle w:val="Normal12Hanging"/>
      </w:pPr>
      <w:r w:rsidRPr="0033303B">
        <w:t>28.</w:t>
      </w:r>
      <w:r w:rsidRPr="0033303B">
        <w:tab/>
        <w:t>отбелязва големия брой на петициите относно хуманното отношение към животните; насочва вниманието към проучването, озаглавено „Хуманно отношение към животните в Европейския съюз“, и неговото представяне на заседанието на комисията на 23 март 2017 г., последвано от обсъждане на редица петиции по този въпрос; счита, че е от съществено значение стартирането на нова стратегия на ЕС, за да се запълнят всички съществуващи пропуски и да се гарантира пълна и ефективна защита на хуманното отношение към животните чрез ясна и всеобхватна законодателна рамка, която да отговаря изцяло на изискванията на член 13 от ДФЕС;</w:t>
      </w:r>
    </w:p>
    <w:p w14:paraId="2590BA45" w14:textId="77777777" w:rsidR="0033303B" w:rsidRPr="0033303B" w:rsidRDefault="0033303B" w:rsidP="0033303B">
      <w:pPr>
        <w:pStyle w:val="Normal12Hanging"/>
      </w:pPr>
      <w:r w:rsidRPr="0033303B">
        <w:t>29.</w:t>
      </w:r>
      <w:r w:rsidRPr="0033303B">
        <w:tab/>
        <w:t>подчертава важната роля на мрежата SOLVIT (мрежа за решаване на проблеми онлайн), която дава възможност за гражданите и предприятията да изразят тревогите си във връзка с евентуални нарушения на правото на ЕС от страна на публични органи в други държави членки; призовава Комисията и държавите членки да популяризират SOLVIT, така че мрежата да стане по-полезна и видима за гражданите; приветства в тази връзка плана за действие за укрепване на мрежата SOLVIT, публикуван от Комисията през май 2017 г.; призовава Комисията ежегодно да докладва на Европейския парламент относно постигнатите резултати от този план за действие;</w:t>
      </w:r>
    </w:p>
    <w:p w14:paraId="3C46B305" w14:textId="77777777" w:rsidR="0033303B" w:rsidRPr="0033303B" w:rsidRDefault="0033303B" w:rsidP="0033303B">
      <w:pPr>
        <w:pStyle w:val="Normal12Hanging"/>
      </w:pPr>
      <w:r w:rsidRPr="0033303B">
        <w:t>30.</w:t>
      </w:r>
      <w:r w:rsidRPr="0033303B">
        <w:tab/>
        <w:t xml:space="preserve">подчертава значението на по-нататъшното разработване на портала за петиции и необходимостта той да се превърне в лесен и достъпен двупосочен портал за комуникация и лесно достъпен интерактивен инструмент, който предоставя на гражданите на всички държави — членки на ЕС достъп до цялата основна информация за петициите и разглеждането им, като по този начин се откриват пътища за комуникация и създаване на тематични общности за обмен на документация и най-добри практики; подчертава необходимостта от по-нататъшно свеждане до минимум на административната тежест при обработката на петициите; припомня, че порталът изпълнява и функцията на публичен регистър на петициите; отново заявява, че подобряването на техническия капацитет на портала е от съществено значение за безпроблемното разглеждане на петициите; подчертава, че е необходимо да се подобри комуникацията с вносителите на петиции, като им се изпращат уведомления за напредъка при разглеждането на тяхната петиция на техния собствен език; счита, че </w:t>
      </w:r>
      <w:r w:rsidRPr="0033303B">
        <w:lastRenderedPageBreak/>
        <w:t>поддръжниците, изразили своето одобрение и интерес към дадена петиция, имат право да получават същата обратна връзка и информация като самите вносители на петициите, особено когато става въпрос за обсъждания в Парламента или за отговори от Комисията или от други органи; отново подчертава колко е важно да се увеличат усилията за гарантиране на присъствието на вносителите на петиции по време на обсъждането на техните искания в комисията;</w:t>
      </w:r>
    </w:p>
    <w:p w14:paraId="7F4EAB5E" w14:textId="77777777" w:rsidR="0033303B" w:rsidRPr="0033303B" w:rsidRDefault="0033303B" w:rsidP="0033303B">
      <w:pPr>
        <w:pStyle w:val="Normal12Hanging"/>
      </w:pPr>
      <w:r w:rsidRPr="0033303B">
        <w:t>31.</w:t>
      </w:r>
      <w:r w:rsidRPr="0033303B">
        <w:tab/>
        <w:t>призовава за по-фокусирана и активна дейност за връзки с пресата и за комуникация, както и за по-активно присъствие в социалните медии, така че работата на комисията да може да откликва по-ефективно на обществените тревоги;</w:t>
      </w:r>
    </w:p>
    <w:p w14:paraId="08112C37" w14:textId="77777777" w:rsidR="0033303B" w:rsidRPr="0033303B" w:rsidRDefault="0033303B" w:rsidP="0033303B">
      <w:pPr>
        <w:pStyle w:val="Normal12Hanging"/>
      </w:pPr>
      <w:r w:rsidRPr="0033303B">
        <w:t>32.</w:t>
      </w:r>
      <w:r w:rsidRPr="0033303B">
        <w:tab/>
        <w:t>възлага на своя председател да предаде настоящата резолюция и доклада на комисията по петиции съответно на Съвета, Комисията, Европейския омбудсман, на правителствата и парламентите на държавите членки, на техните комисии по петиции, на националните омбудсмани или на подобни компетентни органи.</w:t>
      </w:r>
    </w:p>
    <w:p w14:paraId="15D9DF39" w14:textId="77777777" w:rsidR="0033303B" w:rsidRPr="0033303B" w:rsidRDefault="0033303B" w:rsidP="0033303B">
      <w:pPr>
        <w:pStyle w:val="PageHeading"/>
      </w:pPr>
      <w:r w:rsidRPr="0033303B">
        <w:br w:type="page"/>
      </w:r>
      <w:bookmarkStart w:id="2" w:name="_Toc531612629"/>
      <w:bookmarkStart w:id="3" w:name="_Toc532207116"/>
      <w:r w:rsidRPr="0033303B">
        <w:lastRenderedPageBreak/>
        <w:t>ИЗЛОЖЕНИЕ НА МОТИВИТЕ</w:t>
      </w:r>
      <w:bookmarkEnd w:id="2"/>
      <w:bookmarkEnd w:id="3"/>
    </w:p>
    <w:p w14:paraId="62554BBF" w14:textId="77777777" w:rsidR="0033303B" w:rsidRPr="0033303B" w:rsidRDefault="0033303B" w:rsidP="0033303B">
      <w:pPr>
        <w:pStyle w:val="PageHeading"/>
        <w:rPr>
          <w:szCs w:val="24"/>
        </w:rPr>
      </w:pPr>
    </w:p>
    <w:p w14:paraId="7D47C782" w14:textId="77777777" w:rsidR="0033303B" w:rsidRPr="0033303B" w:rsidRDefault="0033303B" w:rsidP="0033303B">
      <w:pPr>
        <w:jc w:val="both"/>
        <w:rPr>
          <w:szCs w:val="24"/>
        </w:rPr>
      </w:pPr>
      <w:r w:rsidRPr="0033303B">
        <w:t xml:space="preserve">Съгласно член 216, параграф 7 от Правилника за дейността на Европейския парламент комисията по петиции докладва всяка година относно резултатите от своите разисквания. В доклада се прави преглед на работата на комисията през 2017 г. </w:t>
      </w:r>
    </w:p>
    <w:p w14:paraId="45BDC05C" w14:textId="77777777" w:rsidR="0033303B" w:rsidRPr="0033303B" w:rsidRDefault="0033303B" w:rsidP="0033303B">
      <w:pPr>
        <w:jc w:val="both"/>
        <w:rPr>
          <w:szCs w:val="24"/>
        </w:rPr>
      </w:pPr>
    </w:p>
    <w:p w14:paraId="1B896643" w14:textId="77777777" w:rsidR="0033303B" w:rsidRPr="0033303B" w:rsidRDefault="0033303B" w:rsidP="0033303B">
      <w:pPr>
        <w:jc w:val="both"/>
        <w:rPr>
          <w:szCs w:val="24"/>
        </w:rPr>
      </w:pPr>
      <w:r w:rsidRPr="0033303B">
        <w:t xml:space="preserve">Работата на комисията по петиции произтича главно от правото на петиция, упражнявано от гражданите. Работата на комисията не е пряко свързана със законодателната програма на Комисията. </w:t>
      </w:r>
    </w:p>
    <w:p w14:paraId="0124CDD8" w14:textId="77777777" w:rsidR="0033303B" w:rsidRPr="0033303B" w:rsidRDefault="0033303B" w:rsidP="0033303B">
      <w:pPr>
        <w:jc w:val="both"/>
        <w:rPr>
          <w:szCs w:val="24"/>
        </w:rPr>
      </w:pPr>
    </w:p>
    <w:p w14:paraId="7BF97F1A" w14:textId="77777777" w:rsidR="0033303B" w:rsidRPr="0033303B" w:rsidRDefault="0033303B" w:rsidP="0033303B">
      <w:pPr>
        <w:jc w:val="both"/>
        <w:rPr>
          <w:szCs w:val="24"/>
        </w:rPr>
      </w:pPr>
    </w:p>
    <w:p w14:paraId="2D8E0C06" w14:textId="77777777" w:rsidR="0033303B" w:rsidRPr="0033303B" w:rsidRDefault="0033303B" w:rsidP="0033303B">
      <w:pPr>
        <w:jc w:val="both"/>
        <w:rPr>
          <w:b/>
          <w:szCs w:val="24"/>
        </w:rPr>
      </w:pPr>
      <w:r w:rsidRPr="0033303B">
        <w:rPr>
          <w:b/>
          <w:szCs w:val="24"/>
        </w:rPr>
        <w:t>Статистически анализ на постъпилите през 2017 г. петиции в сравнение с 2016 г.</w:t>
      </w:r>
    </w:p>
    <w:p w14:paraId="3D6FFFB2" w14:textId="77777777" w:rsidR="0033303B" w:rsidRPr="0033303B" w:rsidRDefault="0033303B" w:rsidP="0033303B">
      <w:pPr>
        <w:jc w:val="both"/>
        <w:rPr>
          <w:szCs w:val="24"/>
        </w:rPr>
      </w:pPr>
    </w:p>
    <w:p w14:paraId="0CB12E60" w14:textId="77777777" w:rsidR="0033303B" w:rsidRPr="0033303B" w:rsidRDefault="0033303B" w:rsidP="0033303B">
      <w:pPr>
        <w:jc w:val="both"/>
        <w:rPr>
          <w:szCs w:val="24"/>
        </w:rPr>
      </w:pPr>
      <w:r w:rsidRPr="0033303B">
        <w:t xml:space="preserve">Според статистическите данни, през 2017 г. в Европейския парламент са постъпили 1 271 петиции. Това представлява намаление с 19% в сравнение с 2016 г., когато Парламентът получи 1 569 петиции. </w:t>
      </w:r>
    </w:p>
    <w:p w14:paraId="044CE322" w14:textId="77777777" w:rsidR="0033303B" w:rsidRPr="0033303B" w:rsidRDefault="0033303B" w:rsidP="0033303B">
      <w:pPr>
        <w:jc w:val="both"/>
        <w:rPr>
          <w:szCs w:val="24"/>
        </w:rPr>
      </w:pPr>
    </w:p>
    <w:p w14:paraId="14B2430E" w14:textId="77777777" w:rsidR="0033303B" w:rsidRPr="0033303B" w:rsidRDefault="0033303B" w:rsidP="0033303B">
      <w:pPr>
        <w:jc w:val="both"/>
        <w:rPr>
          <w:szCs w:val="24"/>
        </w:rPr>
      </w:pPr>
      <w:r w:rsidRPr="0033303B">
        <w:t>Ползвателите на уеб портала за петиции имат възможност да подкрепят петиции. През 2016 г. 6 132 ползватели са се ангажирали като поддръжници. През 2017 г. 15 540 ползватели на портала са подкрепили една или няколко петиции. Тези цифри показват увеличение със 153%.</w:t>
      </w:r>
    </w:p>
    <w:p w14:paraId="15C3304D" w14:textId="77777777" w:rsidR="0033303B" w:rsidRPr="0033303B" w:rsidRDefault="0033303B" w:rsidP="0033303B">
      <w:pPr>
        <w:spacing w:after="160" w:line="259" w:lineRule="auto"/>
        <w:jc w:val="both"/>
        <w:rPr>
          <w:szCs w:val="24"/>
        </w:rPr>
      </w:pPr>
    </w:p>
    <w:p w14:paraId="7C20C6FF" w14:textId="77777777" w:rsidR="0033303B" w:rsidRPr="0033303B" w:rsidRDefault="0033303B" w:rsidP="0033303B">
      <w:pPr>
        <w:spacing w:after="160" w:line="259" w:lineRule="auto"/>
        <w:jc w:val="center"/>
        <w:rPr>
          <w:b/>
          <w:szCs w:val="24"/>
        </w:rPr>
      </w:pPr>
      <w:r w:rsidRPr="0033303B">
        <w:rPr>
          <w:rFonts w:ascii="Calibri" w:hAnsi="Calibri"/>
          <w:sz w:val="22"/>
          <w:szCs w:val="22"/>
        </w:rPr>
        <w:drawing>
          <wp:inline distT="0" distB="0" distL="0" distR="0" wp14:anchorId="191BF2AD" wp14:editId="60399509">
            <wp:extent cx="5528594" cy="2890630"/>
            <wp:effectExtent l="0" t="0" r="15240" b="5080"/>
            <wp:docPr id="9"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7F1A5A" w14:textId="77777777" w:rsidR="0033303B" w:rsidRPr="0033303B" w:rsidRDefault="0033303B" w:rsidP="0033303B">
      <w:pPr>
        <w:spacing w:after="160" w:line="259" w:lineRule="auto"/>
        <w:jc w:val="both"/>
        <w:rPr>
          <w:szCs w:val="24"/>
        </w:rPr>
      </w:pPr>
    </w:p>
    <w:p w14:paraId="7722AFF4" w14:textId="77777777" w:rsidR="0033303B" w:rsidRPr="0033303B" w:rsidRDefault="0033303B" w:rsidP="0033303B">
      <w:pPr>
        <w:spacing w:after="160" w:line="259" w:lineRule="auto"/>
        <w:jc w:val="both"/>
        <w:rPr>
          <w:szCs w:val="24"/>
        </w:rPr>
      </w:pPr>
      <w:r w:rsidRPr="0033303B">
        <w:t xml:space="preserve">През 2017 г. 67 от подадените петиции бяха подкрепени с допълнителните подписи на един или повече граждани, като 25 от тези петиции бяха съвместно подписани от повече от 100 граждани, а 10 от тях от повече от 10 000 граждани, две от които — от повече от </w:t>
      </w:r>
      <w:r w:rsidRPr="0033303B">
        <w:lastRenderedPageBreak/>
        <w:t>100 000 граждани.</w:t>
      </w:r>
    </w:p>
    <w:p w14:paraId="08C52BDD" w14:textId="77777777" w:rsidR="0033303B" w:rsidRPr="0033303B" w:rsidRDefault="0033303B" w:rsidP="0033303B">
      <w:pPr>
        <w:spacing w:after="160" w:line="259" w:lineRule="auto"/>
        <w:jc w:val="both"/>
        <w:rPr>
          <w:szCs w:val="24"/>
        </w:rPr>
      </w:pPr>
      <w:r w:rsidRPr="0033303B">
        <w:t>Освен това комисията по петиции групира голям брой идентични или много сходни петиции по един и същ въпрос. Комисията получи приблизително 100 еднакви петиции по отношение на злоупотребата със срочни договори в академии за музикални и изящни изкуства в Италия, почти 50 еднакви петиции относно предполагаемата дискриминация на учителите в получастни училища в Италия и почти 100 подобни петиции относно нарушението на свободата на религията за свидетелите на Йехова в Русия. Това групиране доведе до намаляване на общия брой на регистрираните петиции с почти 250.</w:t>
      </w:r>
    </w:p>
    <w:p w14:paraId="0F307975" w14:textId="77777777" w:rsidR="0033303B" w:rsidRPr="0033303B" w:rsidRDefault="0033303B" w:rsidP="0033303B">
      <w:pPr>
        <w:jc w:val="both"/>
        <w:rPr>
          <w:szCs w:val="24"/>
        </w:rPr>
      </w:pPr>
    </w:p>
    <w:p w14:paraId="51B02B82" w14:textId="77777777" w:rsidR="0033303B" w:rsidRPr="0033303B" w:rsidRDefault="0033303B" w:rsidP="0033303B">
      <w:pPr>
        <w:spacing w:after="160" w:line="259" w:lineRule="auto"/>
        <w:jc w:val="both"/>
        <w:rPr>
          <w:b/>
          <w:szCs w:val="24"/>
        </w:rPr>
      </w:pPr>
      <w:r w:rsidRPr="0033303B">
        <w:rPr>
          <w:b/>
          <w:szCs w:val="24"/>
        </w:rPr>
        <w:t>Начин на внасяне на петициите</w:t>
      </w:r>
    </w:p>
    <w:p w14:paraId="6E82084B" w14:textId="77777777" w:rsidR="0033303B" w:rsidRPr="0033303B" w:rsidRDefault="0033303B" w:rsidP="0033303B">
      <w:pPr>
        <w:spacing w:after="160" w:line="259" w:lineRule="auto"/>
        <w:jc w:val="both"/>
        <w:rPr>
          <w:szCs w:val="24"/>
        </w:rPr>
      </w:pPr>
      <w:r w:rsidRPr="0033303B">
        <w:t>Повече от две трети от петициите през 2017 г. бяха подадени чрез портала за петициите. Данните в двете таблици показват, че е имало незначително увеличение (1,1 процентни пункта) на броя на петициите, подадени чрез портала.</w:t>
      </w:r>
    </w:p>
    <w:p w14:paraId="0D851EEF" w14:textId="77777777" w:rsidR="0033303B" w:rsidRPr="0033303B" w:rsidRDefault="0033303B" w:rsidP="0033303B">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303B" w:rsidRPr="0033303B" w14:paraId="2B4FF58F" w14:textId="77777777" w:rsidTr="005B076E">
        <w:tc>
          <w:tcPr>
            <w:tcW w:w="4508" w:type="dxa"/>
          </w:tcPr>
          <w:p w14:paraId="470069B3" w14:textId="77777777" w:rsidR="0033303B" w:rsidRPr="0033303B" w:rsidRDefault="0033303B" w:rsidP="005B076E">
            <w:pPr>
              <w:rPr>
                <w:szCs w:val="24"/>
              </w:rPr>
            </w:pPr>
            <w:r w:rsidRPr="0033303B">
              <w:t>2017</w:t>
            </w:r>
          </w:p>
          <w:p w14:paraId="75E3DEAD" w14:textId="77777777" w:rsidR="0033303B" w:rsidRPr="0033303B" w:rsidRDefault="0033303B" w:rsidP="005B076E">
            <w:pPr>
              <w:rPr>
                <w:szCs w:val="24"/>
              </w:rPr>
            </w:pPr>
          </w:p>
        </w:tc>
        <w:tc>
          <w:tcPr>
            <w:tcW w:w="4508" w:type="dxa"/>
          </w:tcPr>
          <w:p w14:paraId="41E28D35" w14:textId="77777777" w:rsidR="0033303B" w:rsidRPr="0033303B" w:rsidRDefault="0033303B" w:rsidP="005B076E">
            <w:pPr>
              <w:rPr>
                <w:szCs w:val="24"/>
              </w:rPr>
            </w:pPr>
            <w:r w:rsidRPr="0033303B">
              <w:t>2016</w:t>
            </w:r>
          </w:p>
        </w:tc>
      </w:tr>
      <w:tr w:rsidR="0033303B" w:rsidRPr="0033303B" w14:paraId="05E82210" w14:textId="77777777" w:rsidTr="005B076E">
        <w:trPr>
          <w:trHeight w:val="1952"/>
        </w:trPr>
        <w:tc>
          <w:tcPr>
            <w:tcW w:w="4508" w:type="dxa"/>
          </w:tcPr>
          <w:tbl>
            <w:tblPr>
              <w:tblW w:w="3964" w:type="dxa"/>
              <w:tblLook w:val="04A0" w:firstRow="1" w:lastRow="0" w:firstColumn="1" w:lastColumn="0" w:noHBand="0" w:noVBand="1"/>
            </w:tblPr>
            <w:tblGrid>
              <w:gridCol w:w="1540"/>
              <w:gridCol w:w="1716"/>
              <w:gridCol w:w="708"/>
            </w:tblGrid>
            <w:tr w:rsidR="0033303B" w:rsidRPr="0033303B" w14:paraId="776A18B4" w14:textId="77777777" w:rsidTr="005B076E">
              <w:trPr>
                <w:trHeight w:val="360"/>
              </w:trPr>
              <w:tc>
                <w:tcPr>
                  <w:tcW w:w="1540" w:type="dxa"/>
                  <w:tcBorders>
                    <w:top w:val="single" w:sz="4" w:space="0" w:color="CCCCFF"/>
                    <w:left w:val="single" w:sz="4" w:space="0" w:color="CCCCFF"/>
                    <w:bottom w:val="single" w:sz="4" w:space="0" w:color="CCCCFF"/>
                    <w:right w:val="single" w:sz="4" w:space="0" w:color="CCCCFF"/>
                  </w:tcBorders>
                  <w:shd w:val="clear" w:color="auto" w:fill="666699"/>
                  <w:noWrap/>
                  <w:vAlign w:val="bottom"/>
                  <w:hideMark/>
                </w:tcPr>
                <w:p w14:paraId="358C377B" w14:textId="77777777" w:rsidR="0033303B" w:rsidRPr="0033303B" w:rsidRDefault="0033303B" w:rsidP="005B076E">
                  <w:pPr>
                    <w:jc w:val="center"/>
                    <w:rPr>
                      <w:b/>
                      <w:bCs/>
                      <w:color w:val="FFFFFF"/>
                      <w:szCs w:val="24"/>
                    </w:rPr>
                  </w:pPr>
                  <w:r w:rsidRPr="0033303B">
                    <w:rPr>
                      <w:b/>
                      <w:bCs/>
                      <w:color w:val="FFFFFF"/>
                      <w:szCs w:val="24"/>
                    </w:rPr>
                    <w:t>Формат на петицията</w:t>
                  </w:r>
                </w:p>
              </w:tc>
              <w:tc>
                <w:tcPr>
                  <w:tcW w:w="1716" w:type="dxa"/>
                  <w:tcBorders>
                    <w:top w:val="single" w:sz="4" w:space="0" w:color="CCCCFF"/>
                    <w:left w:val="nil"/>
                    <w:bottom w:val="single" w:sz="4" w:space="0" w:color="CCCCFF"/>
                    <w:right w:val="single" w:sz="4" w:space="0" w:color="CCCCFF"/>
                  </w:tcBorders>
                  <w:shd w:val="clear" w:color="auto" w:fill="666699"/>
                  <w:noWrap/>
                  <w:vAlign w:val="bottom"/>
                  <w:hideMark/>
                </w:tcPr>
                <w:p w14:paraId="5F393CED" w14:textId="77777777" w:rsidR="0033303B" w:rsidRPr="0033303B" w:rsidRDefault="0033303B" w:rsidP="005B076E">
                  <w:pPr>
                    <w:rPr>
                      <w:b/>
                      <w:bCs/>
                      <w:color w:val="FFFFFF"/>
                      <w:szCs w:val="24"/>
                    </w:rPr>
                  </w:pPr>
                  <w:r w:rsidRPr="0033303B">
                    <w:rPr>
                      <w:b/>
                      <w:bCs/>
                      <w:color w:val="FFFFFF"/>
                      <w:szCs w:val="24"/>
                    </w:rPr>
                    <w:t>Брой на петициите</w:t>
                  </w:r>
                </w:p>
              </w:tc>
              <w:tc>
                <w:tcPr>
                  <w:tcW w:w="708" w:type="dxa"/>
                  <w:tcBorders>
                    <w:top w:val="single" w:sz="4" w:space="0" w:color="CCCCFF"/>
                    <w:left w:val="nil"/>
                    <w:bottom w:val="single" w:sz="4" w:space="0" w:color="CCCCFF"/>
                    <w:right w:val="single" w:sz="4" w:space="0" w:color="CCCCFF"/>
                  </w:tcBorders>
                  <w:shd w:val="clear" w:color="auto" w:fill="666699"/>
                  <w:noWrap/>
                  <w:vAlign w:val="bottom"/>
                  <w:hideMark/>
                </w:tcPr>
                <w:p w14:paraId="31E348BC"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0CC372BE"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auto" w:fill="FFFFFF"/>
                  <w:noWrap/>
                  <w:vAlign w:val="bottom"/>
                  <w:hideMark/>
                </w:tcPr>
                <w:p w14:paraId="3C42AB60" w14:textId="77777777" w:rsidR="0033303B" w:rsidRPr="0033303B" w:rsidRDefault="0033303B" w:rsidP="005B076E">
                  <w:pPr>
                    <w:jc w:val="center"/>
                    <w:rPr>
                      <w:color w:val="000000"/>
                      <w:szCs w:val="24"/>
                    </w:rPr>
                  </w:pPr>
                  <w:r w:rsidRPr="0033303B">
                    <w:rPr>
                      <w:color w:val="000000"/>
                      <w:szCs w:val="24"/>
                    </w:rPr>
                    <w:t>Портал за петиции</w:t>
                  </w:r>
                </w:p>
              </w:tc>
              <w:tc>
                <w:tcPr>
                  <w:tcW w:w="1716" w:type="dxa"/>
                  <w:tcBorders>
                    <w:top w:val="nil"/>
                    <w:left w:val="nil"/>
                    <w:bottom w:val="single" w:sz="4" w:space="0" w:color="CCCCFF"/>
                    <w:right w:val="single" w:sz="4" w:space="0" w:color="CCCCFF"/>
                  </w:tcBorders>
                  <w:shd w:val="clear" w:color="auto" w:fill="FFFFFF"/>
                  <w:noWrap/>
                  <w:vAlign w:val="bottom"/>
                  <w:hideMark/>
                </w:tcPr>
                <w:p w14:paraId="64B5509F" w14:textId="77777777" w:rsidR="0033303B" w:rsidRPr="0033303B" w:rsidRDefault="0033303B" w:rsidP="005B076E">
                  <w:pPr>
                    <w:jc w:val="right"/>
                    <w:rPr>
                      <w:color w:val="000000"/>
                      <w:szCs w:val="24"/>
                    </w:rPr>
                  </w:pPr>
                  <w:r w:rsidRPr="0033303B">
                    <w:rPr>
                      <w:color w:val="000000"/>
                      <w:szCs w:val="24"/>
                    </w:rPr>
                    <w:t>878</w:t>
                  </w:r>
                </w:p>
              </w:tc>
              <w:tc>
                <w:tcPr>
                  <w:tcW w:w="708" w:type="dxa"/>
                  <w:tcBorders>
                    <w:top w:val="nil"/>
                    <w:left w:val="nil"/>
                    <w:bottom w:val="single" w:sz="4" w:space="0" w:color="CCCCFF"/>
                    <w:right w:val="single" w:sz="4" w:space="0" w:color="CCCCFF"/>
                  </w:tcBorders>
                  <w:shd w:val="clear" w:color="auto" w:fill="FFFFFF"/>
                  <w:noWrap/>
                  <w:vAlign w:val="bottom"/>
                  <w:hideMark/>
                </w:tcPr>
                <w:p w14:paraId="1AE2E04C" w14:textId="77777777" w:rsidR="0033303B" w:rsidRPr="0033303B" w:rsidRDefault="0033303B" w:rsidP="005B076E">
                  <w:pPr>
                    <w:jc w:val="center"/>
                    <w:rPr>
                      <w:color w:val="000000"/>
                      <w:szCs w:val="24"/>
                    </w:rPr>
                  </w:pPr>
                  <w:r w:rsidRPr="0033303B">
                    <w:rPr>
                      <w:color w:val="000000"/>
                      <w:szCs w:val="24"/>
                    </w:rPr>
                    <w:t>69.1</w:t>
                  </w:r>
                </w:p>
              </w:tc>
            </w:tr>
            <w:tr w:rsidR="0033303B" w:rsidRPr="0033303B" w14:paraId="2E219669"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auto" w:fill="FFFFFF"/>
                  <w:noWrap/>
                  <w:vAlign w:val="bottom"/>
                  <w:hideMark/>
                </w:tcPr>
                <w:p w14:paraId="4115A02A" w14:textId="77777777" w:rsidR="0033303B" w:rsidRPr="0033303B" w:rsidRDefault="0033303B" w:rsidP="005B076E">
                  <w:pPr>
                    <w:jc w:val="center"/>
                    <w:rPr>
                      <w:color w:val="000000"/>
                      <w:szCs w:val="24"/>
                    </w:rPr>
                  </w:pPr>
                  <w:r w:rsidRPr="0033303B">
                    <w:rPr>
                      <w:color w:val="000000"/>
                      <w:szCs w:val="24"/>
                    </w:rPr>
                    <w:t>Букви</w:t>
                  </w:r>
                </w:p>
              </w:tc>
              <w:tc>
                <w:tcPr>
                  <w:tcW w:w="1716" w:type="dxa"/>
                  <w:tcBorders>
                    <w:top w:val="nil"/>
                    <w:left w:val="nil"/>
                    <w:bottom w:val="single" w:sz="4" w:space="0" w:color="CCCCFF"/>
                    <w:right w:val="single" w:sz="4" w:space="0" w:color="CCCCFF"/>
                  </w:tcBorders>
                  <w:shd w:val="clear" w:color="auto" w:fill="FFFFFF"/>
                  <w:noWrap/>
                  <w:vAlign w:val="bottom"/>
                  <w:hideMark/>
                </w:tcPr>
                <w:p w14:paraId="75AE4D7C" w14:textId="77777777" w:rsidR="0033303B" w:rsidRPr="0033303B" w:rsidRDefault="0033303B" w:rsidP="005B076E">
                  <w:pPr>
                    <w:jc w:val="right"/>
                    <w:rPr>
                      <w:color w:val="000000"/>
                      <w:szCs w:val="24"/>
                    </w:rPr>
                  </w:pPr>
                  <w:r w:rsidRPr="0033303B">
                    <w:rPr>
                      <w:color w:val="000000"/>
                      <w:szCs w:val="24"/>
                    </w:rPr>
                    <w:t>393</w:t>
                  </w:r>
                </w:p>
              </w:tc>
              <w:tc>
                <w:tcPr>
                  <w:tcW w:w="708" w:type="dxa"/>
                  <w:tcBorders>
                    <w:top w:val="nil"/>
                    <w:left w:val="nil"/>
                    <w:bottom w:val="single" w:sz="4" w:space="0" w:color="CCCCFF"/>
                    <w:right w:val="single" w:sz="4" w:space="0" w:color="CCCCFF"/>
                  </w:tcBorders>
                  <w:shd w:val="clear" w:color="auto" w:fill="FFFFFF"/>
                  <w:noWrap/>
                  <w:vAlign w:val="bottom"/>
                  <w:hideMark/>
                </w:tcPr>
                <w:p w14:paraId="3ADF9345" w14:textId="77777777" w:rsidR="0033303B" w:rsidRPr="0033303B" w:rsidRDefault="0033303B" w:rsidP="005B076E">
                  <w:pPr>
                    <w:jc w:val="center"/>
                    <w:rPr>
                      <w:color w:val="000000"/>
                      <w:szCs w:val="24"/>
                    </w:rPr>
                  </w:pPr>
                  <w:r w:rsidRPr="0033303B">
                    <w:rPr>
                      <w:color w:val="000000"/>
                      <w:szCs w:val="24"/>
                    </w:rPr>
                    <w:t>30.9</w:t>
                  </w:r>
                </w:p>
              </w:tc>
            </w:tr>
          </w:tbl>
          <w:p w14:paraId="5993F38A" w14:textId="77777777" w:rsidR="0033303B" w:rsidRPr="0033303B" w:rsidRDefault="0033303B" w:rsidP="005B076E">
            <w:pPr>
              <w:rPr>
                <w:szCs w:val="24"/>
              </w:rPr>
            </w:pPr>
          </w:p>
        </w:tc>
        <w:tc>
          <w:tcPr>
            <w:tcW w:w="4508" w:type="dxa"/>
          </w:tcPr>
          <w:tbl>
            <w:tblPr>
              <w:tblW w:w="4041" w:type="dxa"/>
              <w:tblLook w:val="04A0" w:firstRow="1" w:lastRow="0" w:firstColumn="1" w:lastColumn="0" w:noHBand="0" w:noVBand="1"/>
            </w:tblPr>
            <w:tblGrid>
              <w:gridCol w:w="1540"/>
              <w:gridCol w:w="1716"/>
              <w:gridCol w:w="785"/>
            </w:tblGrid>
            <w:tr w:rsidR="0033303B" w:rsidRPr="0033303B" w14:paraId="3DB6BCA8" w14:textId="77777777" w:rsidTr="005B076E">
              <w:trPr>
                <w:trHeight w:val="360"/>
              </w:trPr>
              <w:tc>
                <w:tcPr>
                  <w:tcW w:w="1540" w:type="dxa"/>
                  <w:tcBorders>
                    <w:top w:val="single" w:sz="4" w:space="0" w:color="CCCCFF"/>
                    <w:left w:val="single" w:sz="4" w:space="0" w:color="CCCCFF"/>
                    <w:bottom w:val="single" w:sz="4" w:space="0" w:color="CCCCFF"/>
                    <w:right w:val="single" w:sz="4" w:space="0" w:color="CCCCFF"/>
                  </w:tcBorders>
                  <w:shd w:val="clear" w:color="auto" w:fill="666699"/>
                  <w:noWrap/>
                  <w:vAlign w:val="bottom"/>
                  <w:hideMark/>
                </w:tcPr>
                <w:p w14:paraId="1BF2D438" w14:textId="77777777" w:rsidR="0033303B" w:rsidRPr="0033303B" w:rsidRDefault="0033303B" w:rsidP="005B076E">
                  <w:pPr>
                    <w:jc w:val="center"/>
                    <w:rPr>
                      <w:b/>
                      <w:bCs/>
                      <w:color w:val="FFFFFF"/>
                      <w:szCs w:val="24"/>
                    </w:rPr>
                  </w:pPr>
                  <w:r w:rsidRPr="0033303B">
                    <w:rPr>
                      <w:b/>
                      <w:bCs/>
                      <w:color w:val="FFFFFF"/>
                      <w:szCs w:val="24"/>
                    </w:rPr>
                    <w:t>Формат на петицията</w:t>
                  </w:r>
                </w:p>
              </w:tc>
              <w:tc>
                <w:tcPr>
                  <w:tcW w:w="1716" w:type="dxa"/>
                  <w:tcBorders>
                    <w:top w:val="single" w:sz="4" w:space="0" w:color="CCCCFF"/>
                    <w:left w:val="nil"/>
                    <w:bottom w:val="single" w:sz="4" w:space="0" w:color="CCCCFF"/>
                    <w:right w:val="single" w:sz="4" w:space="0" w:color="CCCCFF"/>
                  </w:tcBorders>
                  <w:shd w:val="clear" w:color="auto" w:fill="666699"/>
                  <w:noWrap/>
                  <w:vAlign w:val="bottom"/>
                  <w:hideMark/>
                </w:tcPr>
                <w:p w14:paraId="4DC42F13" w14:textId="77777777" w:rsidR="0033303B" w:rsidRPr="0033303B" w:rsidRDefault="0033303B" w:rsidP="005B076E">
                  <w:pPr>
                    <w:rPr>
                      <w:b/>
                      <w:bCs/>
                      <w:color w:val="FFFFFF"/>
                      <w:szCs w:val="24"/>
                    </w:rPr>
                  </w:pPr>
                  <w:r w:rsidRPr="0033303B">
                    <w:rPr>
                      <w:b/>
                      <w:bCs/>
                      <w:color w:val="FFFFFF"/>
                      <w:szCs w:val="24"/>
                    </w:rPr>
                    <w:t>Брой на петициите</w:t>
                  </w:r>
                </w:p>
              </w:tc>
              <w:tc>
                <w:tcPr>
                  <w:tcW w:w="785" w:type="dxa"/>
                  <w:tcBorders>
                    <w:top w:val="single" w:sz="4" w:space="0" w:color="CCCCFF"/>
                    <w:left w:val="nil"/>
                    <w:bottom w:val="single" w:sz="4" w:space="0" w:color="CCCCFF"/>
                    <w:right w:val="single" w:sz="4" w:space="0" w:color="CCCCFF"/>
                  </w:tcBorders>
                  <w:shd w:val="clear" w:color="auto" w:fill="666699"/>
                  <w:noWrap/>
                  <w:vAlign w:val="bottom"/>
                  <w:hideMark/>
                </w:tcPr>
                <w:p w14:paraId="7A4ED7B9"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7D1BE7DA"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auto" w:fill="FFFFFF"/>
                  <w:noWrap/>
                  <w:vAlign w:val="bottom"/>
                  <w:hideMark/>
                </w:tcPr>
                <w:p w14:paraId="26705AF7" w14:textId="77777777" w:rsidR="0033303B" w:rsidRPr="0033303B" w:rsidRDefault="0033303B" w:rsidP="005B076E">
                  <w:pPr>
                    <w:jc w:val="center"/>
                    <w:rPr>
                      <w:color w:val="000000"/>
                      <w:szCs w:val="24"/>
                    </w:rPr>
                  </w:pPr>
                  <w:r w:rsidRPr="0033303B">
                    <w:rPr>
                      <w:color w:val="000000"/>
                      <w:szCs w:val="24"/>
                    </w:rPr>
                    <w:t>Портал за петиции</w:t>
                  </w:r>
                </w:p>
              </w:tc>
              <w:tc>
                <w:tcPr>
                  <w:tcW w:w="1716" w:type="dxa"/>
                  <w:tcBorders>
                    <w:top w:val="nil"/>
                    <w:left w:val="nil"/>
                    <w:bottom w:val="single" w:sz="4" w:space="0" w:color="CCCCFF"/>
                    <w:right w:val="single" w:sz="4" w:space="0" w:color="CCCCFF"/>
                  </w:tcBorders>
                  <w:shd w:val="clear" w:color="auto" w:fill="FFFFFF"/>
                  <w:noWrap/>
                  <w:vAlign w:val="bottom"/>
                  <w:hideMark/>
                </w:tcPr>
                <w:p w14:paraId="3F5E78B7" w14:textId="77777777" w:rsidR="0033303B" w:rsidRPr="0033303B" w:rsidRDefault="0033303B" w:rsidP="005B076E">
                  <w:pPr>
                    <w:jc w:val="right"/>
                    <w:rPr>
                      <w:color w:val="000000"/>
                      <w:szCs w:val="24"/>
                    </w:rPr>
                  </w:pPr>
                  <w:r w:rsidRPr="0033303B">
                    <w:rPr>
                      <w:color w:val="000000"/>
                      <w:szCs w:val="24"/>
                    </w:rPr>
                    <w:t>878</w:t>
                  </w:r>
                </w:p>
              </w:tc>
              <w:tc>
                <w:tcPr>
                  <w:tcW w:w="785" w:type="dxa"/>
                  <w:tcBorders>
                    <w:top w:val="nil"/>
                    <w:left w:val="nil"/>
                    <w:bottom w:val="single" w:sz="4" w:space="0" w:color="CCCCFF"/>
                    <w:right w:val="single" w:sz="4" w:space="0" w:color="CCCCFF"/>
                  </w:tcBorders>
                  <w:shd w:val="clear" w:color="auto" w:fill="FFFFFF"/>
                  <w:noWrap/>
                  <w:vAlign w:val="bottom"/>
                  <w:hideMark/>
                </w:tcPr>
                <w:p w14:paraId="2649ED28" w14:textId="77777777" w:rsidR="0033303B" w:rsidRPr="0033303B" w:rsidRDefault="0033303B" w:rsidP="005B076E">
                  <w:pPr>
                    <w:jc w:val="center"/>
                    <w:rPr>
                      <w:color w:val="000000"/>
                      <w:szCs w:val="24"/>
                    </w:rPr>
                  </w:pPr>
                  <w:r w:rsidRPr="0033303B">
                    <w:rPr>
                      <w:color w:val="000000"/>
                      <w:szCs w:val="24"/>
                    </w:rPr>
                    <w:t>69.1</w:t>
                  </w:r>
                </w:p>
              </w:tc>
            </w:tr>
            <w:tr w:rsidR="0033303B" w:rsidRPr="0033303B" w14:paraId="6A1D286F"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auto" w:fill="FFFFFF"/>
                  <w:noWrap/>
                  <w:vAlign w:val="bottom"/>
                  <w:hideMark/>
                </w:tcPr>
                <w:p w14:paraId="329A8B9C" w14:textId="77777777" w:rsidR="0033303B" w:rsidRPr="0033303B" w:rsidRDefault="0033303B" w:rsidP="005B076E">
                  <w:pPr>
                    <w:jc w:val="center"/>
                    <w:rPr>
                      <w:color w:val="000000"/>
                      <w:szCs w:val="24"/>
                    </w:rPr>
                  </w:pPr>
                  <w:r w:rsidRPr="0033303B">
                    <w:rPr>
                      <w:color w:val="000000"/>
                      <w:szCs w:val="24"/>
                    </w:rPr>
                    <w:t>Букви</w:t>
                  </w:r>
                </w:p>
              </w:tc>
              <w:tc>
                <w:tcPr>
                  <w:tcW w:w="1716" w:type="dxa"/>
                  <w:tcBorders>
                    <w:top w:val="nil"/>
                    <w:left w:val="nil"/>
                    <w:bottom w:val="single" w:sz="4" w:space="0" w:color="CCCCFF"/>
                    <w:right w:val="single" w:sz="4" w:space="0" w:color="CCCCFF"/>
                  </w:tcBorders>
                  <w:shd w:val="clear" w:color="auto" w:fill="FFFFFF"/>
                  <w:noWrap/>
                  <w:vAlign w:val="bottom"/>
                  <w:hideMark/>
                </w:tcPr>
                <w:p w14:paraId="6DEAAB6C" w14:textId="77777777" w:rsidR="0033303B" w:rsidRPr="0033303B" w:rsidRDefault="0033303B" w:rsidP="005B076E">
                  <w:pPr>
                    <w:jc w:val="right"/>
                    <w:rPr>
                      <w:color w:val="000000"/>
                      <w:szCs w:val="24"/>
                    </w:rPr>
                  </w:pPr>
                  <w:r w:rsidRPr="0033303B">
                    <w:rPr>
                      <w:color w:val="000000"/>
                      <w:szCs w:val="24"/>
                    </w:rPr>
                    <w:t>393</w:t>
                  </w:r>
                </w:p>
              </w:tc>
              <w:tc>
                <w:tcPr>
                  <w:tcW w:w="785" w:type="dxa"/>
                  <w:tcBorders>
                    <w:top w:val="nil"/>
                    <w:left w:val="nil"/>
                    <w:bottom w:val="single" w:sz="4" w:space="0" w:color="CCCCFF"/>
                    <w:right w:val="single" w:sz="4" w:space="0" w:color="CCCCFF"/>
                  </w:tcBorders>
                  <w:shd w:val="clear" w:color="auto" w:fill="FFFFFF"/>
                  <w:noWrap/>
                  <w:vAlign w:val="bottom"/>
                  <w:hideMark/>
                </w:tcPr>
                <w:p w14:paraId="5EBF4093" w14:textId="77777777" w:rsidR="0033303B" w:rsidRPr="0033303B" w:rsidRDefault="0033303B" w:rsidP="005B076E">
                  <w:pPr>
                    <w:jc w:val="center"/>
                    <w:rPr>
                      <w:color w:val="000000"/>
                      <w:szCs w:val="24"/>
                    </w:rPr>
                  </w:pPr>
                  <w:r w:rsidRPr="0033303B">
                    <w:rPr>
                      <w:color w:val="000000"/>
                      <w:szCs w:val="24"/>
                    </w:rPr>
                    <w:t>30.9</w:t>
                  </w:r>
                </w:p>
              </w:tc>
            </w:tr>
          </w:tbl>
          <w:p w14:paraId="7BA50CC7" w14:textId="77777777" w:rsidR="0033303B" w:rsidRPr="0033303B" w:rsidRDefault="0033303B" w:rsidP="005B076E">
            <w:pPr>
              <w:rPr>
                <w:szCs w:val="24"/>
              </w:rPr>
            </w:pPr>
          </w:p>
        </w:tc>
      </w:tr>
      <w:tr w:rsidR="0033303B" w:rsidRPr="0033303B" w14:paraId="0BF80656" w14:textId="77777777" w:rsidTr="005B076E">
        <w:trPr>
          <w:trHeight w:val="4397"/>
        </w:trPr>
        <w:tc>
          <w:tcPr>
            <w:tcW w:w="4508" w:type="dxa"/>
          </w:tcPr>
          <w:p w14:paraId="356F655A" w14:textId="77777777" w:rsidR="0033303B" w:rsidRPr="0033303B" w:rsidRDefault="0033303B" w:rsidP="005B076E">
            <w:pPr>
              <w:rPr>
                <w:szCs w:val="24"/>
              </w:rPr>
            </w:pPr>
          </w:p>
          <w:p w14:paraId="0D90079D" w14:textId="77777777" w:rsidR="0033303B" w:rsidRPr="0033303B" w:rsidRDefault="0033303B" w:rsidP="005B076E">
            <w:pPr>
              <w:rPr>
                <w:szCs w:val="24"/>
              </w:rPr>
            </w:pPr>
            <w:r w:rsidRPr="0033303B">
              <w:drawing>
                <wp:inline distT="0" distB="0" distL="0" distR="0" wp14:anchorId="1C177155" wp14:editId="4A639568">
                  <wp:extent cx="2553970" cy="2280920"/>
                  <wp:effectExtent l="0" t="0" r="0" b="0"/>
                  <wp:docPr id="13"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3970" cy="2280920"/>
                          </a:xfrm>
                          <a:prstGeom prst="rect">
                            <a:avLst/>
                          </a:prstGeom>
                          <a:noFill/>
                          <a:ln>
                            <a:noFill/>
                          </a:ln>
                        </pic:spPr>
                      </pic:pic>
                    </a:graphicData>
                  </a:graphic>
                </wp:inline>
              </w:drawing>
            </w:r>
          </w:p>
        </w:tc>
        <w:tc>
          <w:tcPr>
            <w:tcW w:w="4508" w:type="dxa"/>
          </w:tcPr>
          <w:p w14:paraId="6980C44F" w14:textId="77777777" w:rsidR="0033303B" w:rsidRPr="0033303B" w:rsidRDefault="0033303B" w:rsidP="005B076E">
            <w:pPr>
              <w:rPr>
                <w:szCs w:val="24"/>
              </w:rPr>
            </w:pPr>
            <w:r w:rsidRPr="0033303B">
              <w:rPr>
                <w:rFonts w:ascii="Calibri" w:hAnsi="Calibri"/>
                <w:sz w:val="22"/>
                <w:szCs w:val="22"/>
              </w:rPr>
              <w:drawing>
                <wp:anchor distT="0" distB="0" distL="114300" distR="114300" simplePos="0" relativeHeight="251664384" behindDoc="0" locked="0" layoutInCell="1" allowOverlap="1" wp14:anchorId="69679437" wp14:editId="45ADEF3A">
                  <wp:simplePos x="0" y="0"/>
                  <wp:positionH relativeFrom="column">
                    <wp:posOffset>635</wp:posOffset>
                  </wp:positionH>
                  <wp:positionV relativeFrom="paragraph">
                    <wp:posOffset>189865</wp:posOffset>
                  </wp:positionV>
                  <wp:extent cx="2553970" cy="2255520"/>
                  <wp:effectExtent l="0" t="0" r="0" b="0"/>
                  <wp:wrapSquare wrapText="bothSides"/>
                  <wp:docPr id="15"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bl>
    <w:p w14:paraId="4517B97B" w14:textId="77777777" w:rsidR="0033303B" w:rsidRPr="0033303B" w:rsidRDefault="0033303B" w:rsidP="0033303B">
      <w:pPr>
        <w:spacing w:after="160" w:line="259" w:lineRule="auto"/>
        <w:rPr>
          <w:b/>
          <w:szCs w:val="24"/>
        </w:rPr>
      </w:pPr>
      <w:r w:rsidRPr="0033303B">
        <w:rPr>
          <w:b/>
          <w:szCs w:val="24"/>
        </w:rPr>
        <w:t>Статус на петициите за календарна година</w:t>
      </w:r>
    </w:p>
    <w:p w14:paraId="3A336BEA" w14:textId="77777777" w:rsidR="0033303B" w:rsidRPr="0033303B" w:rsidRDefault="0033303B" w:rsidP="0033303B">
      <w:pPr>
        <w:spacing w:after="160" w:line="259" w:lineRule="auto"/>
        <w:jc w:val="both"/>
        <w:rPr>
          <w:szCs w:val="24"/>
        </w:rPr>
      </w:pPr>
      <w:r w:rsidRPr="0033303B">
        <w:t xml:space="preserve">Таблицата по-долу показва статуса на петициите от 2002 г. до 2017 г. Вижда се, че разглеждането на по-голямата част от петициите приключва в рамките на една година от подаването им. Под 1/10 от петициите остават неприключени повече от четири </w:t>
      </w:r>
      <w:r w:rsidRPr="0033303B">
        <w:lastRenderedPageBreak/>
        <w:t>години, а някои специфични петиции са останали неприключени повече от десет години (шест петиции от 2006 г., три петиции от 2005 г. и 2004 г.). Повечето от тези висящи петиции са свързани с въпроси на околната среда и текущи производства за установяване на нарушение на задължение на държава членка пред Съда на Европейския съюз или с въпроси, които членовете на комисията желаят да следят отблизо.</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473"/>
        <w:gridCol w:w="1275"/>
        <w:gridCol w:w="1697"/>
        <w:gridCol w:w="1417"/>
        <w:gridCol w:w="1985"/>
      </w:tblGrid>
      <w:tr w:rsidR="0033303B" w:rsidRPr="0033303B" w14:paraId="1644D4C8" w14:textId="77777777" w:rsidTr="005B076E">
        <w:trPr>
          <w:jc w:val="center"/>
        </w:trPr>
        <w:tc>
          <w:tcPr>
            <w:tcW w:w="8784" w:type="dxa"/>
            <w:gridSpan w:val="6"/>
            <w:tcBorders>
              <w:top w:val="single" w:sz="4" w:space="0" w:color="auto"/>
              <w:left w:val="single" w:sz="4" w:space="0" w:color="auto"/>
              <w:bottom w:val="single" w:sz="4" w:space="0" w:color="auto"/>
              <w:right w:val="single" w:sz="4" w:space="0" w:color="auto"/>
            </w:tcBorders>
          </w:tcPr>
          <w:p w14:paraId="61BFCDBE" w14:textId="77777777" w:rsidR="0033303B" w:rsidRPr="0033303B" w:rsidRDefault="0033303B" w:rsidP="005B076E">
            <w:pPr>
              <w:ind w:right="1470"/>
              <w:jc w:val="center"/>
              <w:rPr>
                <w:snapToGrid w:val="0"/>
                <w:szCs w:val="24"/>
              </w:rPr>
            </w:pPr>
            <w:r w:rsidRPr="0033303B">
              <w:br w:type="page"/>
            </w:r>
            <w:r w:rsidRPr="0033303B">
              <w:rPr>
                <w:b/>
                <w:szCs w:val="24"/>
              </w:rPr>
              <w:t>Статус на петициите</w:t>
            </w:r>
          </w:p>
        </w:tc>
      </w:tr>
      <w:tr w:rsidR="0033303B" w:rsidRPr="0033303B" w14:paraId="5582169E"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69A3BF91" w14:textId="77777777" w:rsidR="0033303B" w:rsidRPr="0033303B" w:rsidRDefault="0033303B" w:rsidP="005B076E">
            <w:pPr>
              <w:jc w:val="center"/>
              <w:rPr>
                <w:snapToGrid w:val="0"/>
                <w:szCs w:val="24"/>
              </w:rPr>
            </w:pPr>
            <w:r w:rsidRPr="0033303B">
              <w:rPr>
                <w:b/>
                <w:szCs w:val="24"/>
              </w:rPr>
              <w:t>Година</w:t>
            </w:r>
          </w:p>
        </w:tc>
        <w:tc>
          <w:tcPr>
            <w:tcW w:w="1473" w:type="dxa"/>
            <w:tcBorders>
              <w:top w:val="single" w:sz="4" w:space="0" w:color="auto"/>
              <w:left w:val="single" w:sz="4" w:space="0" w:color="auto"/>
              <w:bottom w:val="single" w:sz="4" w:space="0" w:color="auto"/>
              <w:right w:val="single" w:sz="4" w:space="0" w:color="auto"/>
            </w:tcBorders>
          </w:tcPr>
          <w:p w14:paraId="49F8FF62" w14:textId="77777777" w:rsidR="0033303B" w:rsidRPr="0033303B" w:rsidRDefault="0033303B" w:rsidP="005B076E">
            <w:pPr>
              <w:jc w:val="center"/>
              <w:rPr>
                <w:b/>
                <w:szCs w:val="24"/>
              </w:rPr>
            </w:pPr>
            <w:r w:rsidRPr="0033303B">
              <w:rPr>
                <w:b/>
                <w:szCs w:val="24"/>
              </w:rPr>
              <w:t>Брой на петициите</w:t>
            </w:r>
          </w:p>
        </w:tc>
        <w:tc>
          <w:tcPr>
            <w:tcW w:w="2972" w:type="dxa"/>
            <w:gridSpan w:val="2"/>
            <w:tcBorders>
              <w:top w:val="single" w:sz="4" w:space="0" w:color="auto"/>
              <w:left w:val="single" w:sz="4" w:space="0" w:color="auto"/>
              <w:bottom w:val="single" w:sz="4" w:space="0" w:color="auto"/>
              <w:right w:val="single" w:sz="4" w:space="0" w:color="auto"/>
            </w:tcBorders>
            <w:hideMark/>
          </w:tcPr>
          <w:p w14:paraId="706A270B" w14:textId="77777777" w:rsidR="0033303B" w:rsidRPr="0033303B" w:rsidRDefault="0033303B" w:rsidP="005B076E">
            <w:pPr>
              <w:jc w:val="center"/>
              <w:rPr>
                <w:snapToGrid w:val="0"/>
                <w:szCs w:val="24"/>
              </w:rPr>
            </w:pPr>
            <w:r w:rsidRPr="0033303B">
              <w:rPr>
                <w:b/>
                <w:szCs w:val="24"/>
              </w:rPr>
              <w:t>Открита процедура</w:t>
            </w:r>
          </w:p>
        </w:tc>
        <w:tc>
          <w:tcPr>
            <w:tcW w:w="3402" w:type="dxa"/>
            <w:gridSpan w:val="2"/>
            <w:tcBorders>
              <w:top w:val="single" w:sz="4" w:space="0" w:color="auto"/>
              <w:left w:val="single" w:sz="4" w:space="0" w:color="auto"/>
              <w:bottom w:val="single" w:sz="4" w:space="0" w:color="auto"/>
              <w:right w:val="single" w:sz="4" w:space="0" w:color="auto"/>
            </w:tcBorders>
            <w:hideMark/>
          </w:tcPr>
          <w:p w14:paraId="3368C609" w14:textId="77777777" w:rsidR="0033303B" w:rsidRPr="0033303B" w:rsidRDefault="0033303B" w:rsidP="005B076E">
            <w:pPr>
              <w:jc w:val="center"/>
              <w:rPr>
                <w:snapToGrid w:val="0"/>
                <w:szCs w:val="24"/>
              </w:rPr>
            </w:pPr>
            <w:r w:rsidRPr="0033303B">
              <w:rPr>
                <w:b/>
                <w:szCs w:val="24"/>
              </w:rPr>
              <w:t>Приключена процедура</w:t>
            </w:r>
          </w:p>
        </w:tc>
      </w:tr>
      <w:tr w:rsidR="0033303B" w:rsidRPr="0033303B" w14:paraId="7B7868CC"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tcPr>
          <w:p w14:paraId="7AAA92F2" w14:textId="77777777" w:rsidR="0033303B" w:rsidRPr="0033303B" w:rsidRDefault="0033303B" w:rsidP="005B076E">
            <w:pPr>
              <w:jc w:val="center"/>
              <w:rPr>
                <w:szCs w:val="24"/>
              </w:rPr>
            </w:pPr>
            <w:r w:rsidRPr="0033303B">
              <w:t>2017</w:t>
            </w:r>
          </w:p>
        </w:tc>
        <w:tc>
          <w:tcPr>
            <w:tcW w:w="1473" w:type="dxa"/>
            <w:tcBorders>
              <w:top w:val="single" w:sz="4" w:space="0" w:color="auto"/>
              <w:left w:val="single" w:sz="4" w:space="0" w:color="auto"/>
              <w:bottom w:val="single" w:sz="4" w:space="0" w:color="auto"/>
              <w:right w:val="single" w:sz="4" w:space="0" w:color="auto"/>
            </w:tcBorders>
          </w:tcPr>
          <w:p w14:paraId="7CD44F29" w14:textId="77777777" w:rsidR="0033303B" w:rsidRPr="0033303B" w:rsidRDefault="0033303B" w:rsidP="005B076E">
            <w:pPr>
              <w:jc w:val="right"/>
              <w:rPr>
                <w:szCs w:val="24"/>
              </w:rPr>
            </w:pPr>
            <w:r w:rsidRPr="0033303B">
              <w:t>1 271</w:t>
            </w:r>
          </w:p>
        </w:tc>
        <w:tc>
          <w:tcPr>
            <w:tcW w:w="1275" w:type="dxa"/>
            <w:tcBorders>
              <w:top w:val="single" w:sz="4" w:space="0" w:color="auto"/>
              <w:left w:val="single" w:sz="4" w:space="0" w:color="auto"/>
              <w:bottom w:val="single" w:sz="4" w:space="0" w:color="auto"/>
              <w:right w:val="single" w:sz="4" w:space="0" w:color="auto"/>
            </w:tcBorders>
          </w:tcPr>
          <w:p w14:paraId="77EDE4D5" w14:textId="77777777" w:rsidR="0033303B" w:rsidRPr="0033303B" w:rsidRDefault="0033303B" w:rsidP="005B076E">
            <w:pPr>
              <w:jc w:val="right"/>
              <w:rPr>
                <w:szCs w:val="24"/>
              </w:rPr>
            </w:pPr>
            <w:r w:rsidRPr="0033303B">
              <w:t>393</w:t>
            </w:r>
          </w:p>
        </w:tc>
        <w:tc>
          <w:tcPr>
            <w:tcW w:w="1697" w:type="dxa"/>
            <w:tcBorders>
              <w:top w:val="single" w:sz="4" w:space="0" w:color="auto"/>
              <w:left w:val="single" w:sz="4" w:space="0" w:color="auto"/>
              <w:bottom w:val="single" w:sz="4" w:space="0" w:color="auto"/>
              <w:right w:val="single" w:sz="4" w:space="0" w:color="auto"/>
            </w:tcBorders>
          </w:tcPr>
          <w:p w14:paraId="7C70B2D7" w14:textId="77777777" w:rsidR="0033303B" w:rsidRPr="0033303B" w:rsidRDefault="0033303B" w:rsidP="005B076E">
            <w:pPr>
              <w:jc w:val="right"/>
              <w:rPr>
                <w:szCs w:val="24"/>
              </w:rPr>
            </w:pPr>
            <w:r w:rsidRPr="0033303B">
              <w:t>30.9 %</w:t>
            </w:r>
          </w:p>
        </w:tc>
        <w:tc>
          <w:tcPr>
            <w:tcW w:w="1417" w:type="dxa"/>
            <w:tcBorders>
              <w:top w:val="single" w:sz="4" w:space="0" w:color="auto"/>
              <w:left w:val="single" w:sz="4" w:space="0" w:color="auto"/>
              <w:bottom w:val="single" w:sz="4" w:space="0" w:color="auto"/>
              <w:right w:val="single" w:sz="4" w:space="0" w:color="auto"/>
            </w:tcBorders>
          </w:tcPr>
          <w:p w14:paraId="0A89DEDD" w14:textId="77777777" w:rsidR="0033303B" w:rsidRPr="0033303B" w:rsidRDefault="0033303B" w:rsidP="005B076E">
            <w:pPr>
              <w:jc w:val="right"/>
              <w:rPr>
                <w:szCs w:val="24"/>
              </w:rPr>
            </w:pPr>
            <w:r w:rsidRPr="0033303B">
              <w:t>878</w:t>
            </w:r>
          </w:p>
        </w:tc>
        <w:tc>
          <w:tcPr>
            <w:tcW w:w="1985" w:type="dxa"/>
            <w:tcBorders>
              <w:top w:val="single" w:sz="4" w:space="0" w:color="auto"/>
              <w:left w:val="single" w:sz="4" w:space="0" w:color="auto"/>
              <w:bottom w:val="single" w:sz="4" w:space="0" w:color="auto"/>
              <w:right w:val="single" w:sz="4" w:space="0" w:color="auto"/>
            </w:tcBorders>
          </w:tcPr>
          <w:p w14:paraId="66378865" w14:textId="77777777" w:rsidR="0033303B" w:rsidRPr="0033303B" w:rsidRDefault="0033303B" w:rsidP="005B076E">
            <w:pPr>
              <w:jc w:val="right"/>
              <w:rPr>
                <w:szCs w:val="24"/>
              </w:rPr>
            </w:pPr>
            <w:r w:rsidRPr="0033303B">
              <w:t>69.1 %</w:t>
            </w:r>
          </w:p>
        </w:tc>
      </w:tr>
      <w:tr w:rsidR="0033303B" w:rsidRPr="0033303B" w14:paraId="2CBA2816"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tcPr>
          <w:p w14:paraId="55595FB5" w14:textId="77777777" w:rsidR="0033303B" w:rsidRPr="0033303B" w:rsidRDefault="0033303B" w:rsidP="005B076E">
            <w:pPr>
              <w:jc w:val="center"/>
              <w:rPr>
                <w:szCs w:val="24"/>
              </w:rPr>
            </w:pPr>
            <w:r w:rsidRPr="0033303B">
              <w:t>2016</w:t>
            </w:r>
          </w:p>
        </w:tc>
        <w:tc>
          <w:tcPr>
            <w:tcW w:w="1473" w:type="dxa"/>
            <w:tcBorders>
              <w:top w:val="single" w:sz="4" w:space="0" w:color="auto"/>
              <w:left w:val="single" w:sz="4" w:space="0" w:color="auto"/>
              <w:bottom w:val="single" w:sz="4" w:space="0" w:color="auto"/>
              <w:right w:val="single" w:sz="4" w:space="0" w:color="auto"/>
            </w:tcBorders>
          </w:tcPr>
          <w:p w14:paraId="60B9777F" w14:textId="77777777" w:rsidR="0033303B" w:rsidRPr="0033303B" w:rsidRDefault="0033303B" w:rsidP="005B076E">
            <w:pPr>
              <w:jc w:val="right"/>
              <w:rPr>
                <w:szCs w:val="24"/>
              </w:rPr>
            </w:pPr>
            <w:r w:rsidRPr="0033303B">
              <w:t>1 569</w:t>
            </w:r>
          </w:p>
        </w:tc>
        <w:tc>
          <w:tcPr>
            <w:tcW w:w="1275" w:type="dxa"/>
            <w:tcBorders>
              <w:top w:val="single" w:sz="4" w:space="0" w:color="auto"/>
              <w:left w:val="single" w:sz="4" w:space="0" w:color="auto"/>
              <w:bottom w:val="single" w:sz="4" w:space="0" w:color="auto"/>
              <w:right w:val="single" w:sz="4" w:space="0" w:color="auto"/>
            </w:tcBorders>
          </w:tcPr>
          <w:p w14:paraId="462A2DAF" w14:textId="77777777" w:rsidR="0033303B" w:rsidRPr="0033303B" w:rsidRDefault="0033303B" w:rsidP="005B076E">
            <w:pPr>
              <w:jc w:val="right"/>
              <w:rPr>
                <w:szCs w:val="24"/>
              </w:rPr>
            </w:pPr>
            <w:r w:rsidRPr="0033303B">
              <w:t>528</w:t>
            </w:r>
          </w:p>
        </w:tc>
        <w:tc>
          <w:tcPr>
            <w:tcW w:w="1697" w:type="dxa"/>
            <w:tcBorders>
              <w:top w:val="single" w:sz="4" w:space="0" w:color="auto"/>
              <w:left w:val="single" w:sz="4" w:space="0" w:color="auto"/>
              <w:bottom w:val="single" w:sz="4" w:space="0" w:color="auto"/>
              <w:right w:val="single" w:sz="4" w:space="0" w:color="auto"/>
            </w:tcBorders>
          </w:tcPr>
          <w:p w14:paraId="5B2777A7" w14:textId="77777777" w:rsidR="0033303B" w:rsidRPr="0033303B" w:rsidRDefault="0033303B" w:rsidP="005B076E">
            <w:pPr>
              <w:jc w:val="right"/>
              <w:rPr>
                <w:szCs w:val="24"/>
              </w:rPr>
            </w:pPr>
            <w:r w:rsidRPr="0033303B">
              <w:t>33.7 %</w:t>
            </w:r>
          </w:p>
        </w:tc>
        <w:tc>
          <w:tcPr>
            <w:tcW w:w="1417" w:type="dxa"/>
            <w:tcBorders>
              <w:top w:val="single" w:sz="4" w:space="0" w:color="auto"/>
              <w:left w:val="single" w:sz="4" w:space="0" w:color="auto"/>
              <w:bottom w:val="single" w:sz="4" w:space="0" w:color="auto"/>
              <w:right w:val="single" w:sz="4" w:space="0" w:color="auto"/>
            </w:tcBorders>
          </w:tcPr>
          <w:p w14:paraId="14261CC9" w14:textId="77777777" w:rsidR="0033303B" w:rsidRPr="0033303B" w:rsidRDefault="0033303B" w:rsidP="005B076E">
            <w:pPr>
              <w:jc w:val="right"/>
              <w:rPr>
                <w:szCs w:val="24"/>
              </w:rPr>
            </w:pPr>
            <w:r w:rsidRPr="0033303B">
              <w:t>1 041</w:t>
            </w:r>
          </w:p>
        </w:tc>
        <w:tc>
          <w:tcPr>
            <w:tcW w:w="1985" w:type="dxa"/>
            <w:tcBorders>
              <w:top w:val="single" w:sz="4" w:space="0" w:color="auto"/>
              <w:left w:val="single" w:sz="4" w:space="0" w:color="auto"/>
              <w:bottom w:val="single" w:sz="4" w:space="0" w:color="auto"/>
              <w:right w:val="single" w:sz="4" w:space="0" w:color="auto"/>
            </w:tcBorders>
          </w:tcPr>
          <w:p w14:paraId="152AF9B4" w14:textId="77777777" w:rsidR="0033303B" w:rsidRPr="0033303B" w:rsidRDefault="0033303B" w:rsidP="005B076E">
            <w:pPr>
              <w:jc w:val="right"/>
              <w:rPr>
                <w:szCs w:val="24"/>
              </w:rPr>
            </w:pPr>
            <w:r w:rsidRPr="0033303B">
              <w:t>66.3 %</w:t>
            </w:r>
          </w:p>
        </w:tc>
      </w:tr>
      <w:tr w:rsidR="0033303B" w:rsidRPr="0033303B" w14:paraId="48BD873C"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7CA0A895" w14:textId="77777777" w:rsidR="0033303B" w:rsidRPr="0033303B" w:rsidRDefault="0033303B" w:rsidP="005B076E">
            <w:pPr>
              <w:jc w:val="center"/>
              <w:rPr>
                <w:szCs w:val="24"/>
              </w:rPr>
            </w:pPr>
            <w:r w:rsidRPr="0033303B">
              <w:t>2015</w:t>
            </w:r>
          </w:p>
        </w:tc>
        <w:tc>
          <w:tcPr>
            <w:tcW w:w="1473" w:type="dxa"/>
            <w:tcBorders>
              <w:top w:val="single" w:sz="4" w:space="0" w:color="auto"/>
              <w:left w:val="single" w:sz="4" w:space="0" w:color="auto"/>
              <w:bottom w:val="single" w:sz="4" w:space="0" w:color="auto"/>
              <w:right w:val="single" w:sz="4" w:space="0" w:color="auto"/>
            </w:tcBorders>
          </w:tcPr>
          <w:p w14:paraId="3A705F1B" w14:textId="77777777" w:rsidR="0033303B" w:rsidRPr="0033303B" w:rsidRDefault="0033303B" w:rsidP="005B076E">
            <w:pPr>
              <w:jc w:val="right"/>
              <w:rPr>
                <w:szCs w:val="24"/>
              </w:rPr>
            </w:pPr>
            <w:r w:rsidRPr="0033303B">
              <w:t>1 431</w:t>
            </w:r>
          </w:p>
        </w:tc>
        <w:tc>
          <w:tcPr>
            <w:tcW w:w="1275" w:type="dxa"/>
            <w:tcBorders>
              <w:top w:val="single" w:sz="4" w:space="0" w:color="auto"/>
              <w:left w:val="single" w:sz="4" w:space="0" w:color="auto"/>
              <w:bottom w:val="single" w:sz="4" w:space="0" w:color="auto"/>
              <w:right w:val="single" w:sz="4" w:space="0" w:color="auto"/>
            </w:tcBorders>
            <w:hideMark/>
          </w:tcPr>
          <w:p w14:paraId="03FD55C5" w14:textId="77777777" w:rsidR="0033303B" w:rsidRPr="0033303B" w:rsidRDefault="0033303B" w:rsidP="005B076E">
            <w:pPr>
              <w:jc w:val="right"/>
              <w:rPr>
                <w:szCs w:val="24"/>
              </w:rPr>
            </w:pPr>
            <w:r w:rsidRPr="0033303B">
              <w:t>211</w:t>
            </w:r>
          </w:p>
        </w:tc>
        <w:tc>
          <w:tcPr>
            <w:tcW w:w="1697" w:type="dxa"/>
            <w:tcBorders>
              <w:top w:val="single" w:sz="4" w:space="0" w:color="auto"/>
              <w:left w:val="single" w:sz="4" w:space="0" w:color="auto"/>
              <w:bottom w:val="single" w:sz="4" w:space="0" w:color="auto"/>
              <w:right w:val="single" w:sz="4" w:space="0" w:color="auto"/>
            </w:tcBorders>
            <w:hideMark/>
          </w:tcPr>
          <w:p w14:paraId="28D01A92" w14:textId="77777777" w:rsidR="0033303B" w:rsidRPr="0033303B" w:rsidRDefault="0033303B" w:rsidP="005B076E">
            <w:pPr>
              <w:jc w:val="right"/>
              <w:rPr>
                <w:szCs w:val="24"/>
              </w:rPr>
            </w:pPr>
            <w:r w:rsidRPr="0033303B">
              <w:t>14.7 %</w:t>
            </w:r>
          </w:p>
        </w:tc>
        <w:tc>
          <w:tcPr>
            <w:tcW w:w="1417" w:type="dxa"/>
            <w:tcBorders>
              <w:top w:val="single" w:sz="4" w:space="0" w:color="auto"/>
              <w:left w:val="single" w:sz="4" w:space="0" w:color="auto"/>
              <w:bottom w:val="single" w:sz="4" w:space="0" w:color="auto"/>
              <w:right w:val="single" w:sz="4" w:space="0" w:color="auto"/>
            </w:tcBorders>
            <w:hideMark/>
          </w:tcPr>
          <w:p w14:paraId="529808C3" w14:textId="77777777" w:rsidR="0033303B" w:rsidRPr="0033303B" w:rsidRDefault="0033303B" w:rsidP="005B076E">
            <w:pPr>
              <w:jc w:val="right"/>
              <w:rPr>
                <w:szCs w:val="24"/>
              </w:rPr>
            </w:pPr>
            <w:r w:rsidRPr="0033303B">
              <w:t>1 220</w:t>
            </w:r>
          </w:p>
        </w:tc>
        <w:tc>
          <w:tcPr>
            <w:tcW w:w="1985" w:type="dxa"/>
            <w:tcBorders>
              <w:top w:val="single" w:sz="4" w:space="0" w:color="auto"/>
              <w:left w:val="single" w:sz="4" w:space="0" w:color="auto"/>
              <w:bottom w:val="single" w:sz="4" w:space="0" w:color="auto"/>
              <w:right w:val="single" w:sz="4" w:space="0" w:color="auto"/>
            </w:tcBorders>
            <w:hideMark/>
          </w:tcPr>
          <w:p w14:paraId="2D9503BF" w14:textId="77777777" w:rsidR="0033303B" w:rsidRPr="0033303B" w:rsidRDefault="0033303B" w:rsidP="005B076E">
            <w:pPr>
              <w:jc w:val="right"/>
              <w:rPr>
                <w:szCs w:val="24"/>
              </w:rPr>
            </w:pPr>
            <w:r w:rsidRPr="0033303B">
              <w:t>85.3 %</w:t>
            </w:r>
          </w:p>
        </w:tc>
      </w:tr>
      <w:tr w:rsidR="0033303B" w:rsidRPr="0033303B" w14:paraId="08A5D965"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29F9E243" w14:textId="77777777" w:rsidR="0033303B" w:rsidRPr="0033303B" w:rsidRDefault="0033303B" w:rsidP="005B076E">
            <w:pPr>
              <w:jc w:val="center"/>
              <w:rPr>
                <w:snapToGrid w:val="0"/>
                <w:szCs w:val="24"/>
              </w:rPr>
            </w:pPr>
            <w:r w:rsidRPr="0033303B">
              <w:t>2014</w:t>
            </w:r>
          </w:p>
        </w:tc>
        <w:tc>
          <w:tcPr>
            <w:tcW w:w="1473" w:type="dxa"/>
            <w:tcBorders>
              <w:top w:val="single" w:sz="4" w:space="0" w:color="auto"/>
              <w:left w:val="single" w:sz="4" w:space="0" w:color="auto"/>
              <w:bottom w:val="single" w:sz="4" w:space="0" w:color="auto"/>
              <w:right w:val="single" w:sz="4" w:space="0" w:color="auto"/>
            </w:tcBorders>
          </w:tcPr>
          <w:p w14:paraId="7269F988" w14:textId="77777777" w:rsidR="0033303B" w:rsidRPr="0033303B" w:rsidRDefault="0033303B" w:rsidP="005B076E">
            <w:pPr>
              <w:jc w:val="right"/>
              <w:rPr>
                <w:snapToGrid w:val="0"/>
                <w:szCs w:val="24"/>
              </w:rPr>
            </w:pPr>
            <w:r w:rsidRPr="0033303B">
              <w:rPr>
                <w:snapToGrid w:val="0"/>
                <w:szCs w:val="24"/>
              </w:rPr>
              <w:t>2 715</w:t>
            </w:r>
          </w:p>
        </w:tc>
        <w:tc>
          <w:tcPr>
            <w:tcW w:w="1275" w:type="dxa"/>
            <w:tcBorders>
              <w:top w:val="single" w:sz="4" w:space="0" w:color="auto"/>
              <w:left w:val="single" w:sz="4" w:space="0" w:color="auto"/>
              <w:bottom w:val="single" w:sz="4" w:space="0" w:color="auto"/>
              <w:right w:val="single" w:sz="4" w:space="0" w:color="auto"/>
            </w:tcBorders>
            <w:hideMark/>
          </w:tcPr>
          <w:p w14:paraId="6696C466" w14:textId="77777777" w:rsidR="0033303B" w:rsidRPr="0033303B" w:rsidRDefault="0033303B" w:rsidP="005B076E">
            <w:pPr>
              <w:jc w:val="right"/>
              <w:rPr>
                <w:snapToGrid w:val="0"/>
                <w:szCs w:val="24"/>
              </w:rPr>
            </w:pPr>
            <w:r w:rsidRPr="0033303B">
              <w:rPr>
                <w:snapToGrid w:val="0"/>
                <w:szCs w:val="24"/>
              </w:rPr>
              <w:t>265</w:t>
            </w:r>
          </w:p>
        </w:tc>
        <w:tc>
          <w:tcPr>
            <w:tcW w:w="1697" w:type="dxa"/>
            <w:tcBorders>
              <w:top w:val="single" w:sz="4" w:space="0" w:color="auto"/>
              <w:left w:val="single" w:sz="4" w:space="0" w:color="auto"/>
              <w:bottom w:val="single" w:sz="4" w:space="0" w:color="auto"/>
              <w:right w:val="single" w:sz="4" w:space="0" w:color="auto"/>
            </w:tcBorders>
            <w:hideMark/>
          </w:tcPr>
          <w:p w14:paraId="40F96FC5" w14:textId="77777777" w:rsidR="0033303B" w:rsidRPr="0033303B" w:rsidRDefault="0033303B" w:rsidP="005B076E">
            <w:pPr>
              <w:jc w:val="right"/>
              <w:rPr>
                <w:snapToGrid w:val="0"/>
                <w:szCs w:val="24"/>
              </w:rPr>
            </w:pPr>
            <w:r w:rsidRPr="0033303B">
              <w:t>9.8 %</w:t>
            </w:r>
          </w:p>
        </w:tc>
        <w:tc>
          <w:tcPr>
            <w:tcW w:w="1417" w:type="dxa"/>
            <w:tcBorders>
              <w:top w:val="single" w:sz="4" w:space="0" w:color="auto"/>
              <w:left w:val="single" w:sz="4" w:space="0" w:color="auto"/>
              <w:bottom w:val="single" w:sz="4" w:space="0" w:color="auto"/>
              <w:right w:val="single" w:sz="4" w:space="0" w:color="auto"/>
            </w:tcBorders>
            <w:hideMark/>
          </w:tcPr>
          <w:p w14:paraId="3C41B5ED" w14:textId="77777777" w:rsidR="0033303B" w:rsidRPr="0033303B" w:rsidRDefault="0033303B" w:rsidP="005B076E">
            <w:pPr>
              <w:jc w:val="right"/>
              <w:rPr>
                <w:snapToGrid w:val="0"/>
                <w:szCs w:val="24"/>
              </w:rPr>
            </w:pPr>
            <w:r w:rsidRPr="0033303B">
              <w:t>2 450</w:t>
            </w:r>
          </w:p>
        </w:tc>
        <w:tc>
          <w:tcPr>
            <w:tcW w:w="1985" w:type="dxa"/>
            <w:tcBorders>
              <w:top w:val="single" w:sz="4" w:space="0" w:color="auto"/>
              <w:left w:val="single" w:sz="4" w:space="0" w:color="auto"/>
              <w:bottom w:val="single" w:sz="4" w:space="0" w:color="auto"/>
              <w:right w:val="single" w:sz="4" w:space="0" w:color="auto"/>
            </w:tcBorders>
            <w:hideMark/>
          </w:tcPr>
          <w:p w14:paraId="3FED2B60" w14:textId="77777777" w:rsidR="0033303B" w:rsidRPr="0033303B" w:rsidRDefault="0033303B" w:rsidP="005B076E">
            <w:pPr>
              <w:jc w:val="right"/>
              <w:rPr>
                <w:snapToGrid w:val="0"/>
                <w:szCs w:val="24"/>
              </w:rPr>
            </w:pPr>
            <w:r w:rsidRPr="0033303B">
              <w:t>90.2 %</w:t>
            </w:r>
          </w:p>
        </w:tc>
      </w:tr>
      <w:tr w:rsidR="0033303B" w:rsidRPr="0033303B" w14:paraId="51F2BBCD"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5D91B129" w14:textId="77777777" w:rsidR="0033303B" w:rsidRPr="0033303B" w:rsidRDefault="0033303B" w:rsidP="005B076E">
            <w:pPr>
              <w:jc w:val="center"/>
              <w:rPr>
                <w:snapToGrid w:val="0"/>
                <w:szCs w:val="24"/>
              </w:rPr>
            </w:pPr>
            <w:r w:rsidRPr="0033303B">
              <w:t>2013</w:t>
            </w:r>
          </w:p>
        </w:tc>
        <w:tc>
          <w:tcPr>
            <w:tcW w:w="1473" w:type="dxa"/>
            <w:tcBorders>
              <w:top w:val="single" w:sz="4" w:space="0" w:color="auto"/>
              <w:left w:val="single" w:sz="4" w:space="0" w:color="auto"/>
              <w:bottom w:val="single" w:sz="4" w:space="0" w:color="auto"/>
              <w:right w:val="single" w:sz="4" w:space="0" w:color="auto"/>
            </w:tcBorders>
          </w:tcPr>
          <w:p w14:paraId="394657F3" w14:textId="77777777" w:rsidR="0033303B" w:rsidRPr="0033303B" w:rsidRDefault="0033303B" w:rsidP="005B076E">
            <w:pPr>
              <w:jc w:val="right"/>
              <w:rPr>
                <w:szCs w:val="24"/>
              </w:rPr>
            </w:pPr>
            <w:r w:rsidRPr="0033303B">
              <w:t>2 891</w:t>
            </w:r>
          </w:p>
        </w:tc>
        <w:tc>
          <w:tcPr>
            <w:tcW w:w="1275" w:type="dxa"/>
            <w:tcBorders>
              <w:top w:val="single" w:sz="4" w:space="0" w:color="auto"/>
              <w:left w:val="single" w:sz="4" w:space="0" w:color="auto"/>
              <w:bottom w:val="single" w:sz="4" w:space="0" w:color="auto"/>
              <w:right w:val="single" w:sz="4" w:space="0" w:color="auto"/>
            </w:tcBorders>
            <w:hideMark/>
          </w:tcPr>
          <w:p w14:paraId="5AA8C7E3" w14:textId="77777777" w:rsidR="0033303B" w:rsidRPr="0033303B" w:rsidRDefault="0033303B" w:rsidP="005B076E">
            <w:pPr>
              <w:jc w:val="right"/>
              <w:rPr>
                <w:snapToGrid w:val="0"/>
                <w:szCs w:val="24"/>
              </w:rPr>
            </w:pPr>
            <w:r w:rsidRPr="0033303B">
              <w:t>337</w:t>
            </w:r>
          </w:p>
        </w:tc>
        <w:tc>
          <w:tcPr>
            <w:tcW w:w="1697" w:type="dxa"/>
            <w:tcBorders>
              <w:top w:val="single" w:sz="4" w:space="0" w:color="auto"/>
              <w:left w:val="single" w:sz="4" w:space="0" w:color="auto"/>
              <w:bottom w:val="single" w:sz="4" w:space="0" w:color="auto"/>
              <w:right w:val="single" w:sz="4" w:space="0" w:color="auto"/>
            </w:tcBorders>
            <w:hideMark/>
          </w:tcPr>
          <w:p w14:paraId="18093BAA" w14:textId="77777777" w:rsidR="0033303B" w:rsidRPr="0033303B" w:rsidRDefault="0033303B" w:rsidP="005B076E">
            <w:pPr>
              <w:jc w:val="right"/>
              <w:rPr>
                <w:snapToGrid w:val="0"/>
                <w:szCs w:val="24"/>
              </w:rPr>
            </w:pPr>
            <w:r w:rsidRPr="0033303B">
              <w:t>11.7 %</w:t>
            </w:r>
          </w:p>
        </w:tc>
        <w:tc>
          <w:tcPr>
            <w:tcW w:w="1417" w:type="dxa"/>
            <w:tcBorders>
              <w:top w:val="single" w:sz="4" w:space="0" w:color="auto"/>
              <w:left w:val="single" w:sz="4" w:space="0" w:color="auto"/>
              <w:bottom w:val="single" w:sz="4" w:space="0" w:color="auto"/>
              <w:right w:val="single" w:sz="4" w:space="0" w:color="auto"/>
            </w:tcBorders>
            <w:hideMark/>
          </w:tcPr>
          <w:p w14:paraId="3542A753" w14:textId="77777777" w:rsidR="0033303B" w:rsidRPr="0033303B" w:rsidRDefault="0033303B" w:rsidP="005B076E">
            <w:pPr>
              <w:jc w:val="right"/>
              <w:rPr>
                <w:snapToGrid w:val="0"/>
                <w:szCs w:val="24"/>
              </w:rPr>
            </w:pPr>
            <w:r w:rsidRPr="0033303B">
              <w:t>2 554</w:t>
            </w:r>
          </w:p>
        </w:tc>
        <w:tc>
          <w:tcPr>
            <w:tcW w:w="1985" w:type="dxa"/>
            <w:tcBorders>
              <w:top w:val="single" w:sz="4" w:space="0" w:color="auto"/>
              <w:left w:val="single" w:sz="4" w:space="0" w:color="auto"/>
              <w:bottom w:val="single" w:sz="4" w:space="0" w:color="auto"/>
              <w:right w:val="single" w:sz="4" w:space="0" w:color="auto"/>
            </w:tcBorders>
            <w:hideMark/>
          </w:tcPr>
          <w:p w14:paraId="5919E854" w14:textId="77777777" w:rsidR="0033303B" w:rsidRPr="0033303B" w:rsidRDefault="0033303B" w:rsidP="005B076E">
            <w:pPr>
              <w:jc w:val="right"/>
              <w:rPr>
                <w:snapToGrid w:val="0"/>
                <w:szCs w:val="24"/>
              </w:rPr>
            </w:pPr>
            <w:r w:rsidRPr="0033303B">
              <w:t>88.3 %</w:t>
            </w:r>
          </w:p>
        </w:tc>
      </w:tr>
      <w:tr w:rsidR="0033303B" w:rsidRPr="0033303B" w14:paraId="757F70C4"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681B86C8" w14:textId="77777777" w:rsidR="0033303B" w:rsidRPr="0033303B" w:rsidRDefault="0033303B" w:rsidP="005B076E">
            <w:pPr>
              <w:jc w:val="center"/>
              <w:rPr>
                <w:snapToGrid w:val="0"/>
                <w:szCs w:val="24"/>
              </w:rPr>
            </w:pPr>
            <w:r w:rsidRPr="0033303B">
              <w:t>2012</w:t>
            </w:r>
          </w:p>
        </w:tc>
        <w:tc>
          <w:tcPr>
            <w:tcW w:w="1473" w:type="dxa"/>
            <w:tcBorders>
              <w:top w:val="single" w:sz="4" w:space="0" w:color="auto"/>
              <w:left w:val="single" w:sz="4" w:space="0" w:color="auto"/>
              <w:bottom w:val="single" w:sz="4" w:space="0" w:color="auto"/>
              <w:right w:val="single" w:sz="4" w:space="0" w:color="auto"/>
            </w:tcBorders>
          </w:tcPr>
          <w:p w14:paraId="030E824C" w14:textId="77777777" w:rsidR="0033303B" w:rsidRPr="0033303B" w:rsidRDefault="0033303B" w:rsidP="005B076E">
            <w:pPr>
              <w:jc w:val="right"/>
              <w:rPr>
                <w:szCs w:val="24"/>
              </w:rPr>
            </w:pPr>
            <w:r w:rsidRPr="0033303B">
              <w:t>1 986</w:t>
            </w:r>
          </w:p>
        </w:tc>
        <w:tc>
          <w:tcPr>
            <w:tcW w:w="1275" w:type="dxa"/>
            <w:tcBorders>
              <w:top w:val="single" w:sz="4" w:space="0" w:color="auto"/>
              <w:left w:val="single" w:sz="4" w:space="0" w:color="auto"/>
              <w:bottom w:val="single" w:sz="4" w:space="0" w:color="auto"/>
              <w:right w:val="single" w:sz="4" w:space="0" w:color="auto"/>
            </w:tcBorders>
            <w:hideMark/>
          </w:tcPr>
          <w:p w14:paraId="5EA956B4" w14:textId="77777777" w:rsidR="0033303B" w:rsidRPr="0033303B" w:rsidRDefault="0033303B" w:rsidP="005B076E">
            <w:pPr>
              <w:jc w:val="right"/>
              <w:rPr>
                <w:snapToGrid w:val="0"/>
                <w:szCs w:val="24"/>
              </w:rPr>
            </w:pPr>
            <w:r w:rsidRPr="0033303B">
              <w:t>147</w:t>
            </w:r>
          </w:p>
        </w:tc>
        <w:tc>
          <w:tcPr>
            <w:tcW w:w="1697" w:type="dxa"/>
            <w:tcBorders>
              <w:top w:val="single" w:sz="4" w:space="0" w:color="auto"/>
              <w:left w:val="single" w:sz="4" w:space="0" w:color="auto"/>
              <w:bottom w:val="single" w:sz="4" w:space="0" w:color="auto"/>
              <w:right w:val="single" w:sz="4" w:space="0" w:color="auto"/>
            </w:tcBorders>
            <w:hideMark/>
          </w:tcPr>
          <w:p w14:paraId="217020F8" w14:textId="77777777" w:rsidR="0033303B" w:rsidRPr="0033303B" w:rsidRDefault="0033303B" w:rsidP="005B076E">
            <w:pPr>
              <w:jc w:val="right"/>
              <w:rPr>
                <w:snapToGrid w:val="0"/>
                <w:szCs w:val="24"/>
              </w:rPr>
            </w:pPr>
            <w:r w:rsidRPr="0033303B">
              <w:t>7.4 %</w:t>
            </w:r>
          </w:p>
        </w:tc>
        <w:tc>
          <w:tcPr>
            <w:tcW w:w="1417" w:type="dxa"/>
            <w:tcBorders>
              <w:top w:val="single" w:sz="4" w:space="0" w:color="auto"/>
              <w:left w:val="single" w:sz="4" w:space="0" w:color="auto"/>
              <w:bottom w:val="single" w:sz="4" w:space="0" w:color="auto"/>
              <w:right w:val="single" w:sz="4" w:space="0" w:color="auto"/>
            </w:tcBorders>
            <w:hideMark/>
          </w:tcPr>
          <w:p w14:paraId="65AD91F3" w14:textId="77777777" w:rsidR="0033303B" w:rsidRPr="0033303B" w:rsidRDefault="0033303B" w:rsidP="005B076E">
            <w:pPr>
              <w:jc w:val="right"/>
              <w:rPr>
                <w:snapToGrid w:val="0"/>
                <w:szCs w:val="24"/>
              </w:rPr>
            </w:pPr>
            <w:r w:rsidRPr="0033303B">
              <w:t>1 839</w:t>
            </w:r>
          </w:p>
        </w:tc>
        <w:tc>
          <w:tcPr>
            <w:tcW w:w="1985" w:type="dxa"/>
            <w:tcBorders>
              <w:top w:val="single" w:sz="4" w:space="0" w:color="auto"/>
              <w:left w:val="single" w:sz="4" w:space="0" w:color="auto"/>
              <w:bottom w:val="single" w:sz="4" w:space="0" w:color="auto"/>
              <w:right w:val="single" w:sz="4" w:space="0" w:color="auto"/>
            </w:tcBorders>
            <w:hideMark/>
          </w:tcPr>
          <w:p w14:paraId="4EC4F889" w14:textId="77777777" w:rsidR="0033303B" w:rsidRPr="0033303B" w:rsidRDefault="0033303B" w:rsidP="005B076E">
            <w:pPr>
              <w:jc w:val="right"/>
              <w:rPr>
                <w:snapToGrid w:val="0"/>
                <w:szCs w:val="24"/>
              </w:rPr>
            </w:pPr>
            <w:r w:rsidRPr="0033303B">
              <w:t>92.6 %</w:t>
            </w:r>
          </w:p>
        </w:tc>
      </w:tr>
      <w:tr w:rsidR="0033303B" w:rsidRPr="0033303B" w14:paraId="04B29648"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3515F69B" w14:textId="77777777" w:rsidR="0033303B" w:rsidRPr="0033303B" w:rsidRDefault="0033303B" w:rsidP="005B076E">
            <w:pPr>
              <w:jc w:val="center"/>
              <w:rPr>
                <w:snapToGrid w:val="0"/>
                <w:szCs w:val="24"/>
              </w:rPr>
            </w:pPr>
            <w:r w:rsidRPr="0033303B">
              <w:t>2011</w:t>
            </w:r>
          </w:p>
        </w:tc>
        <w:tc>
          <w:tcPr>
            <w:tcW w:w="1473" w:type="dxa"/>
            <w:tcBorders>
              <w:top w:val="single" w:sz="4" w:space="0" w:color="auto"/>
              <w:left w:val="single" w:sz="4" w:space="0" w:color="auto"/>
              <w:bottom w:val="single" w:sz="4" w:space="0" w:color="auto"/>
              <w:right w:val="single" w:sz="4" w:space="0" w:color="auto"/>
            </w:tcBorders>
          </w:tcPr>
          <w:p w14:paraId="26A26543" w14:textId="77777777" w:rsidR="0033303B" w:rsidRPr="0033303B" w:rsidRDefault="0033303B" w:rsidP="005B076E">
            <w:pPr>
              <w:jc w:val="right"/>
              <w:rPr>
                <w:szCs w:val="24"/>
              </w:rPr>
            </w:pPr>
            <w:r w:rsidRPr="0033303B">
              <w:t>1 414</w:t>
            </w:r>
          </w:p>
        </w:tc>
        <w:tc>
          <w:tcPr>
            <w:tcW w:w="1275" w:type="dxa"/>
            <w:tcBorders>
              <w:top w:val="single" w:sz="4" w:space="0" w:color="auto"/>
              <w:left w:val="single" w:sz="4" w:space="0" w:color="auto"/>
              <w:bottom w:val="single" w:sz="4" w:space="0" w:color="auto"/>
              <w:right w:val="single" w:sz="4" w:space="0" w:color="auto"/>
            </w:tcBorders>
            <w:hideMark/>
          </w:tcPr>
          <w:p w14:paraId="3F1383B9" w14:textId="77777777" w:rsidR="0033303B" w:rsidRPr="0033303B" w:rsidRDefault="0033303B" w:rsidP="005B076E">
            <w:pPr>
              <w:jc w:val="right"/>
              <w:rPr>
                <w:snapToGrid w:val="0"/>
                <w:szCs w:val="24"/>
              </w:rPr>
            </w:pPr>
            <w:r w:rsidRPr="0033303B">
              <w:t>76</w:t>
            </w:r>
          </w:p>
        </w:tc>
        <w:tc>
          <w:tcPr>
            <w:tcW w:w="1697" w:type="dxa"/>
            <w:tcBorders>
              <w:top w:val="single" w:sz="4" w:space="0" w:color="auto"/>
              <w:left w:val="single" w:sz="4" w:space="0" w:color="auto"/>
              <w:bottom w:val="single" w:sz="4" w:space="0" w:color="auto"/>
              <w:right w:val="single" w:sz="4" w:space="0" w:color="auto"/>
            </w:tcBorders>
            <w:hideMark/>
          </w:tcPr>
          <w:p w14:paraId="6AB11583" w14:textId="77777777" w:rsidR="0033303B" w:rsidRPr="0033303B" w:rsidRDefault="0033303B" w:rsidP="005B076E">
            <w:pPr>
              <w:jc w:val="right"/>
              <w:rPr>
                <w:snapToGrid w:val="0"/>
                <w:szCs w:val="24"/>
              </w:rPr>
            </w:pPr>
            <w:r w:rsidRPr="0033303B">
              <w:t>5.4 %</w:t>
            </w:r>
          </w:p>
        </w:tc>
        <w:tc>
          <w:tcPr>
            <w:tcW w:w="1417" w:type="dxa"/>
            <w:tcBorders>
              <w:top w:val="single" w:sz="4" w:space="0" w:color="auto"/>
              <w:left w:val="single" w:sz="4" w:space="0" w:color="auto"/>
              <w:bottom w:val="single" w:sz="4" w:space="0" w:color="auto"/>
              <w:right w:val="single" w:sz="4" w:space="0" w:color="auto"/>
            </w:tcBorders>
            <w:hideMark/>
          </w:tcPr>
          <w:p w14:paraId="26934378" w14:textId="77777777" w:rsidR="0033303B" w:rsidRPr="0033303B" w:rsidRDefault="0033303B" w:rsidP="005B076E">
            <w:pPr>
              <w:jc w:val="right"/>
              <w:rPr>
                <w:snapToGrid w:val="0"/>
                <w:szCs w:val="24"/>
              </w:rPr>
            </w:pPr>
            <w:r w:rsidRPr="0033303B">
              <w:t>1 338</w:t>
            </w:r>
          </w:p>
        </w:tc>
        <w:tc>
          <w:tcPr>
            <w:tcW w:w="1985" w:type="dxa"/>
            <w:tcBorders>
              <w:top w:val="single" w:sz="4" w:space="0" w:color="auto"/>
              <w:left w:val="single" w:sz="4" w:space="0" w:color="auto"/>
              <w:bottom w:val="single" w:sz="4" w:space="0" w:color="auto"/>
              <w:right w:val="single" w:sz="4" w:space="0" w:color="auto"/>
            </w:tcBorders>
            <w:hideMark/>
          </w:tcPr>
          <w:p w14:paraId="7A901640" w14:textId="77777777" w:rsidR="0033303B" w:rsidRPr="0033303B" w:rsidRDefault="0033303B" w:rsidP="005B076E">
            <w:pPr>
              <w:jc w:val="right"/>
              <w:rPr>
                <w:snapToGrid w:val="0"/>
                <w:szCs w:val="24"/>
              </w:rPr>
            </w:pPr>
            <w:r w:rsidRPr="0033303B">
              <w:t>94.6 %</w:t>
            </w:r>
          </w:p>
        </w:tc>
      </w:tr>
      <w:tr w:rsidR="0033303B" w:rsidRPr="0033303B" w14:paraId="568B2A62"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523BF38A" w14:textId="77777777" w:rsidR="0033303B" w:rsidRPr="0033303B" w:rsidRDefault="0033303B" w:rsidP="005B076E">
            <w:pPr>
              <w:jc w:val="center"/>
              <w:rPr>
                <w:snapToGrid w:val="0"/>
                <w:szCs w:val="24"/>
              </w:rPr>
            </w:pPr>
            <w:r w:rsidRPr="0033303B">
              <w:t>2010</w:t>
            </w:r>
          </w:p>
        </w:tc>
        <w:tc>
          <w:tcPr>
            <w:tcW w:w="1473" w:type="dxa"/>
            <w:tcBorders>
              <w:top w:val="single" w:sz="4" w:space="0" w:color="auto"/>
              <w:left w:val="single" w:sz="4" w:space="0" w:color="auto"/>
              <w:bottom w:val="single" w:sz="4" w:space="0" w:color="auto"/>
              <w:right w:val="single" w:sz="4" w:space="0" w:color="auto"/>
            </w:tcBorders>
          </w:tcPr>
          <w:p w14:paraId="60FAD57D" w14:textId="77777777" w:rsidR="0033303B" w:rsidRPr="0033303B" w:rsidRDefault="0033303B" w:rsidP="005B076E">
            <w:pPr>
              <w:jc w:val="right"/>
              <w:rPr>
                <w:szCs w:val="24"/>
              </w:rPr>
            </w:pPr>
            <w:r w:rsidRPr="0033303B">
              <w:t>1 656</w:t>
            </w:r>
          </w:p>
        </w:tc>
        <w:tc>
          <w:tcPr>
            <w:tcW w:w="1275" w:type="dxa"/>
            <w:tcBorders>
              <w:top w:val="single" w:sz="4" w:space="0" w:color="auto"/>
              <w:left w:val="single" w:sz="4" w:space="0" w:color="auto"/>
              <w:bottom w:val="single" w:sz="4" w:space="0" w:color="auto"/>
              <w:right w:val="single" w:sz="4" w:space="0" w:color="auto"/>
            </w:tcBorders>
            <w:hideMark/>
          </w:tcPr>
          <w:p w14:paraId="11DD0CE1" w14:textId="77777777" w:rsidR="0033303B" w:rsidRPr="0033303B" w:rsidRDefault="0033303B" w:rsidP="005B076E">
            <w:pPr>
              <w:tabs>
                <w:tab w:val="right" w:pos="1059"/>
              </w:tabs>
              <w:jc w:val="right"/>
              <w:rPr>
                <w:snapToGrid w:val="0"/>
                <w:szCs w:val="24"/>
              </w:rPr>
            </w:pPr>
            <w:r w:rsidRPr="0033303B">
              <w:t>43</w:t>
            </w:r>
          </w:p>
        </w:tc>
        <w:tc>
          <w:tcPr>
            <w:tcW w:w="1697" w:type="dxa"/>
            <w:tcBorders>
              <w:top w:val="single" w:sz="4" w:space="0" w:color="auto"/>
              <w:left w:val="single" w:sz="4" w:space="0" w:color="auto"/>
              <w:bottom w:val="single" w:sz="4" w:space="0" w:color="auto"/>
              <w:right w:val="single" w:sz="4" w:space="0" w:color="auto"/>
            </w:tcBorders>
            <w:hideMark/>
          </w:tcPr>
          <w:p w14:paraId="6843DFDD" w14:textId="77777777" w:rsidR="0033303B" w:rsidRPr="0033303B" w:rsidRDefault="0033303B" w:rsidP="005B076E">
            <w:pPr>
              <w:jc w:val="right"/>
              <w:rPr>
                <w:snapToGrid w:val="0"/>
                <w:szCs w:val="24"/>
              </w:rPr>
            </w:pPr>
            <w:r w:rsidRPr="0033303B">
              <w:t>2.6 %</w:t>
            </w:r>
          </w:p>
        </w:tc>
        <w:tc>
          <w:tcPr>
            <w:tcW w:w="1417" w:type="dxa"/>
            <w:tcBorders>
              <w:top w:val="single" w:sz="4" w:space="0" w:color="auto"/>
              <w:left w:val="single" w:sz="4" w:space="0" w:color="auto"/>
              <w:bottom w:val="single" w:sz="4" w:space="0" w:color="auto"/>
              <w:right w:val="single" w:sz="4" w:space="0" w:color="auto"/>
            </w:tcBorders>
            <w:hideMark/>
          </w:tcPr>
          <w:p w14:paraId="0EF0101B" w14:textId="77777777" w:rsidR="0033303B" w:rsidRPr="0033303B" w:rsidRDefault="0033303B" w:rsidP="005B076E">
            <w:pPr>
              <w:jc w:val="right"/>
              <w:rPr>
                <w:snapToGrid w:val="0"/>
                <w:szCs w:val="24"/>
              </w:rPr>
            </w:pPr>
            <w:r w:rsidRPr="0033303B">
              <w:t>1 613</w:t>
            </w:r>
          </w:p>
        </w:tc>
        <w:tc>
          <w:tcPr>
            <w:tcW w:w="1985" w:type="dxa"/>
            <w:tcBorders>
              <w:top w:val="single" w:sz="4" w:space="0" w:color="auto"/>
              <w:left w:val="single" w:sz="4" w:space="0" w:color="auto"/>
              <w:bottom w:val="single" w:sz="4" w:space="0" w:color="auto"/>
              <w:right w:val="single" w:sz="4" w:space="0" w:color="auto"/>
            </w:tcBorders>
            <w:hideMark/>
          </w:tcPr>
          <w:p w14:paraId="2AA6A816" w14:textId="77777777" w:rsidR="0033303B" w:rsidRPr="0033303B" w:rsidRDefault="0033303B" w:rsidP="005B076E">
            <w:pPr>
              <w:jc w:val="right"/>
              <w:rPr>
                <w:snapToGrid w:val="0"/>
                <w:szCs w:val="24"/>
              </w:rPr>
            </w:pPr>
            <w:r w:rsidRPr="0033303B">
              <w:t>97.4 %</w:t>
            </w:r>
          </w:p>
        </w:tc>
      </w:tr>
      <w:tr w:rsidR="0033303B" w:rsidRPr="0033303B" w14:paraId="5F75024E"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33E5DC00" w14:textId="77777777" w:rsidR="0033303B" w:rsidRPr="0033303B" w:rsidRDefault="0033303B" w:rsidP="005B076E">
            <w:pPr>
              <w:jc w:val="center"/>
              <w:rPr>
                <w:snapToGrid w:val="0"/>
                <w:szCs w:val="24"/>
              </w:rPr>
            </w:pPr>
            <w:r w:rsidRPr="0033303B">
              <w:t>2009</w:t>
            </w:r>
          </w:p>
        </w:tc>
        <w:tc>
          <w:tcPr>
            <w:tcW w:w="1473" w:type="dxa"/>
            <w:tcBorders>
              <w:top w:val="single" w:sz="4" w:space="0" w:color="auto"/>
              <w:left w:val="single" w:sz="4" w:space="0" w:color="auto"/>
              <w:bottom w:val="single" w:sz="4" w:space="0" w:color="auto"/>
              <w:right w:val="single" w:sz="4" w:space="0" w:color="auto"/>
            </w:tcBorders>
          </w:tcPr>
          <w:p w14:paraId="1435C325" w14:textId="77777777" w:rsidR="0033303B" w:rsidRPr="0033303B" w:rsidRDefault="0033303B" w:rsidP="005B076E">
            <w:pPr>
              <w:jc w:val="right"/>
              <w:rPr>
                <w:szCs w:val="24"/>
              </w:rPr>
            </w:pPr>
            <w:r w:rsidRPr="0033303B">
              <w:t>1 924</w:t>
            </w:r>
          </w:p>
        </w:tc>
        <w:tc>
          <w:tcPr>
            <w:tcW w:w="1275" w:type="dxa"/>
            <w:tcBorders>
              <w:top w:val="single" w:sz="4" w:space="0" w:color="auto"/>
              <w:left w:val="single" w:sz="4" w:space="0" w:color="auto"/>
              <w:bottom w:val="single" w:sz="4" w:space="0" w:color="auto"/>
              <w:right w:val="single" w:sz="4" w:space="0" w:color="auto"/>
            </w:tcBorders>
            <w:hideMark/>
          </w:tcPr>
          <w:p w14:paraId="6D8C1F6E" w14:textId="77777777" w:rsidR="0033303B" w:rsidRPr="0033303B" w:rsidRDefault="0033303B" w:rsidP="005B076E">
            <w:pPr>
              <w:jc w:val="right"/>
              <w:rPr>
                <w:snapToGrid w:val="0"/>
                <w:szCs w:val="24"/>
              </w:rPr>
            </w:pPr>
            <w:r w:rsidRPr="0033303B">
              <w:t>14</w:t>
            </w:r>
          </w:p>
        </w:tc>
        <w:tc>
          <w:tcPr>
            <w:tcW w:w="1697" w:type="dxa"/>
            <w:tcBorders>
              <w:top w:val="single" w:sz="4" w:space="0" w:color="auto"/>
              <w:left w:val="single" w:sz="4" w:space="0" w:color="auto"/>
              <w:bottom w:val="single" w:sz="4" w:space="0" w:color="auto"/>
              <w:right w:val="single" w:sz="4" w:space="0" w:color="auto"/>
            </w:tcBorders>
            <w:hideMark/>
          </w:tcPr>
          <w:p w14:paraId="339EB99F" w14:textId="77777777" w:rsidR="0033303B" w:rsidRPr="0033303B" w:rsidRDefault="0033303B" w:rsidP="005B076E">
            <w:pPr>
              <w:jc w:val="right"/>
              <w:rPr>
                <w:snapToGrid w:val="0"/>
                <w:szCs w:val="24"/>
              </w:rPr>
            </w:pPr>
            <w:r w:rsidRPr="0033303B">
              <w:t>0.7 %</w:t>
            </w:r>
          </w:p>
        </w:tc>
        <w:tc>
          <w:tcPr>
            <w:tcW w:w="1417" w:type="dxa"/>
            <w:tcBorders>
              <w:top w:val="single" w:sz="4" w:space="0" w:color="auto"/>
              <w:left w:val="single" w:sz="4" w:space="0" w:color="auto"/>
              <w:bottom w:val="single" w:sz="4" w:space="0" w:color="auto"/>
              <w:right w:val="single" w:sz="4" w:space="0" w:color="auto"/>
            </w:tcBorders>
            <w:hideMark/>
          </w:tcPr>
          <w:p w14:paraId="6B43C993" w14:textId="77777777" w:rsidR="0033303B" w:rsidRPr="0033303B" w:rsidRDefault="0033303B" w:rsidP="005B076E">
            <w:pPr>
              <w:jc w:val="right"/>
              <w:rPr>
                <w:snapToGrid w:val="0"/>
                <w:szCs w:val="24"/>
              </w:rPr>
            </w:pPr>
            <w:r w:rsidRPr="0033303B">
              <w:t>1 910</w:t>
            </w:r>
          </w:p>
        </w:tc>
        <w:tc>
          <w:tcPr>
            <w:tcW w:w="1985" w:type="dxa"/>
            <w:tcBorders>
              <w:top w:val="single" w:sz="4" w:space="0" w:color="auto"/>
              <w:left w:val="single" w:sz="4" w:space="0" w:color="auto"/>
              <w:bottom w:val="single" w:sz="4" w:space="0" w:color="auto"/>
              <w:right w:val="single" w:sz="4" w:space="0" w:color="auto"/>
            </w:tcBorders>
            <w:hideMark/>
          </w:tcPr>
          <w:p w14:paraId="2298EAD0" w14:textId="77777777" w:rsidR="0033303B" w:rsidRPr="0033303B" w:rsidRDefault="0033303B" w:rsidP="005B076E">
            <w:pPr>
              <w:jc w:val="right"/>
              <w:rPr>
                <w:snapToGrid w:val="0"/>
                <w:szCs w:val="24"/>
              </w:rPr>
            </w:pPr>
            <w:r w:rsidRPr="0033303B">
              <w:t>99.3 %</w:t>
            </w:r>
          </w:p>
        </w:tc>
      </w:tr>
      <w:tr w:rsidR="0033303B" w:rsidRPr="0033303B" w14:paraId="0E28A316"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26E654E3" w14:textId="77777777" w:rsidR="0033303B" w:rsidRPr="0033303B" w:rsidRDefault="0033303B" w:rsidP="005B076E">
            <w:pPr>
              <w:jc w:val="center"/>
              <w:rPr>
                <w:snapToGrid w:val="0"/>
                <w:szCs w:val="24"/>
              </w:rPr>
            </w:pPr>
            <w:r w:rsidRPr="0033303B">
              <w:t>2008</w:t>
            </w:r>
          </w:p>
        </w:tc>
        <w:tc>
          <w:tcPr>
            <w:tcW w:w="1473" w:type="dxa"/>
            <w:tcBorders>
              <w:top w:val="single" w:sz="4" w:space="0" w:color="auto"/>
              <w:left w:val="single" w:sz="4" w:space="0" w:color="auto"/>
              <w:bottom w:val="single" w:sz="4" w:space="0" w:color="auto"/>
              <w:right w:val="single" w:sz="4" w:space="0" w:color="auto"/>
            </w:tcBorders>
          </w:tcPr>
          <w:p w14:paraId="6D53472D" w14:textId="77777777" w:rsidR="0033303B" w:rsidRPr="0033303B" w:rsidRDefault="0033303B" w:rsidP="005B076E">
            <w:pPr>
              <w:jc w:val="right"/>
              <w:rPr>
                <w:szCs w:val="24"/>
              </w:rPr>
            </w:pPr>
            <w:r w:rsidRPr="0033303B">
              <w:t>1 886</w:t>
            </w:r>
          </w:p>
        </w:tc>
        <w:tc>
          <w:tcPr>
            <w:tcW w:w="1275" w:type="dxa"/>
            <w:tcBorders>
              <w:top w:val="single" w:sz="4" w:space="0" w:color="auto"/>
              <w:left w:val="single" w:sz="4" w:space="0" w:color="auto"/>
              <w:bottom w:val="single" w:sz="4" w:space="0" w:color="auto"/>
              <w:right w:val="single" w:sz="4" w:space="0" w:color="auto"/>
            </w:tcBorders>
            <w:hideMark/>
          </w:tcPr>
          <w:p w14:paraId="2EDE8AD3" w14:textId="77777777" w:rsidR="0033303B" w:rsidRPr="0033303B" w:rsidRDefault="0033303B" w:rsidP="005B076E">
            <w:pPr>
              <w:jc w:val="right"/>
              <w:rPr>
                <w:snapToGrid w:val="0"/>
                <w:szCs w:val="24"/>
              </w:rPr>
            </w:pPr>
            <w:r w:rsidRPr="0033303B">
              <w:t>19</w:t>
            </w:r>
          </w:p>
        </w:tc>
        <w:tc>
          <w:tcPr>
            <w:tcW w:w="1697" w:type="dxa"/>
            <w:tcBorders>
              <w:top w:val="single" w:sz="4" w:space="0" w:color="auto"/>
              <w:left w:val="single" w:sz="4" w:space="0" w:color="auto"/>
              <w:bottom w:val="single" w:sz="4" w:space="0" w:color="auto"/>
              <w:right w:val="single" w:sz="4" w:space="0" w:color="auto"/>
            </w:tcBorders>
            <w:hideMark/>
          </w:tcPr>
          <w:p w14:paraId="2A8095B3" w14:textId="77777777" w:rsidR="0033303B" w:rsidRPr="0033303B" w:rsidRDefault="0033303B" w:rsidP="005B076E">
            <w:pPr>
              <w:jc w:val="right"/>
              <w:rPr>
                <w:snapToGrid w:val="0"/>
                <w:szCs w:val="24"/>
              </w:rPr>
            </w:pPr>
            <w:r w:rsidRPr="0033303B">
              <w:t>1.0 %</w:t>
            </w:r>
          </w:p>
        </w:tc>
        <w:tc>
          <w:tcPr>
            <w:tcW w:w="1417" w:type="dxa"/>
            <w:tcBorders>
              <w:top w:val="single" w:sz="4" w:space="0" w:color="auto"/>
              <w:left w:val="single" w:sz="4" w:space="0" w:color="auto"/>
              <w:bottom w:val="single" w:sz="4" w:space="0" w:color="auto"/>
              <w:right w:val="single" w:sz="4" w:space="0" w:color="auto"/>
            </w:tcBorders>
            <w:hideMark/>
          </w:tcPr>
          <w:p w14:paraId="21FBADB9" w14:textId="77777777" w:rsidR="0033303B" w:rsidRPr="0033303B" w:rsidRDefault="0033303B" w:rsidP="005B076E">
            <w:pPr>
              <w:jc w:val="right"/>
              <w:rPr>
                <w:snapToGrid w:val="0"/>
                <w:szCs w:val="24"/>
              </w:rPr>
            </w:pPr>
            <w:r w:rsidRPr="0033303B">
              <w:t>1 867</w:t>
            </w:r>
          </w:p>
        </w:tc>
        <w:tc>
          <w:tcPr>
            <w:tcW w:w="1985" w:type="dxa"/>
            <w:tcBorders>
              <w:top w:val="single" w:sz="4" w:space="0" w:color="auto"/>
              <w:left w:val="single" w:sz="4" w:space="0" w:color="auto"/>
              <w:bottom w:val="single" w:sz="4" w:space="0" w:color="auto"/>
              <w:right w:val="single" w:sz="4" w:space="0" w:color="auto"/>
            </w:tcBorders>
            <w:hideMark/>
          </w:tcPr>
          <w:p w14:paraId="4F4466CD" w14:textId="77777777" w:rsidR="0033303B" w:rsidRPr="0033303B" w:rsidRDefault="0033303B" w:rsidP="005B076E">
            <w:pPr>
              <w:jc w:val="right"/>
              <w:rPr>
                <w:snapToGrid w:val="0"/>
                <w:szCs w:val="24"/>
              </w:rPr>
            </w:pPr>
            <w:r w:rsidRPr="0033303B">
              <w:t>99.0 %</w:t>
            </w:r>
          </w:p>
        </w:tc>
      </w:tr>
      <w:tr w:rsidR="0033303B" w:rsidRPr="0033303B" w14:paraId="5E02021F"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480549F3" w14:textId="77777777" w:rsidR="0033303B" w:rsidRPr="0033303B" w:rsidRDefault="0033303B" w:rsidP="005B076E">
            <w:pPr>
              <w:jc w:val="center"/>
              <w:rPr>
                <w:snapToGrid w:val="0"/>
                <w:szCs w:val="24"/>
              </w:rPr>
            </w:pPr>
            <w:r w:rsidRPr="0033303B">
              <w:t>2007</w:t>
            </w:r>
          </w:p>
        </w:tc>
        <w:tc>
          <w:tcPr>
            <w:tcW w:w="1473" w:type="dxa"/>
            <w:tcBorders>
              <w:top w:val="single" w:sz="4" w:space="0" w:color="auto"/>
              <w:left w:val="single" w:sz="4" w:space="0" w:color="auto"/>
              <w:bottom w:val="single" w:sz="4" w:space="0" w:color="auto"/>
              <w:right w:val="single" w:sz="4" w:space="0" w:color="auto"/>
            </w:tcBorders>
          </w:tcPr>
          <w:p w14:paraId="0DF2C9A5" w14:textId="77777777" w:rsidR="0033303B" w:rsidRPr="0033303B" w:rsidRDefault="0033303B" w:rsidP="005B076E">
            <w:pPr>
              <w:jc w:val="right"/>
              <w:rPr>
                <w:szCs w:val="24"/>
              </w:rPr>
            </w:pPr>
            <w:r w:rsidRPr="0033303B">
              <w:t>1 506</w:t>
            </w:r>
          </w:p>
        </w:tc>
        <w:tc>
          <w:tcPr>
            <w:tcW w:w="1275" w:type="dxa"/>
            <w:tcBorders>
              <w:top w:val="single" w:sz="4" w:space="0" w:color="auto"/>
              <w:left w:val="single" w:sz="4" w:space="0" w:color="auto"/>
              <w:bottom w:val="single" w:sz="4" w:space="0" w:color="auto"/>
              <w:right w:val="single" w:sz="4" w:space="0" w:color="auto"/>
            </w:tcBorders>
            <w:hideMark/>
          </w:tcPr>
          <w:p w14:paraId="362E74AA" w14:textId="77777777" w:rsidR="0033303B" w:rsidRPr="0033303B" w:rsidRDefault="0033303B" w:rsidP="005B076E">
            <w:pPr>
              <w:jc w:val="right"/>
              <w:rPr>
                <w:snapToGrid w:val="0"/>
                <w:szCs w:val="24"/>
              </w:rPr>
            </w:pPr>
            <w:r w:rsidRPr="0033303B">
              <w:t>26</w:t>
            </w:r>
          </w:p>
        </w:tc>
        <w:tc>
          <w:tcPr>
            <w:tcW w:w="1697" w:type="dxa"/>
            <w:tcBorders>
              <w:top w:val="single" w:sz="4" w:space="0" w:color="auto"/>
              <w:left w:val="single" w:sz="4" w:space="0" w:color="auto"/>
              <w:bottom w:val="single" w:sz="4" w:space="0" w:color="auto"/>
              <w:right w:val="single" w:sz="4" w:space="0" w:color="auto"/>
            </w:tcBorders>
            <w:hideMark/>
          </w:tcPr>
          <w:p w14:paraId="2F3E80AA" w14:textId="77777777" w:rsidR="0033303B" w:rsidRPr="0033303B" w:rsidRDefault="0033303B" w:rsidP="005B076E">
            <w:pPr>
              <w:jc w:val="right"/>
              <w:rPr>
                <w:snapToGrid w:val="0"/>
                <w:szCs w:val="24"/>
              </w:rPr>
            </w:pPr>
            <w:r w:rsidRPr="0033303B">
              <w:t>1.7 %</w:t>
            </w:r>
          </w:p>
        </w:tc>
        <w:tc>
          <w:tcPr>
            <w:tcW w:w="1417" w:type="dxa"/>
            <w:tcBorders>
              <w:top w:val="single" w:sz="4" w:space="0" w:color="auto"/>
              <w:left w:val="single" w:sz="4" w:space="0" w:color="auto"/>
              <w:bottom w:val="single" w:sz="4" w:space="0" w:color="auto"/>
              <w:right w:val="single" w:sz="4" w:space="0" w:color="auto"/>
            </w:tcBorders>
            <w:hideMark/>
          </w:tcPr>
          <w:p w14:paraId="0BDACA9C" w14:textId="77777777" w:rsidR="0033303B" w:rsidRPr="0033303B" w:rsidRDefault="0033303B" w:rsidP="005B076E">
            <w:pPr>
              <w:jc w:val="right"/>
              <w:rPr>
                <w:snapToGrid w:val="0"/>
                <w:szCs w:val="24"/>
              </w:rPr>
            </w:pPr>
            <w:r w:rsidRPr="0033303B">
              <w:t>1 480</w:t>
            </w:r>
          </w:p>
        </w:tc>
        <w:tc>
          <w:tcPr>
            <w:tcW w:w="1985" w:type="dxa"/>
            <w:tcBorders>
              <w:top w:val="single" w:sz="4" w:space="0" w:color="auto"/>
              <w:left w:val="single" w:sz="4" w:space="0" w:color="auto"/>
              <w:bottom w:val="single" w:sz="4" w:space="0" w:color="auto"/>
              <w:right w:val="single" w:sz="4" w:space="0" w:color="auto"/>
            </w:tcBorders>
            <w:hideMark/>
          </w:tcPr>
          <w:p w14:paraId="639B75C5" w14:textId="77777777" w:rsidR="0033303B" w:rsidRPr="0033303B" w:rsidRDefault="0033303B" w:rsidP="005B076E">
            <w:pPr>
              <w:jc w:val="right"/>
              <w:rPr>
                <w:snapToGrid w:val="0"/>
                <w:szCs w:val="24"/>
              </w:rPr>
            </w:pPr>
            <w:r w:rsidRPr="0033303B">
              <w:t>98.3 %</w:t>
            </w:r>
          </w:p>
        </w:tc>
      </w:tr>
      <w:tr w:rsidR="0033303B" w:rsidRPr="0033303B" w14:paraId="71E5A568"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0E184D43" w14:textId="77777777" w:rsidR="0033303B" w:rsidRPr="0033303B" w:rsidRDefault="0033303B" w:rsidP="005B076E">
            <w:pPr>
              <w:jc w:val="center"/>
              <w:rPr>
                <w:snapToGrid w:val="0"/>
                <w:szCs w:val="24"/>
              </w:rPr>
            </w:pPr>
            <w:r w:rsidRPr="0033303B">
              <w:t>2006</w:t>
            </w:r>
          </w:p>
        </w:tc>
        <w:tc>
          <w:tcPr>
            <w:tcW w:w="1473" w:type="dxa"/>
            <w:tcBorders>
              <w:top w:val="single" w:sz="4" w:space="0" w:color="auto"/>
              <w:left w:val="single" w:sz="4" w:space="0" w:color="auto"/>
              <w:bottom w:val="single" w:sz="4" w:space="0" w:color="auto"/>
              <w:right w:val="single" w:sz="4" w:space="0" w:color="auto"/>
            </w:tcBorders>
          </w:tcPr>
          <w:p w14:paraId="5558A954" w14:textId="77777777" w:rsidR="0033303B" w:rsidRPr="0033303B" w:rsidRDefault="0033303B" w:rsidP="005B076E">
            <w:pPr>
              <w:jc w:val="right"/>
              <w:rPr>
                <w:szCs w:val="24"/>
              </w:rPr>
            </w:pPr>
            <w:r w:rsidRPr="0033303B">
              <w:t>1 021</w:t>
            </w:r>
          </w:p>
        </w:tc>
        <w:tc>
          <w:tcPr>
            <w:tcW w:w="1275" w:type="dxa"/>
            <w:tcBorders>
              <w:top w:val="single" w:sz="4" w:space="0" w:color="auto"/>
              <w:left w:val="single" w:sz="4" w:space="0" w:color="auto"/>
              <w:bottom w:val="single" w:sz="4" w:space="0" w:color="auto"/>
              <w:right w:val="single" w:sz="4" w:space="0" w:color="auto"/>
            </w:tcBorders>
            <w:hideMark/>
          </w:tcPr>
          <w:p w14:paraId="4564D8E0" w14:textId="77777777" w:rsidR="0033303B" w:rsidRPr="0033303B" w:rsidRDefault="0033303B" w:rsidP="005B076E">
            <w:pPr>
              <w:jc w:val="right"/>
              <w:rPr>
                <w:snapToGrid w:val="0"/>
                <w:szCs w:val="24"/>
              </w:rPr>
            </w:pPr>
            <w:r w:rsidRPr="0033303B">
              <w:rPr>
                <w:snapToGrid w:val="0"/>
                <w:szCs w:val="24"/>
              </w:rPr>
              <w:t>6</w:t>
            </w:r>
          </w:p>
        </w:tc>
        <w:tc>
          <w:tcPr>
            <w:tcW w:w="1697" w:type="dxa"/>
            <w:tcBorders>
              <w:top w:val="single" w:sz="4" w:space="0" w:color="auto"/>
              <w:left w:val="single" w:sz="4" w:space="0" w:color="auto"/>
              <w:bottom w:val="single" w:sz="4" w:space="0" w:color="auto"/>
              <w:right w:val="single" w:sz="4" w:space="0" w:color="auto"/>
            </w:tcBorders>
            <w:hideMark/>
          </w:tcPr>
          <w:p w14:paraId="48E0EFA7" w14:textId="77777777" w:rsidR="0033303B" w:rsidRPr="0033303B" w:rsidRDefault="0033303B" w:rsidP="005B076E">
            <w:pPr>
              <w:jc w:val="right"/>
              <w:rPr>
                <w:snapToGrid w:val="0"/>
                <w:szCs w:val="24"/>
              </w:rPr>
            </w:pPr>
            <w:r w:rsidRPr="0033303B">
              <w:t>0.6 %</w:t>
            </w:r>
          </w:p>
        </w:tc>
        <w:tc>
          <w:tcPr>
            <w:tcW w:w="1417" w:type="dxa"/>
            <w:tcBorders>
              <w:top w:val="single" w:sz="4" w:space="0" w:color="auto"/>
              <w:left w:val="single" w:sz="4" w:space="0" w:color="auto"/>
              <w:bottom w:val="single" w:sz="4" w:space="0" w:color="auto"/>
              <w:right w:val="single" w:sz="4" w:space="0" w:color="auto"/>
            </w:tcBorders>
            <w:hideMark/>
          </w:tcPr>
          <w:p w14:paraId="7856B12E" w14:textId="77777777" w:rsidR="0033303B" w:rsidRPr="0033303B" w:rsidRDefault="0033303B" w:rsidP="005B076E">
            <w:pPr>
              <w:jc w:val="right"/>
              <w:rPr>
                <w:snapToGrid w:val="0"/>
                <w:szCs w:val="24"/>
              </w:rPr>
            </w:pPr>
            <w:r w:rsidRPr="0033303B">
              <w:t>1 015</w:t>
            </w:r>
          </w:p>
        </w:tc>
        <w:tc>
          <w:tcPr>
            <w:tcW w:w="1985" w:type="dxa"/>
            <w:tcBorders>
              <w:top w:val="single" w:sz="4" w:space="0" w:color="auto"/>
              <w:left w:val="single" w:sz="4" w:space="0" w:color="auto"/>
              <w:bottom w:val="single" w:sz="4" w:space="0" w:color="auto"/>
              <w:right w:val="single" w:sz="4" w:space="0" w:color="auto"/>
            </w:tcBorders>
            <w:hideMark/>
          </w:tcPr>
          <w:p w14:paraId="30D837E9" w14:textId="77777777" w:rsidR="0033303B" w:rsidRPr="0033303B" w:rsidRDefault="0033303B" w:rsidP="005B076E">
            <w:pPr>
              <w:jc w:val="right"/>
              <w:rPr>
                <w:snapToGrid w:val="0"/>
                <w:szCs w:val="24"/>
              </w:rPr>
            </w:pPr>
            <w:r w:rsidRPr="0033303B">
              <w:t>99.4 %</w:t>
            </w:r>
          </w:p>
        </w:tc>
      </w:tr>
      <w:tr w:rsidR="0033303B" w:rsidRPr="0033303B" w14:paraId="395D9B27"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120776BA" w14:textId="77777777" w:rsidR="0033303B" w:rsidRPr="0033303B" w:rsidRDefault="0033303B" w:rsidP="005B076E">
            <w:pPr>
              <w:jc w:val="center"/>
              <w:rPr>
                <w:snapToGrid w:val="0"/>
                <w:szCs w:val="24"/>
              </w:rPr>
            </w:pPr>
            <w:r w:rsidRPr="0033303B">
              <w:t>2005</w:t>
            </w:r>
          </w:p>
        </w:tc>
        <w:tc>
          <w:tcPr>
            <w:tcW w:w="1473" w:type="dxa"/>
            <w:tcBorders>
              <w:top w:val="single" w:sz="4" w:space="0" w:color="auto"/>
              <w:left w:val="single" w:sz="4" w:space="0" w:color="auto"/>
              <w:bottom w:val="single" w:sz="4" w:space="0" w:color="auto"/>
              <w:right w:val="single" w:sz="4" w:space="0" w:color="auto"/>
            </w:tcBorders>
          </w:tcPr>
          <w:p w14:paraId="43627F6F" w14:textId="77777777" w:rsidR="0033303B" w:rsidRPr="0033303B" w:rsidRDefault="0033303B" w:rsidP="005B076E">
            <w:pPr>
              <w:jc w:val="right"/>
              <w:rPr>
                <w:szCs w:val="24"/>
              </w:rPr>
            </w:pPr>
            <w:r w:rsidRPr="0033303B">
              <w:t>1 016</w:t>
            </w:r>
          </w:p>
        </w:tc>
        <w:tc>
          <w:tcPr>
            <w:tcW w:w="1275" w:type="dxa"/>
            <w:tcBorders>
              <w:top w:val="single" w:sz="4" w:space="0" w:color="auto"/>
              <w:left w:val="single" w:sz="4" w:space="0" w:color="auto"/>
              <w:bottom w:val="single" w:sz="4" w:space="0" w:color="auto"/>
              <w:right w:val="single" w:sz="4" w:space="0" w:color="auto"/>
            </w:tcBorders>
            <w:hideMark/>
          </w:tcPr>
          <w:p w14:paraId="34BF9234" w14:textId="77777777" w:rsidR="0033303B" w:rsidRPr="0033303B" w:rsidRDefault="0033303B" w:rsidP="005B076E">
            <w:pPr>
              <w:jc w:val="right"/>
              <w:rPr>
                <w:snapToGrid w:val="0"/>
                <w:szCs w:val="24"/>
              </w:rPr>
            </w:pPr>
            <w:r w:rsidRPr="0033303B">
              <w:t>3</w:t>
            </w:r>
          </w:p>
        </w:tc>
        <w:tc>
          <w:tcPr>
            <w:tcW w:w="1697" w:type="dxa"/>
            <w:tcBorders>
              <w:top w:val="single" w:sz="4" w:space="0" w:color="auto"/>
              <w:left w:val="single" w:sz="4" w:space="0" w:color="auto"/>
              <w:bottom w:val="single" w:sz="4" w:space="0" w:color="auto"/>
              <w:right w:val="single" w:sz="4" w:space="0" w:color="auto"/>
            </w:tcBorders>
            <w:hideMark/>
          </w:tcPr>
          <w:p w14:paraId="3458964E" w14:textId="77777777" w:rsidR="0033303B" w:rsidRPr="0033303B" w:rsidRDefault="0033303B" w:rsidP="005B076E">
            <w:pPr>
              <w:jc w:val="right"/>
              <w:rPr>
                <w:snapToGrid w:val="0"/>
                <w:szCs w:val="24"/>
              </w:rPr>
            </w:pPr>
            <w:r w:rsidRPr="0033303B">
              <w:t>0.3 %</w:t>
            </w:r>
          </w:p>
        </w:tc>
        <w:tc>
          <w:tcPr>
            <w:tcW w:w="1417" w:type="dxa"/>
            <w:tcBorders>
              <w:top w:val="single" w:sz="4" w:space="0" w:color="auto"/>
              <w:left w:val="single" w:sz="4" w:space="0" w:color="auto"/>
              <w:bottom w:val="single" w:sz="4" w:space="0" w:color="auto"/>
              <w:right w:val="single" w:sz="4" w:space="0" w:color="auto"/>
            </w:tcBorders>
            <w:hideMark/>
          </w:tcPr>
          <w:p w14:paraId="458AF7C4" w14:textId="77777777" w:rsidR="0033303B" w:rsidRPr="0033303B" w:rsidRDefault="0033303B" w:rsidP="005B076E">
            <w:pPr>
              <w:jc w:val="right"/>
              <w:rPr>
                <w:snapToGrid w:val="0"/>
                <w:szCs w:val="24"/>
              </w:rPr>
            </w:pPr>
            <w:r w:rsidRPr="0033303B">
              <w:t>1 013</w:t>
            </w:r>
          </w:p>
        </w:tc>
        <w:tc>
          <w:tcPr>
            <w:tcW w:w="1985" w:type="dxa"/>
            <w:tcBorders>
              <w:top w:val="single" w:sz="4" w:space="0" w:color="auto"/>
              <w:left w:val="single" w:sz="4" w:space="0" w:color="auto"/>
              <w:bottom w:val="single" w:sz="4" w:space="0" w:color="auto"/>
              <w:right w:val="single" w:sz="4" w:space="0" w:color="auto"/>
            </w:tcBorders>
            <w:hideMark/>
          </w:tcPr>
          <w:p w14:paraId="7F4FF457" w14:textId="77777777" w:rsidR="0033303B" w:rsidRPr="0033303B" w:rsidRDefault="0033303B" w:rsidP="005B076E">
            <w:pPr>
              <w:jc w:val="right"/>
              <w:rPr>
                <w:snapToGrid w:val="0"/>
                <w:szCs w:val="24"/>
              </w:rPr>
            </w:pPr>
            <w:r w:rsidRPr="0033303B">
              <w:t>99.7 %</w:t>
            </w:r>
          </w:p>
        </w:tc>
      </w:tr>
      <w:tr w:rsidR="0033303B" w:rsidRPr="0033303B" w14:paraId="7CF8EF0B"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5715F039" w14:textId="77777777" w:rsidR="0033303B" w:rsidRPr="0033303B" w:rsidRDefault="0033303B" w:rsidP="005B076E">
            <w:pPr>
              <w:jc w:val="center"/>
              <w:rPr>
                <w:snapToGrid w:val="0"/>
                <w:szCs w:val="24"/>
              </w:rPr>
            </w:pPr>
            <w:r w:rsidRPr="0033303B">
              <w:t>2004</w:t>
            </w:r>
          </w:p>
        </w:tc>
        <w:tc>
          <w:tcPr>
            <w:tcW w:w="1473" w:type="dxa"/>
            <w:tcBorders>
              <w:top w:val="single" w:sz="4" w:space="0" w:color="auto"/>
              <w:left w:val="single" w:sz="4" w:space="0" w:color="auto"/>
              <w:bottom w:val="single" w:sz="4" w:space="0" w:color="auto"/>
              <w:right w:val="single" w:sz="4" w:space="0" w:color="auto"/>
            </w:tcBorders>
          </w:tcPr>
          <w:p w14:paraId="7FAD985D" w14:textId="77777777" w:rsidR="0033303B" w:rsidRPr="0033303B" w:rsidRDefault="0033303B" w:rsidP="005B076E">
            <w:pPr>
              <w:jc w:val="right"/>
              <w:rPr>
                <w:snapToGrid w:val="0"/>
                <w:szCs w:val="24"/>
              </w:rPr>
            </w:pPr>
            <w:r w:rsidRPr="0033303B">
              <w:rPr>
                <w:snapToGrid w:val="0"/>
                <w:szCs w:val="24"/>
              </w:rPr>
              <w:t>1 002</w:t>
            </w:r>
          </w:p>
        </w:tc>
        <w:tc>
          <w:tcPr>
            <w:tcW w:w="1275" w:type="dxa"/>
            <w:tcBorders>
              <w:top w:val="single" w:sz="4" w:space="0" w:color="auto"/>
              <w:left w:val="single" w:sz="4" w:space="0" w:color="auto"/>
              <w:bottom w:val="single" w:sz="4" w:space="0" w:color="auto"/>
              <w:right w:val="single" w:sz="4" w:space="0" w:color="auto"/>
            </w:tcBorders>
            <w:hideMark/>
          </w:tcPr>
          <w:p w14:paraId="41BB29F0" w14:textId="77777777" w:rsidR="0033303B" w:rsidRPr="0033303B" w:rsidRDefault="0033303B" w:rsidP="005B076E">
            <w:pPr>
              <w:jc w:val="right"/>
              <w:rPr>
                <w:snapToGrid w:val="0"/>
                <w:szCs w:val="24"/>
              </w:rPr>
            </w:pPr>
            <w:r w:rsidRPr="0033303B">
              <w:rPr>
                <w:snapToGrid w:val="0"/>
                <w:szCs w:val="24"/>
              </w:rPr>
              <w:t>3</w:t>
            </w:r>
          </w:p>
        </w:tc>
        <w:tc>
          <w:tcPr>
            <w:tcW w:w="1697" w:type="dxa"/>
            <w:tcBorders>
              <w:top w:val="single" w:sz="4" w:space="0" w:color="auto"/>
              <w:left w:val="single" w:sz="4" w:space="0" w:color="auto"/>
              <w:bottom w:val="single" w:sz="4" w:space="0" w:color="auto"/>
              <w:right w:val="single" w:sz="4" w:space="0" w:color="auto"/>
            </w:tcBorders>
            <w:hideMark/>
          </w:tcPr>
          <w:p w14:paraId="4444A34B" w14:textId="77777777" w:rsidR="0033303B" w:rsidRPr="0033303B" w:rsidRDefault="0033303B" w:rsidP="005B076E">
            <w:pPr>
              <w:jc w:val="right"/>
              <w:rPr>
                <w:snapToGrid w:val="0"/>
                <w:szCs w:val="24"/>
              </w:rPr>
            </w:pPr>
            <w:r w:rsidRPr="0033303B">
              <w:t>0.3 %</w:t>
            </w:r>
          </w:p>
        </w:tc>
        <w:tc>
          <w:tcPr>
            <w:tcW w:w="1417" w:type="dxa"/>
            <w:tcBorders>
              <w:top w:val="single" w:sz="4" w:space="0" w:color="auto"/>
              <w:left w:val="single" w:sz="4" w:space="0" w:color="auto"/>
              <w:bottom w:val="single" w:sz="4" w:space="0" w:color="auto"/>
              <w:right w:val="single" w:sz="4" w:space="0" w:color="auto"/>
            </w:tcBorders>
            <w:hideMark/>
          </w:tcPr>
          <w:p w14:paraId="18395C8D" w14:textId="77777777" w:rsidR="0033303B" w:rsidRPr="0033303B" w:rsidRDefault="0033303B" w:rsidP="005B076E">
            <w:pPr>
              <w:jc w:val="right"/>
              <w:rPr>
                <w:snapToGrid w:val="0"/>
                <w:szCs w:val="24"/>
              </w:rPr>
            </w:pPr>
            <w:r w:rsidRPr="0033303B">
              <w:t>999</w:t>
            </w:r>
          </w:p>
        </w:tc>
        <w:tc>
          <w:tcPr>
            <w:tcW w:w="1985" w:type="dxa"/>
            <w:tcBorders>
              <w:top w:val="single" w:sz="4" w:space="0" w:color="auto"/>
              <w:left w:val="single" w:sz="4" w:space="0" w:color="auto"/>
              <w:bottom w:val="single" w:sz="4" w:space="0" w:color="auto"/>
              <w:right w:val="single" w:sz="4" w:space="0" w:color="auto"/>
            </w:tcBorders>
            <w:hideMark/>
          </w:tcPr>
          <w:p w14:paraId="6BA03AB4" w14:textId="77777777" w:rsidR="0033303B" w:rsidRPr="0033303B" w:rsidRDefault="0033303B" w:rsidP="005B076E">
            <w:pPr>
              <w:jc w:val="right"/>
              <w:rPr>
                <w:snapToGrid w:val="0"/>
                <w:szCs w:val="24"/>
              </w:rPr>
            </w:pPr>
            <w:r w:rsidRPr="0033303B">
              <w:t>99.7 %</w:t>
            </w:r>
          </w:p>
        </w:tc>
      </w:tr>
      <w:tr w:rsidR="0033303B" w:rsidRPr="0033303B" w14:paraId="045DFB6A" w14:textId="77777777" w:rsidTr="005B076E">
        <w:trPr>
          <w:jc w:val="center"/>
        </w:trPr>
        <w:tc>
          <w:tcPr>
            <w:tcW w:w="937" w:type="dxa"/>
            <w:tcBorders>
              <w:top w:val="single" w:sz="4" w:space="0" w:color="auto"/>
              <w:left w:val="single" w:sz="4" w:space="0" w:color="auto"/>
              <w:bottom w:val="single" w:sz="4" w:space="0" w:color="auto"/>
              <w:right w:val="single" w:sz="4" w:space="0" w:color="auto"/>
            </w:tcBorders>
            <w:hideMark/>
          </w:tcPr>
          <w:p w14:paraId="74F76950" w14:textId="77777777" w:rsidR="0033303B" w:rsidRPr="0033303B" w:rsidRDefault="0033303B" w:rsidP="005B076E">
            <w:pPr>
              <w:jc w:val="center"/>
              <w:rPr>
                <w:snapToGrid w:val="0"/>
                <w:szCs w:val="24"/>
              </w:rPr>
            </w:pPr>
            <w:r w:rsidRPr="0033303B">
              <w:t>2003</w:t>
            </w:r>
          </w:p>
        </w:tc>
        <w:tc>
          <w:tcPr>
            <w:tcW w:w="1473" w:type="dxa"/>
            <w:tcBorders>
              <w:top w:val="single" w:sz="4" w:space="0" w:color="auto"/>
              <w:left w:val="single" w:sz="4" w:space="0" w:color="auto"/>
              <w:bottom w:val="single" w:sz="4" w:space="0" w:color="auto"/>
              <w:right w:val="single" w:sz="4" w:space="0" w:color="auto"/>
            </w:tcBorders>
          </w:tcPr>
          <w:p w14:paraId="529006B1" w14:textId="77777777" w:rsidR="0033303B" w:rsidRPr="0033303B" w:rsidRDefault="0033303B" w:rsidP="005B076E">
            <w:pPr>
              <w:jc w:val="right"/>
              <w:rPr>
                <w:szCs w:val="24"/>
              </w:rPr>
            </w:pPr>
            <w:r w:rsidRPr="0033303B">
              <w:t>1 315</w:t>
            </w:r>
          </w:p>
        </w:tc>
        <w:tc>
          <w:tcPr>
            <w:tcW w:w="1275" w:type="dxa"/>
            <w:tcBorders>
              <w:top w:val="single" w:sz="4" w:space="0" w:color="auto"/>
              <w:left w:val="single" w:sz="4" w:space="0" w:color="auto"/>
              <w:bottom w:val="single" w:sz="4" w:space="0" w:color="auto"/>
              <w:right w:val="single" w:sz="4" w:space="0" w:color="auto"/>
            </w:tcBorders>
            <w:hideMark/>
          </w:tcPr>
          <w:p w14:paraId="7A5D8C0A" w14:textId="77777777" w:rsidR="0033303B" w:rsidRPr="0033303B" w:rsidRDefault="0033303B" w:rsidP="005B076E">
            <w:pPr>
              <w:jc w:val="right"/>
              <w:rPr>
                <w:snapToGrid w:val="0"/>
                <w:szCs w:val="24"/>
              </w:rPr>
            </w:pPr>
            <w:r w:rsidRPr="0033303B">
              <w:t>0</w:t>
            </w:r>
          </w:p>
        </w:tc>
        <w:tc>
          <w:tcPr>
            <w:tcW w:w="1697" w:type="dxa"/>
            <w:tcBorders>
              <w:top w:val="single" w:sz="4" w:space="0" w:color="auto"/>
              <w:left w:val="single" w:sz="4" w:space="0" w:color="auto"/>
              <w:bottom w:val="single" w:sz="4" w:space="0" w:color="auto"/>
              <w:right w:val="single" w:sz="4" w:space="0" w:color="auto"/>
            </w:tcBorders>
            <w:hideMark/>
          </w:tcPr>
          <w:p w14:paraId="71D2505E" w14:textId="77777777" w:rsidR="0033303B" w:rsidRPr="0033303B" w:rsidRDefault="0033303B" w:rsidP="005B076E">
            <w:pPr>
              <w:jc w:val="right"/>
              <w:rPr>
                <w:snapToGrid w:val="0"/>
                <w:szCs w:val="24"/>
              </w:rPr>
            </w:pPr>
            <w:r w:rsidRPr="0033303B">
              <w:t>0 %</w:t>
            </w:r>
          </w:p>
        </w:tc>
        <w:tc>
          <w:tcPr>
            <w:tcW w:w="1417" w:type="dxa"/>
            <w:tcBorders>
              <w:top w:val="single" w:sz="4" w:space="0" w:color="auto"/>
              <w:left w:val="single" w:sz="4" w:space="0" w:color="auto"/>
              <w:bottom w:val="single" w:sz="4" w:space="0" w:color="auto"/>
              <w:right w:val="single" w:sz="4" w:space="0" w:color="auto"/>
            </w:tcBorders>
            <w:hideMark/>
          </w:tcPr>
          <w:p w14:paraId="2C62265A" w14:textId="77777777" w:rsidR="0033303B" w:rsidRPr="0033303B" w:rsidRDefault="0033303B" w:rsidP="005B076E">
            <w:pPr>
              <w:jc w:val="right"/>
              <w:rPr>
                <w:snapToGrid w:val="0"/>
                <w:szCs w:val="24"/>
              </w:rPr>
            </w:pPr>
            <w:r w:rsidRPr="0033303B">
              <w:t>1.315</w:t>
            </w:r>
          </w:p>
        </w:tc>
        <w:tc>
          <w:tcPr>
            <w:tcW w:w="1985" w:type="dxa"/>
            <w:tcBorders>
              <w:top w:val="single" w:sz="4" w:space="0" w:color="auto"/>
              <w:left w:val="single" w:sz="4" w:space="0" w:color="auto"/>
              <w:bottom w:val="single" w:sz="4" w:space="0" w:color="auto"/>
              <w:right w:val="single" w:sz="4" w:space="0" w:color="auto"/>
            </w:tcBorders>
            <w:hideMark/>
          </w:tcPr>
          <w:p w14:paraId="4C661C71" w14:textId="77777777" w:rsidR="0033303B" w:rsidRPr="0033303B" w:rsidRDefault="0033303B" w:rsidP="005B076E">
            <w:pPr>
              <w:jc w:val="right"/>
              <w:rPr>
                <w:snapToGrid w:val="0"/>
                <w:szCs w:val="24"/>
              </w:rPr>
            </w:pPr>
            <w:r w:rsidRPr="0033303B">
              <w:t>100 %</w:t>
            </w:r>
          </w:p>
        </w:tc>
      </w:tr>
    </w:tbl>
    <w:p w14:paraId="2482B540" w14:textId="77777777" w:rsidR="0033303B" w:rsidRPr="0033303B" w:rsidRDefault="0033303B" w:rsidP="0033303B">
      <w:pPr>
        <w:rPr>
          <w:szCs w:val="24"/>
        </w:rPr>
      </w:pPr>
    </w:p>
    <w:p w14:paraId="45702461" w14:textId="77777777" w:rsidR="0033303B" w:rsidRPr="0033303B" w:rsidRDefault="0033303B" w:rsidP="0033303B">
      <w:pPr>
        <w:rPr>
          <w:szCs w:val="24"/>
        </w:rPr>
      </w:pPr>
    </w:p>
    <w:p w14:paraId="7A3065B1" w14:textId="77777777" w:rsidR="0033303B" w:rsidRPr="0033303B" w:rsidRDefault="0033303B" w:rsidP="0033303B">
      <w:pPr>
        <w:rPr>
          <w:b/>
          <w:szCs w:val="24"/>
        </w:rPr>
      </w:pPr>
      <w:r w:rsidRPr="0033303B">
        <w:rPr>
          <w:b/>
          <w:szCs w:val="24"/>
        </w:rPr>
        <w:t>Резултати от петициите</w:t>
      </w:r>
    </w:p>
    <w:p w14:paraId="2DBA29F1" w14:textId="77777777" w:rsidR="0033303B" w:rsidRPr="0033303B" w:rsidRDefault="0033303B" w:rsidP="0033303B">
      <w:pPr>
        <w:rPr>
          <w:b/>
          <w:szCs w:val="24"/>
        </w:rPr>
      </w:pPr>
    </w:p>
    <w:p w14:paraId="59E7D917" w14:textId="77777777" w:rsidR="0033303B" w:rsidRPr="0033303B" w:rsidRDefault="0033303B" w:rsidP="0033303B">
      <w:pPr>
        <w:rPr>
          <w:szCs w:val="24"/>
        </w:rPr>
        <w:sectPr w:rsidR="0033303B" w:rsidRPr="0033303B" w:rsidSect="0033303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titlePg/>
          <w:docGrid w:linePitch="360"/>
        </w:sectPr>
      </w:pPr>
    </w:p>
    <w:p w14:paraId="2E803FB1" w14:textId="77777777" w:rsidR="0033303B" w:rsidRPr="0033303B" w:rsidRDefault="0033303B" w:rsidP="0033303B">
      <w:pPr>
        <w:spacing w:after="160"/>
        <w:rPr>
          <w:szCs w:val="24"/>
        </w:rPr>
      </w:pPr>
      <w:r w:rsidRPr="0033303B">
        <w:t>2017</w:t>
      </w:r>
    </w:p>
    <w:tbl>
      <w:tblPr>
        <w:tblW w:w="4253" w:type="dxa"/>
        <w:tblInd w:w="-5" w:type="dxa"/>
        <w:tblLook w:val="04A0" w:firstRow="1" w:lastRow="0" w:firstColumn="1" w:lastColumn="0" w:noHBand="0" w:noVBand="1"/>
      </w:tblPr>
      <w:tblGrid>
        <w:gridCol w:w="2552"/>
        <w:gridCol w:w="969"/>
        <w:gridCol w:w="732"/>
      </w:tblGrid>
      <w:tr w:rsidR="0033303B" w:rsidRPr="0033303B" w14:paraId="1D40EDB4" w14:textId="77777777" w:rsidTr="005B076E">
        <w:trPr>
          <w:trHeight w:val="280"/>
        </w:trPr>
        <w:tc>
          <w:tcPr>
            <w:tcW w:w="2552" w:type="dxa"/>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09183834" w14:textId="77777777" w:rsidR="0033303B" w:rsidRPr="0033303B" w:rsidRDefault="0033303B" w:rsidP="005B076E">
            <w:pPr>
              <w:rPr>
                <w:b/>
                <w:bCs/>
                <w:color w:val="FFFFFF"/>
                <w:szCs w:val="24"/>
              </w:rPr>
            </w:pPr>
            <w:r w:rsidRPr="0033303B">
              <w:rPr>
                <w:b/>
                <w:bCs/>
                <w:color w:val="FFFFFF"/>
                <w:szCs w:val="24"/>
              </w:rPr>
              <w:t>Резултати от петициите</w:t>
            </w:r>
          </w:p>
        </w:tc>
        <w:tc>
          <w:tcPr>
            <w:tcW w:w="969" w:type="dxa"/>
            <w:tcBorders>
              <w:top w:val="single" w:sz="4" w:space="0" w:color="CCCCFF"/>
              <w:left w:val="nil"/>
              <w:bottom w:val="single" w:sz="4" w:space="0" w:color="CCCCFF"/>
              <w:right w:val="single" w:sz="4" w:space="0" w:color="CCCCFF"/>
            </w:tcBorders>
            <w:shd w:val="clear" w:color="FFFFFF" w:fill="666699"/>
            <w:noWrap/>
            <w:vAlign w:val="bottom"/>
            <w:hideMark/>
          </w:tcPr>
          <w:p w14:paraId="0130E0A3" w14:textId="77777777" w:rsidR="0033303B" w:rsidRPr="0033303B" w:rsidRDefault="0033303B" w:rsidP="005B076E">
            <w:pPr>
              <w:rPr>
                <w:b/>
                <w:bCs/>
                <w:color w:val="FFFFFF"/>
                <w:szCs w:val="24"/>
              </w:rPr>
            </w:pPr>
            <w:r w:rsidRPr="0033303B">
              <w:rPr>
                <w:b/>
                <w:bCs/>
                <w:color w:val="FFFFFF"/>
                <w:szCs w:val="24"/>
              </w:rPr>
              <w:t>Брой</w:t>
            </w:r>
          </w:p>
        </w:tc>
        <w:tc>
          <w:tcPr>
            <w:tcW w:w="732" w:type="dxa"/>
            <w:tcBorders>
              <w:top w:val="single" w:sz="4" w:space="0" w:color="CCCCFF"/>
              <w:left w:val="nil"/>
              <w:bottom w:val="single" w:sz="4" w:space="0" w:color="CCCCFF"/>
              <w:right w:val="single" w:sz="4" w:space="0" w:color="CCCCFF"/>
            </w:tcBorders>
            <w:shd w:val="clear" w:color="FFFFFF" w:fill="666699"/>
            <w:noWrap/>
            <w:vAlign w:val="bottom"/>
            <w:hideMark/>
          </w:tcPr>
          <w:p w14:paraId="4B26741A" w14:textId="77777777" w:rsidR="0033303B" w:rsidRPr="0033303B" w:rsidRDefault="0033303B" w:rsidP="005B076E">
            <w:pPr>
              <w:ind w:left="-72" w:firstLine="72"/>
              <w:jc w:val="center"/>
              <w:rPr>
                <w:b/>
                <w:bCs/>
                <w:color w:val="FFFFFF"/>
                <w:szCs w:val="24"/>
              </w:rPr>
            </w:pPr>
            <w:r w:rsidRPr="0033303B">
              <w:rPr>
                <w:b/>
                <w:bCs/>
                <w:color w:val="FFFFFF"/>
                <w:szCs w:val="24"/>
              </w:rPr>
              <w:t>%</w:t>
            </w:r>
          </w:p>
        </w:tc>
      </w:tr>
      <w:tr w:rsidR="0033303B" w:rsidRPr="0033303B" w14:paraId="15511B9D"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5EEBD2AD" w14:textId="77777777" w:rsidR="0033303B" w:rsidRPr="0033303B" w:rsidRDefault="0033303B" w:rsidP="005B076E">
            <w:pPr>
              <w:rPr>
                <w:color w:val="000000"/>
                <w:szCs w:val="24"/>
              </w:rPr>
            </w:pPr>
            <w:r w:rsidRPr="0033303B">
              <w:rPr>
                <w:color w:val="000000"/>
                <w:szCs w:val="24"/>
              </w:rPr>
              <w:t>Обявени за допустими и приключени</w:t>
            </w:r>
          </w:p>
        </w:tc>
        <w:tc>
          <w:tcPr>
            <w:tcW w:w="969" w:type="dxa"/>
            <w:tcBorders>
              <w:top w:val="nil"/>
              <w:left w:val="nil"/>
              <w:bottom w:val="single" w:sz="4" w:space="0" w:color="CCCCFF"/>
              <w:right w:val="single" w:sz="4" w:space="0" w:color="CCCCFF"/>
            </w:tcBorders>
            <w:shd w:val="clear" w:color="FFFFFF" w:fill="FFFFFF"/>
            <w:noWrap/>
            <w:vAlign w:val="bottom"/>
            <w:hideMark/>
          </w:tcPr>
          <w:p w14:paraId="17FE3135" w14:textId="77777777" w:rsidR="0033303B" w:rsidRPr="0033303B" w:rsidRDefault="0033303B" w:rsidP="005B076E">
            <w:pPr>
              <w:jc w:val="right"/>
              <w:rPr>
                <w:color w:val="000000"/>
                <w:szCs w:val="24"/>
              </w:rPr>
            </w:pPr>
            <w:r w:rsidRPr="0033303B">
              <w:rPr>
                <w:color w:val="000000"/>
                <w:szCs w:val="24"/>
              </w:rPr>
              <w:t>372</w:t>
            </w:r>
          </w:p>
        </w:tc>
        <w:tc>
          <w:tcPr>
            <w:tcW w:w="732" w:type="dxa"/>
            <w:tcBorders>
              <w:top w:val="nil"/>
              <w:left w:val="nil"/>
              <w:bottom w:val="single" w:sz="4" w:space="0" w:color="CCCCFF"/>
              <w:right w:val="single" w:sz="4" w:space="0" w:color="CCCCFF"/>
            </w:tcBorders>
            <w:shd w:val="clear" w:color="FFFFFF" w:fill="FFFFFF"/>
            <w:noWrap/>
            <w:vAlign w:val="bottom"/>
            <w:hideMark/>
          </w:tcPr>
          <w:p w14:paraId="0DB2897C" w14:textId="77777777" w:rsidR="0033303B" w:rsidRPr="0033303B" w:rsidRDefault="0033303B" w:rsidP="005B076E">
            <w:pPr>
              <w:jc w:val="right"/>
              <w:rPr>
                <w:color w:val="000000"/>
                <w:szCs w:val="24"/>
              </w:rPr>
            </w:pPr>
            <w:r w:rsidRPr="0033303B">
              <w:rPr>
                <w:color w:val="000000"/>
                <w:szCs w:val="24"/>
              </w:rPr>
              <w:t>29.2</w:t>
            </w:r>
          </w:p>
        </w:tc>
      </w:tr>
      <w:tr w:rsidR="0033303B" w:rsidRPr="0033303B" w14:paraId="05CF6C79"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639D0709" w14:textId="77777777" w:rsidR="0033303B" w:rsidRPr="0033303B" w:rsidRDefault="0033303B" w:rsidP="005B076E">
            <w:pPr>
              <w:rPr>
                <w:color w:val="000000"/>
                <w:szCs w:val="24"/>
              </w:rPr>
            </w:pPr>
            <w:r w:rsidRPr="0033303B">
              <w:rPr>
                <w:color w:val="000000"/>
                <w:szCs w:val="24"/>
              </w:rPr>
              <w:t>Обявени за допустими и неприключени</w:t>
            </w:r>
          </w:p>
        </w:tc>
        <w:tc>
          <w:tcPr>
            <w:tcW w:w="969" w:type="dxa"/>
            <w:tcBorders>
              <w:top w:val="nil"/>
              <w:left w:val="nil"/>
              <w:bottom w:val="single" w:sz="4" w:space="0" w:color="CCCCFF"/>
              <w:right w:val="single" w:sz="4" w:space="0" w:color="CCCCFF"/>
            </w:tcBorders>
            <w:shd w:val="clear" w:color="FFFFFF" w:fill="FFFFFF"/>
            <w:noWrap/>
            <w:vAlign w:val="bottom"/>
            <w:hideMark/>
          </w:tcPr>
          <w:p w14:paraId="1A23DC88" w14:textId="77777777" w:rsidR="0033303B" w:rsidRPr="0033303B" w:rsidRDefault="0033303B" w:rsidP="005B076E">
            <w:pPr>
              <w:jc w:val="right"/>
              <w:rPr>
                <w:color w:val="000000"/>
                <w:szCs w:val="24"/>
              </w:rPr>
            </w:pPr>
            <w:r w:rsidRPr="0033303B">
              <w:rPr>
                <w:color w:val="000000"/>
                <w:szCs w:val="24"/>
              </w:rPr>
              <w:t>393</w:t>
            </w:r>
          </w:p>
        </w:tc>
        <w:tc>
          <w:tcPr>
            <w:tcW w:w="732" w:type="dxa"/>
            <w:tcBorders>
              <w:top w:val="nil"/>
              <w:left w:val="nil"/>
              <w:bottom w:val="single" w:sz="4" w:space="0" w:color="CCCCFF"/>
              <w:right w:val="single" w:sz="4" w:space="0" w:color="CCCCFF"/>
            </w:tcBorders>
            <w:shd w:val="clear" w:color="FFFFFF" w:fill="FFFFFF"/>
            <w:noWrap/>
            <w:vAlign w:val="bottom"/>
            <w:hideMark/>
          </w:tcPr>
          <w:p w14:paraId="6CD01556" w14:textId="77777777" w:rsidR="0033303B" w:rsidRPr="0033303B" w:rsidRDefault="0033303B" w:rsidP="005B076E">
            <w:pPr>
              <w:jc w:val="right"/>
              <w:rPr>
                <w:color w:val="000000"/>
                <w:szCs w:val="24"/>
              </w:rPr>
            </w:pPr>
            <w:r w:rsidRPr="0033303B">
              <w:rPr>
                <w:color w:val="000000"/>
                <w:szCs w:val="24"/>
              </w:rPr>
              <w:t>31.0</w:t>
            </w:r>
          </w:p>
        </w:tc>
      </w:tr>
      <w:tr w:rsidR="0033303B" w:rsidRPr="0033303B" w14:paraId="0E88735C"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0181048D" w14:textId="77777777" w:rsidR="0033303B" w:rsidRPr="0033303B" w:rsidRDefault="0033303B" w:rsidP="005B076E">
            <w:pPr>
              <w:rPr>
                <w:color w:val="000000"/>
                <w:szCs w:val="24"/>
              </w:rPr>
            </w:pPr>
            <w:r w:rsidRPr="0033303B">
              <w:rPr>
                <w:color w:val="000000"/>
                <w:szCs w:val="24"/>
              </w:rPr>
              <w:t>Недопустими</w:t>
            </w:r>
          </w:p>
        </w:tc>
        <w:tc>
          <w:tcPr>
            <w:tcW w:w="969" w:type="dxa"/>
            <w:tcBorders>
              <w:top w:val="nil"/>
              <w:left w:val="nil"/>
              <w:bottom w:val="single" w:sz="4" w:space="0" w:color="CCCCFF"/>
              <w:right w:val="single" w:sz="4" w:space="0" w:color="CCCCFF"/>
            </w:tcBorders>
            <w:shd w:val="clear" w:color="FFFFFF" w:fill="FFFFFF"/>
            <w:noWrap/>
            <w:vAlign w:val="bottom"/>
            <w:hideMark/>
          </w:tcPr>
          <w:p w14:paraId="4D98373D" w14:textId="77777777" w:rsidR="0033303B" w:rsidRPr="0033303B" w:rsidRDefault="0033303B" w:rsidP="005B076E">
            <w:pPr>
              <w:jc w:val="right"/>
              <w:rPr>
                <w:color w:val="000000"/>
                <w:szCs w:val="24"/>
              </w:rPr>
            </w:pPr>
            <w:r w:rsidRPr="0033303B">
              <w:rPr>
                <w:color w:val="000000"/>
                <w:szCs w:val="24"/>
              </w:rPr>
              <w:t>495</w:t>
            </w:r>
          </w:p>
        </w:tc>
        <w:tc>
          <w:tcPr>
            <w:tcW w:w="732" w:type="dxa"/>
            <w:tcBorders>
              <w:top w:val="nil"/>
              <w:left w:val="nil"/>
              <w:bottom w:val="single" w:sz="4" w:space="0" w:color="CCCCFF"/>
              <w:right w:val="single" w:sz="4" w:space="0" w:color="CCCCFF"/>
            </w:tcBorders>
            <w:shd w:val="clear" w:color="FFFFFF" w:fill="FFFFFF"/>
            <w:noWrap/>
            <w:vAlign w:val="bottom"/>
            <w:hideMark/>
          </w:tcPr>
          <w:p w14:paraId="638C0AD5" w14:textId="77777777" w:rsidR="0033303B" w:rsidRPr="0033303B" w:rsidRDefault="0033303B" w:rsidP="005B076E">
            <w:pPr>
              <w:jc w:val="right"/>
              <w:rPr>
                <w:color w:val="000000"/>
                <w:szCs w:val="24"/>
              </w:rPr>
            </w:pPr>
            <w:r w:rsidRPr="0033303B">
              <w:rPr>
                <w:color w:val="000000"/>
                <w:szCs w:val="24"/>
              </w:rPr>
              <w:t>39.0</w:t>
            </w:r>
          </w:p>
        </w:tc>
      </w:tr>
      <w:tr w:rsidR="0033303B" w:rsidRPr="0033303B" w14:paraId="54006531"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23BE4C11" w14:textId="77777777" w:rsidR="0033303B" w:rsidRPr="0033303B" w:rsidRDefault="0033303B" w:rsidP="005B076E">
            <w:pPr>
              <w:rPr>
                <w:color w:val="000000"/>
                <w:szCs w:val="24"/>
              </w:rPr>
            </w:pPr>
            <w:r w:rsidRPr="0033303B">
              <w:rPr>
                <w:color w:val="000000"/>
                <w:szCs w:val="24"/>
              </w:rPr>
              <w:t>Оттеглени</w:t>
            </w:r>
          </w:p>
        </w:tc>
        <w:tc>
          <w:tcPr>
            <w:tcW w:w="969" w:type="dxa"/>
            <w:tcBorders>
              <w:top w:val="nil"/>
              <w:left w:val="nil"/>
              <w:bottom w:val="single" w:sz="4" w:space="0" w:color="CCCCFF"/>
              <w:right w:val="single" w:sz="4" w:space="0" w:color="CCCCFF"/>
            </w:tcBorders>
            <w:shd w:val="clear" w:color="FFFFFF" w:fill="FFFFFF"/>
            <w:noWrap/>
            <w:vAlign w:val="bottom"/>
            <w:hideMark/>
          </w:tcPr>
          <w:p w14:paraId="5678F221" w14:textId="77777777" w:rsidR="0033303B" w:rsidRPr="0033303B" w:rsidRDefault="0033303B" w:rsidP="005B076E">
            <w:pPr>
              <w:jc w:val="right"/>
              <w:rPr>
                <w:color w:val="000000"/>
                <w:szCs w:val="24"/>
              </w:rPr>
            </w:pPr>
            <w:r w:rsidRPr="0033303B">
              <w:rPr>
                <w:color w:val="000000"/>
                <w:szCs w:val="24"/>
              </w:rPr>
              <w:t>11</w:t>
            </w:r>
          </w:p>
        </w:tc>
        <w:tc>
          <w:tcPr>
            <w:tcW w:w="732" w:type="dxa"/>
            <w:tcBorders>
              <w:top w:val="nil"/>
              <w:left w:val="nil"/>
              <w:bottom w:val="single" w:sz="4" w:space="0" w:color="CCCCFF"/>
              <w:right w:val="single" w:sz="4" w:space="0" w:color="CCCCFF"/>
            </w:tcBorders>
            <w:shd w:val="clear" w:color="FFFFFF" w:fill="FFFFFF"/>
            <w:noWrap/>
            <w:vAlign w:val="bottom"/>
            <w:hideMark/>
          </w:tcPr>
          <w:p w14:paraId="78EDC08A" w14:textId="77777777" w:rsidR="0033303B" w:rsidRPr="0033303B" w:rsidRDefault="0033303B" w:rsidP="005B076E">
            <w:pPr>
              <w:jc w:val="right"/>
              <w:rPr>
                <w:color w:val="000000"/>
                <w:szCs w:val="24"/>
              </w:rPr>
            </w:pPr>
            <w:r w:rsidRPr="0033303B">
              <w:rPr>
                <w:color w:val="000000"/>
                <w:szCs w:val="24"/>
              </w:rPr>
              <w:t>0.8</w:t>
            </w:r>
          </w:p>
        </w:tc>
      </w:tr>
      <w:tr w:rsidR="0033303B" w:rsidRPr="0033303B" w14:paraId="4178AA18" w14:textId="77777777" w:rsidTr="005B076E">
        <w:trPr>
          <w:trHeight w:val="360"/>
        </w:trPr>
        <w:tc>
          <w:tcPr>
            <w:tcW w:w="2552" w:type="dxa"/>
            <w:tcBorders>
              <w:top w:val="single" w:sz="8" w:space="0" w:color="000000"/>
              <w:left w:val="single" w:sz="4" w:space="0" w:color="CCCCFF"/>
              <w:bottom w:val="single" w:sz="4" w:space="0" w:color="CCCCFF"/>
              <w:right w:val="single" w:sz="4" w:space="0" w:color="CCCCFF"/>
            </w:tcBorders>
            <w:shd w:val="clear" w:color="FFFFFF" w:fill="FFFFFF"/>
            <w:noWrap/>
            <w:vAlign w:val="bottom"/>
            <w:hideMark/>
          </w:tcPr>
          <w:p w14:paraId="2E36FAC5" w14:textId="77777777" w:rsidR="0033303B" w:rsidRPr="0033303B" w:rsidRDefault="0033303B" w:rsidP="005B076E">
            <w:pPr>
              <w:rPr>
                <w:color w:val="000000"/>
                <w:szCs w:val="24"/>
              </w:rPr>
            </w:pPr>
            <w:r w:rsidRPr="0033303B">
              <w:rPr>
                <w:color w:val="000000"/>
                <w:szCs w:val="24"/>
              </w:rPr>
              <w:t>Изпратени за становище на Европейската комисия</w:t>
            </w:r>
          </w:p>
        </w:tc>
        <w:tc>
          <w:tcPr>
            <w:tcW w:w="969" w:type="dxa"/>
            <w:tcBorders>
              <w:top w:val="single" w:sz="8" w:space="0" w:color="000000"/>
              <w:left w:val="nil"/>
              <w:bottom w:val="single" w:sz="4" w:space="0" w:color="CCCCFF"/>
              <w:right w:val="single" w:sz="4" w:space="0" w:color="CCCCFF"/>
            </w:tcBorders>
            <w:shd w:val="clear" w:color="FFFFFF" w:fill="FFFFFF"/>
            <w:noWrap/>
            <w:vAlign w:val="bottom"/>
            <w:hideMark/>
          </w:tcPr>
          <w:p w14:paraId="0E3F159C" w14:textId="77777777" w:rsidR="0033303B" w:rsidRPr="0033303B" w:rsidRDefault="0033303B" w:rsidP="005B076E">
            <w:pPr>
              <w:jc w:val="right"/>
              <w:rPr>
                <w:color w:val="000000"/>
                <w:szCs w:val="24"/>
              </w:rPr>
            </w:pPr>
            <w:r w:rsidRPr="0033303B">
              <w:rPr>
                <w:color w:val="000000"/>
                <w:szCs w:val="24"/>
              </w:rPr>
              <w:t>466</w:t>
            </w:r>
          </w:p>
        </w:tc>
        <w:tc>
          <w:tcPr>
            <w:tcW w:w="732" w:type="dxa"/>
            <w:tcBorders>
              <w:top w:val="single" w:sz="8" w:space="0" w:color="000000"/>
              <w:left w:val="nil"/>
              <w:bottom w:val="single" w:sz="4" w:space="0" w:color="CCCCFF"/>
              <w:right w:val="single" w:sz="4" w:space="0" w:color="CCCCFF"/>
            </w:tcBorders>
            <w:shd w:val="clear" w:color="FFFFFF" w:fill="FFFFFF"/>
            <w:noWrap/>
            <w:vAlign w:val="bottom"/>
            <w:hideMark/>
          </w:tcPr>
          <w:p w14:paraId="252CC46F" w14:textId="77777777" w:rsidR="0033303B" w:rsidRPr="0033303B" w:rsidRDefault="0033303B" w:rsidP="005B076E">
            <w:pPr>
              <w:jc w:val="right"/>
              <w:rPr>
                <w:color w:val="000000"/>
                <w:szCs w:val="24"/>
              </w:rPr>
            </w:pPr>
            <w:r w:rsidRPr="0033303B">
              <w:rPr>
                <w:color w:val="000000"/>
                <w:szCs w:val="24"/>
              </w:rPr>
              <w:t>32.8</w:t>
            </w:r>
          </w:p>
        </w:tc>
      </w:tr>
      <w:tr w:rsidR="0033303B" w:rsidRPr="0033303B" w14:paraId="1418E21A"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4D223768" w14:textId="77777777" w:rsidR="0033303B" w:rsidRPr="0033303B" w:rsidRDefault="0033303B" w:rsidP="005B076E">
            <w:pPr>
              <w:rPr>
                <w:color w:val="000000"/>
                <w:szCs w:val="24"/>
              </w:rPr>
            </w:pPr>
            <w:r w:rsidRPr="0033303B">
              <w:rPr>
                <w:color w:val="000000"/>
                <w:szCs w:val="24"/>
              </w:rPr>
              <w:t>Изпратени за становище на други органи</w:t>
            </w:r>
          </w:p>
        </w:tc>
        <w:tc>
          <w:tcPr>
            <w:tcW w:w="969" w:type="dxa"/>
            <w:tcBorders>
              <w:top w:val="nil"/>
              <w:left w:val="nil"/>
              <w:bottom w:val="single" w:sz="4" w:space="0" w:color="CCCCFF"/>
              <w:right w:val="single" w:sz="4" w:space="0" w:color="CCCCFF"/>
            </w:tcBorders>
            <w:shd w:val="clear" w:color="FFFFFF" w:fill="FFFFFF"/>
            <w:noWrap/>
            <w:vAlign w:val="bottom"/>
            <w:hideMark/>
          </w:tcPr>
          <w:p w14:paraId="34B45EB5" w14:textId="77777777" w:rsidR="0033303B" w:rsidRPr="0033303B" w:rsidRDefault="0033303B" w:rsidP="005B076E">
            <w:pPr>
              <w:jc w:val="right"/>
              <w:rPr>
                <w:color w:val="000000"/>
                <w:szCs w:val="24"/>
              </w:rPr>
            </w:pPr>
            <w:r w:rsidRPr="0033303B">
              <w:rPr>
                <w:color w:val="000000"/>
                <w:szCs w:val="24"/>
              </w:rPr>
              <w:t>38</w:t>
            </w:r>
          </w:p>
        </w:tc>
        <w:tc>
          <w:tcPr>
            <w:tcW w:w="732" w:type="dxa"/>
            <w:tcBorders>
              <w:top w:val="nil"/>
              <w:left w:val="nil"/>
              <w:bottom w:val="single" w:sz="4" w:space="0" w:color="CCCCFF"/>
              <w:right w:val="single" w:sz="4" w:space="0" w:color="CCCCFF"/>
            </w:tcBorders>
            <w:shd w:val="clear" w:color="FFFFFF" w:fill="FFFFFF"/>
            <w:noWrap/>
            <w:vAlign w:val="bottom"/>
            <w:hideMark/>
          </w:tcPr>
          <w:p w14:paraId="06A21C00" w14:textId="77777777" w:rsidR="0033303B" w:rsidRPr="0033303B" w:rsidRDefault="0033303B" w:rsidP="005B076E">
            <w:pPr>
              <w:jc w:val="right"/>
              <w:rPr>
                <w:color w:val="000000"/>
                <w:szCs w:val="24"/>
              </w:rPr>
            </w:pPr>
            <w:r w:rsidRPr="0033303B">
              <w:rPr>
                <w:color w:val="000000"/>
                <w:szCs w:val="24"/>
              </w:rPr>
              <w:t>2.7</w:t>
            </w:r>
          </w:p>
        </w:tc>
      </w:tr>
      <w:tr w:rsidR="0033303B" w:rsidRPr="0033303B" w14:paraId="0ECA4938"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19A6B878" w14:textId="77777777" w:rsidR="0033303B" w:rsidRPr="0033303B" w:rsidRDefault="0033303B" w:rsidP="005B076E">
            <w:pPr>
              <w:rPr>
                <w:color w:val="000000"/>
                <w:szCs w:val="24"/>
              </w:rPr>
            </w:pPr>
            <w:r w:rsidRPr="0033303B">
              <w:rPr>
                <w:color w:val="000000"/>
                <w:szCs w:val="24"/>
              </w:rPr>
              <w:t xml:space="preserve">Изпратени за становище на други </w:t>
            </w:r>
            <w:r w:rsidRPr="0033303B">
              <w:rPr>
                <w:color w:val="000000"/>
                <w:szCs w:val="24"/>
              </w:rPr>
              <w:t>органи</w:t>
            </w:r>
          </w:p>
        </w:tc>
        <w:tc>
          <w:tcPr>
            <w:tcW w:w="969" w:type="dxa"/>
            <w:tcBorders>
              <w:top w:val="nil"/>
              <w:left w:val="nil"/>
              <w:bottom w:val="single" w:sz="4" w:space="0" w:color="CCCCFF"/>
              <w:right w:val="single" w:sz="4" w:space="0" w:color="CCCCFF"/>
            </w:tcBorders>
            <w:shd w:val="clear" w:color="FFFFFF" w:fill="FFFFFF"/>
            <w:noWrap/>
            <w:vAlign w:val="bottom"/>
            <w:hideMark/>
          </w:tcPr>
          <w:p w14:paraId="2BFF8FD6" w14:textId="77777777" w:rsidR="0033303B" w:rsidRPr="0033303B" w:rsidRDefault="0033303B" w:rsidP="005B076E">
            <w:pPr>
              <w:jc w:val="right"/>
              <w:rPr>
                <w:color w:val="000000"/>
                <w:szCs w:val="24"/>
              </w:rPr>
            </w:pPr>
            <w:r w:rsidRPr="0033303B">
              <w:rPr>
                <w:color w:val="000000"/>
                <w:szCs w:val="24"/>
              </w:rPr>
              <w:t>916</w:t>
            </w:r>
          </w:p>
        </w:tc>
        <w:tc>
          <w:tcPr>
            <w:tcW w:w="732" w:type="dxa"/>
            <w:tcBorders>
              <w:top w:val="nil"/>
              <w:left w:val="nil"/>
              <w:bottom w:val="single" w:sz="4" w:space="0" w:color="CCCCFF"/>
              <w:right w:val="single" w:sz="4" w:space="0" w:color="CCCCFF"/>
            </w:tcBorders>
            <w:shd w:val="clear" w:color="FFFFFF" w:fill="FFFFFF"/>
            <w:noWrap/>
            <w:vAlign w:val="bottom"/>
            <w:hideMark/>
          </w:tcPr>
          <w:p w14:paraId="063DE015" w14:textId="77777777" w:rsidR="0033303B" w:rsidRPr="0033303B" w:rsidRDefault="0033303B" w:rsidP="005B076E">
            <w:pPr>
              <w:jc w:val="right"/>
              <w:rPr>
                <w:color w:val="000000"/>
                <w:szCs w:val="24"/>
              </w:rPr>
            </w:pPr>
            <w:r w:rsidRPr="0033303B">
              <w:rPr>
                <w:color w:val="000000"/>
                <w:szCs w:val="24"/>
              </w:rPr>
              <w:t>64.6</w:t>
            </w:r>
          </w:p>
        </w:tc>
      </w:tr>
    </w:tbl>
    <w:p w14:paraId="016796AE" w14:textId="77777777" w:rsidR="0033303B" w:rsidRPr="0033303B" w:rsidRDefault="0033303B" w:rsidP="0033303B">
      <w:pPr>
        <w:spacing w:after="160"/>
        <w:ind w:firstLine="142"/>
        <w:rPr>
          <w:szCs w:val="24"/>
        </w:rPr>
      </w:pPr>
    </w:p>
    <w:p w14:paraId="7E0C4090" w14:textId="77777777" w:rsidR="0033303B" w:rsidRPr="0033303B" w:rsidRDefault="0033303B" w:rsidP="0033303B">
      <w:pPr>
        <w:spacing w:after="160"/>
        <w:ind w:firstLine="142"/>
        <w:rPr>
          <w:szCs w:val="24"/>
        </w:rPr>
      </w:pPr>
      <w:r w:rsidRPr="0033303B">
        <w:t>2016</w:t>
      </w:r>
    </w:p>
    <w:tbl>
      <w:tblPr>
        <w:tblW w:w="4253" w:type="dxa"/>
        <w:tblInd w:w="137" w:type="dxa"/>
        <w:tblLook w:val="04A0" w:firstRow="1" w:lastRow="0" w:firstColumn="1" w:lastColumn="0" w:noHBand="0" w:noVBand="1"/>
      </w:tblPr>
      <w:tblGrid>
        <w:gridCol w:w="2552"/>
        <w:gridCol w:w="992"/>
        <w:gridCol w:w="709"/>
      </w:tblGrid>
      <w:tr w:rsidR="0033303B" w:rsidRPr="0033303B" w14:paraId="3E0F0A25" w14:textId="77777777" w:rsidTr="005B076E">
        <w:trPr>
          <w:trHeight w:val="294"/>
        </w:trPr>
        <w:tc>
          <w:tcPr>
            <w:tcW w:w="2552" w:type="dxa"/>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3715CCB9" w14:textId="77777777" w:rsidR="0033303B" w:rsidRPr="0033303B" w:rsidRDefault="0033303B" w:rsidP="005B076E">
            <w:pPr>
              <w:rPr>
                <w:b/>
                <w:bCs/>
                <w:color w:val="FFFFFF"/>
                <w:szCs w:val="24"/>
              </w:rPr>
            </w:pPr>
            <w:r w:rsidRPr="0033303B">
              <w:rPr>
                <w:b/>
                <w:bCs/>
                <w:color w:val="FFFFFF"/>
                <w:szCs w:val="24"/>
              </w:rPr>
              <w:t>Резултати от петициите</w:t>
            </w:r>
          </w:p>
        </w:tc>
        <w:tc>
          <w:tcPr>
            <w:tcW w:w="992" w:type="dxa"/>
            <w:tcBorders>
              <w:top w:val="single" w:sz="4" w:space="0" w:color="CCCCFF"/>
              <w:left w:val="nil"/>
              <w:bottom w:val="single" w:sz="4" w:space="0" w:color="CCCCFF"/>
              <w:right w:val="single" w:sz="4" w:space="0" w:color="CCCCFF"/>
            </w:tcBorders>
            <w:shd w:val="clear" w:color="FFFFFF" w:fill="666699"/>
            <w:noWrap/>
            <w:vAlign w:val="bottom"/>
            <w:hideMark/>
          </w:tcPr>
          <w:p w14:paraId="5A5BB6B0" w14:textId="77777777" w:rsidR="0033303B" w:rsidRPr="0033303B" w:rsidRDefault="0033303B" w:rsidP="005B076E">
            <w:pPr>
              <w:rPr>
                <w:b/>
                <w:bCs/>
                <w:color w:val="FFFFFF"/>
                <w:szCs w:val="24"/>
              </w:rPr>
            </w:pPr>
            <w:r w:rsidRPr="0033303B">
              <w:rPr>
                <w:b/>
                <w:bCs/>
                <w:color w:val="FFFFFF"/>
                <w:szCs w:val="24"/>
              </w:rPr>
              <w:t>Брой</w:t>
            </w:r>
          </w:p>
        </w:tc>
        <w:tc>
          <w:tcPr>
            <w:tcW w:w="709" w:type="dxa"/>
            <w:tcBorders>
              <w:top w:val="single" w:sz="4" w:space="0" w:color="CCCCFF"/>
              <w:left w:val="nil"/>
              <w:bottom w:val="single" w:sz="4" w:space="0" w:color="CCCCFF"/>
              <w:right w:val="single" w:sz="4" w:space="0" w:color="CCCCFF"/>
            </w:tcBorders>
            <w:shd w:val="clear" w:color="FFFFFF" w:fill="666699"/>
            <w:noWrap/>
            <w:vAlign w:val="bottom"/>
            <w:hideMark/>
          </w:tcPr>
          <w:p w14:paraId="0B7C63D8"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0881702D"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6204FB84" w14:textId="77777777" w:rsidR="0033303B" w:rsidRPr="0033303B" w:rsidRDefault="0033303B" w:rsidP="005B076E">
            <w:pPr>
              <w:rPr>
                <w:color w:val="000000"/>
                <w:szCs w:val="24"/>
              </w:rPr>
            </w:pPr>
            <w:r w:rsidRPr="0033303B">
              <w:rPr>
                <w:color w:val="000000"/>
                <w:szCs w:val="24"/>
              </w:rPr>
              <w:t>Обявени за допустими и приключени</w:t>
            </w:r>
          </w:p>
        </w:tc>
        <w:tc>
          <w:tcPr>
            <w:tcW w:w="992" w:type="dxa"/>
            <w:tcBorders>
              <w:top w:val="nil"/>
              <w:left w:val="nil"/>
              <w:bottom w:val="single" w:sz="4" w:space="0" w:color="CCCCFF"/>
              <w:right w:val="single" w:sz="4" w:space="0" w:color="CCCCFF"/>
            </w:tcBorders>
            <w:shd w:val="clear" w:color="FFFFFF" w:fill="FFFFFF"/>
            <w:noWrap/>
            <w:vAlign w:val="bottom"/>
            <w:hideMark/>
          </w:tcPr>
          <w:p w14:paraId="7431DB21" w14:textId="77777777" w:rsidR="0033303B" w:rsidRPr="0033303B" w:rsidRDefault="0033303B" w:rsidP="005B076E">
            <w:pPr>
              <w:jc w:val="right"/>
              <w:rPr>
                <w:color w:val="000000"/>
                <w:szCs w:val="24"/>
              </w:rPr>
            </w:pPr>
            <w:r w:rsidRPr="0033303B">
              <w:rPr>
                <w:color w:val="000000"/>
                <w:szCs w:val="24"/>
              </w:rPr>
              <w:t>582</w:t>
            </w:r>
          </w:p>
        </w:tc>
        <w:tc>
          <w:tcPr>
            <w:tcW w:w="709" w:type="dxa"/>
            <w:tcBorders>
              <w:top w:val="nil"/>
              <w:left w:val="nil"/>
              <w:bottom w:val="single" w:sz="4" w:space="0" w:color="CCCCFF"/>
              <w:right w:val="single" w:sz="4" w:space="0" w:color="CCCCFF"/>
            </w:tcBorders>
            <w:shd w:val="clear" w:color="FFFFFF" w:fill="FFFFFF"/>
            <w:noWrap/>
            <w:vAlign w:val="bottom"/>
            <w:hideMark/>
          </w:tcPr>
          <w:p w14:paraId="37B07B92" w14:textId="77777777" w:rsidR="0033303B" w:rsidRPr="0033303B" w:rsidRDefault="0033303B" w:rsidP="005B076E">
            <w:pPr>
              <w:jc w:val="right"/>
              <w:rPr>
                <w:color w:val="000000"/>
                <w:szCs w:val="24"/>
              </w:rPr>
            </w:pPr>
            <w:r w:rsidRPr="0033303B">
              <w:rPr>
                <w:color w:val="000000"/>
                <w:szCs w:val="24"/>
              </w:rPr>
              <w:t>37.1</w:t>
            </w:r>
          </w:p>
        </w:tc>
      </w:tr>
      <w:tr w:rsidR="0033303B" w:rsidRPr="0033303B" w14:paraId="14FBF163"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68B9238B" w14:textId="77777777" w:rsidR="0033303B" w:rsidRPr="0033303B" w:rsidRDefault="0033303B" w:rsidP="005B076E">
            <w:pPr>
              <w:rPr>
                <w:color w:val="000000"/>
                <w:szCs w:val="24"/>
              </w:rPr>
            </w:pPr>
            <w:r w:rsidRPr="0033303B">
              <w:rPr>
                <w:color w:val="000000"/>
                <w:szCs w:val="24"/>
              </w:rPr>
              <w:t>Обявени за допустими и неприключени</w:t>
            </w:r>
          </w:p>
        </w:tc>
        <w:tc>
          <w:tcPr>
            <w:tcW w:w="992" w:type="dxa"/>
            <w:tcBorders>
              <w:top w:val="nil"/>
              <w:left w:val="nil"/>
              <w:bottom w:val="single" w:sz="4" w:space="0" w:color="CCCCFF"/>
              <w:right w:val="single" w:sz="4" w:space="0" w:color="CCCCFF"/>
            </w:tcBorders>
            <w:shd w:val="clear" w:color="FFFFFF" w:fill="FFFFFF"/>
            <w:noWrap/>
            <w:vAlign w:val="bottom"/>
            <w:hideMark/>
          </w:tcPr>
          <w:p w14:paraId="21958A5A" w14:textId="77777777" w:rsidR="0033303B" w:rsidRPr="0033303B" w:rsidRDefault="0033303B" w:rsidP="005B076E">
            <w:pPr>
              <w:jc w:val="right"/>
              <w:rPr>
                <w:color w:val="000000"/>
                <w:szCs w:val="24"/>
              </w:rPr>
            </w:pPr>
            <w:r w:rsidRPr="0033303B">
              <w:rPr>
                <w:color w:val="000000"/>
                <w:szCs w:val="24"/>
              </w:rPr>
              <w:t>528</w:t>
            </w:r>
          </w:p>
        </w:tc>
        <w:tc>
          <w:tcPr>
            <w:tcW w:w="709" w:type="dxa"/>
            <w:tcBorders>
              <w:top w:val="nil"/>
              <w:left w:val="nil"/>
              <w:bottom w:val="single" w:sz="4" w:space="0" w:color="CCCCFF"/>
              <w:right w:val="single" w:sz="4" w:space="0" w:color="CCCCFF"/>
            </w:tcBorders>
            <w:shd w:val="clear" w:color="FFFFFF" w:fill="FFFFFF"/>
            <w:noWrap/>
            <w:vAlign w:val="bottom"/>
            <w:hideMark/>
          </w:tcPr>
          <w:p w14:paraId="00E96608" w14:textId="77777777" w:rsidR="0033303B" w:rsidRPr="0033303B" w:rsidRDefault="0033303B" w:rsidP="005B076E">
            <w:pPr>
              <w:jc w:val="right"/>
              <w:rPr>
                <w:color w:val="000000"/>
                <w:szCs w:val="24"/>
              </w:rPr>
            </w:pPr>
            <w:r w:rsidRPr="0033303B">
              <w:rPr>
                <w:color w:val="000000"/>
                <w:szCs w:val="24"/>
              </w:rPr>
              <w:t>33.7</w:t>
            </w:r>
          </w:p>
        </w:tc>
      </w:tr>
      <w:tr w:rsidR="0033303B" w:rsidRPr="0033303B" w14:paraId="24B11821"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20682A73" w14:textId="77777777" w:rsidR="0033303B" w:rsidRPr="0033303B" w:rsidRDefault="0033303B" w:rsidP="005B076E">
            <w:pPr>
              <w:rPr>
                <w:color w:val="000000"/>
                <w:szCs w:val="24"/>
              </w:rPr>
            </w:pPr>
            <w:r w:rsidRPr="0033303B">
              <w:rPr>
                <w:color w:val="000000"/>
                <w:szCs w:val="24"/>
              </w:rPr>
              <w:t>Недопустими</w:t>
            </w:r>
          </w:p>
        </w:tc>
        <w:tc>
          <w:tcPr>
            <w:tcW w:w="992" w:type="dxa"/>
            <w:tcBorders>
              <w:top w:val="nil"/>
              <w:left w:val="nil"/>
              <w:bottom w:val="single" w:sz="4" w:space="0" w:color="CCCCFF"/>
              <w:right w:val="single" w:sz="4" w:space="0" w:color="CCCCFF"/>
            </w:tcBorders>
            <w:shd w:val="clear" w:color="FFFFFF" w:fill="FFFFFF"/>
            <w:noWrap/>
            <w:vAlign w:val="bottom"/>
            <w:hideMark/>
          </w:tcPr>
          <w:p w14:paraId="573147B1" w14:textId="77777777" w:rsidR="0033303B" w:rsidRPr="0033303B" w:rsidRDefault="0033303B" w:rsidP="005B076E">
            <w:pPr>
              <w:jc w:val="right"/>
              <w:rPr>
                <w:color w:val="000000"/>
                <w:szCs w:val="24"/>
              </w:rPr>
            </w:pPr>
            <w:r w:rsidRPr="0033303B">
              <w:rPr>
                <w:color w:val="000000"/>
                <w:szCs w:val="24"/>
              </w:rPr>
              <w:t>450</w:t>
            </w:r>
          </w:p>
        </w:tc>
        <w:tc>
          <w:tcPr>
            <w:tcW w:w="709" w:type="dxa"/>
            <w:tcBorders>
              <w:top w:val="nil"/>
              <w:left w:val="nil"/>
              <w:bottom w:val="single" w:sz="4" w:space="0" w:color="CCCCFF"/>
              <w:right w:val="single" w:sz="4" w:space="0" w:color="CCCCFF"/>
            </w:tcBorders>
            <w:shd w:val="clear" w:color="FFFFFF" w:fill="FFFFFF"/>
            <w:noWrap/>
            <w:vAlign w:val="bottom"/>
            <w:hideMark/>
          </w:tcPr>
          <w:p w14:paraId="1898458E" w14:textId="77777777" w:rsidR="0033303B" w:rsidRPr="0033303B" w:rsidRDefault="0033303B" w:rsidP="005B076E">
            <w:pPr>
              <w:jc w:val="right"/>
              <w:rPr>
                <w:color w:val="000000"/>
                <w:szCs w:val="24"/>
              </w:rPr>
            </w:pPr>
            <w:r w:rsidRPr="0033303B">
              <w:rPr>
                <w:color w:val="000000"/>
                <w:szCs w:val="24"/>
              </w:rPr>
              <w:t>28.7</w:t>
            </w:r>
          </w:p>
        </w:tc>
      </w:tr>
      <w:tr w:rsidR="0033303B" w:rsidRPr="0033303B" w14:paraId="05E10A2C"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38F75EAA" w14:textId="77777777" w:rsidR="0033303B" w:rsidRPr="0033303B" w:rsidRDefault="0033303B" w:rsidP="005B076E">
            <w:pPr>
              <w:rPr>
                <w:color w:val="000000"/>
                <w:szCs w:val="24"/>
              </w:rPr>
            </w:pPr>
            <w:r w:rsidRPr="0033303B">
              <w:rPr>
                <w:color w:val="000000"/>
                <w:szCs w:val="24"/>
              </w:rPr>
              <w:t>Оттеглени</w:t>
            </w:r>
          </w:p>
        </w:tc>
        <w:tc>
          <w:tcPr>
            <w:tcW w:w="992" w:type="dxa"/>
            <w:tcBorders>
              <w:top w:val="nil"/>
              <w:left w:val="nil"/>
              <w:bottom w:val="single" w:sz="4" w:space="0" w:color="CCCCFF"/>
              <w:right w:val="single" w:sz="4" w:space="0" w:color="CCCCFF"/>
            </w:tcBorders>
            <w:shd w:val="clear" w:color="FFFFFF" w:fill="FFFFFF"/>
            <w:noWrap/>
            <w:vAlign w:val="bottom"/>
            <w:hideMark/>
          </w:tcPr>
          <w:p w14:paraId="04F76DD6" w14:textId="77777777" w:rsidR="0033303B" w:rsidRPr="0033303B" w:rsidRDefault="0033303B" w:rsidP="005B076E">
            <w:pPr>
              <w:jc w:val="right"/>
              <w:rPr>
                <w:color w:val="000000"/>
                <w:szCs w:val="24"/>
              </w:rPr>
            </w:pPr>
            <w:r w:rsidRPr="0033303B">
              <w:rPr>
                <w:color w:val="000000"/>
                <w:szCs w:val="24"/>
              </w:rPr>
              <w:t>9</w:t>
            </w:r>
          </w:p>
        </w:tc>
        <w:tc>
          <w:tcPr>
            <w:tcW w:w="709" w:type="dxa"/>
            <w:tcBorders>
              <w:top w:val="nil"/>
              <w:left w:val="nil"/>
              <w:bottom w:val="single" w:sz="4" w:space="0" w:color="CCCCFF"/>
              <w:right w:val="single" w:sz="4" w:space="0" w:color="CCCCFF"/>
            </w:tcBorders>
            <w:shd w:val="clear" w:color="FFFFFF" w:fill="FFFFFF"/>
            <w:noWrap/>
            <w:vAlign w:val="bottom"/>
            <w:hideMark/>
          </w:tcPr>
          <w:p w14:paraId="233D688F" w14:textId="77777777" w:rsidR="0033303B" w:rsidRPr="0033303B" w:rsidRDefault="0033303B" w:rsidP="005B076E">
            <w:pPr>
              <w:jc w:val="right"/>
              <w:rPr>
                <w:color w:val="000000"/>
                <w:szCs w:val="24"/>
              </w:rPr>
            </w:pPr>
            <w:r w:rsidRPr="0033303B">
              <w:rPr>
                <w:color w:val="000000"/>
                <w:szCs w:val="24"/>
              </w:rPr>
              <w:t>0.5</w:t>
            </w:r>
          </w:p>
        </w:tc>
      </w:tr>
      <w:tr w:rsidR="0033303B" w:rsidRPr="0033303B" w14:paraId="578D5FF0" w14:textId="77777777" w:rsidTr="005B076E">
        <w:trPr>
          <w:trHeight w:val="360"/>
        </w:trPr>
        <w:tc>
          <w:tcPr>
            <w:tcW w:w="2552" w:type="dxa"/>
            <w:tcBorders>
              <w:top w:val="single" w:sz="8" w:space="0" w:color="000000"/>
              <w:left w:val="single" w:sz="4" w:space="0" w:color="CCCCFF"/>
              <w:bottom w:val="single" w:sz="4" w:space="0" w:color="CCCCFF"/>
              <w:right w:val="single" w:sz="4" w:space="0" w:color="CCCCFF"/>
            </w:tcBorders>
            <w:shd w:val="clear" w:color="FFFFFF" w:fill="FFFFFF"/>
            <w:noWrap/>
            <w:vAlign w:val="bottom"/>
            <w:hideMark/>
          </w:tcPr>
          <w:p w14:paraId="254FF3C2" w14:textId="77777777" w:rsidR="0033303B" w:rsidRPr="0033303B" w:rsidRDefault="0033303B" w:rsidP="005B076E">
            <w:pPr>
              <w:rPr>
                <w:color w:val="000000"/>
                <w:szCs w:val="24"/>
              </w:rPr>
            </w:pPr>
            <w:r w:rsidRPr="0033303B">
              <w:rPr>
                <w:color w:val="000000"/>
                <w:szCs w:val="24"/>
              </w:rPr>
              <w:t>Изпратени на Европейската комисия за становище</w:t>
            </w:r>
          </w:p>
        </w:tc>
        <w:tc>
          <w:tcPr>
            <w:tcW w:w="992" w:type="dxa"/>
            <w:tcBorders>
              <w:top w:val="single" w:sz="8" w:space="0" w:color="000000"/>
              <w:left w:val="nil"/>
              <w:bottom w:val="single" w:sz="4" w:space="0" w:color="CCCCFF"/>
              <w:right w:val="single" w:sz="4" w:space="0" w:color="CCCCFF"/>
            </w:tcBorders>
            <w:shd w:val="clear" w:color="FFFFFF" w:fill="FFFFFF"/>
            <w:noWrap/>
            <w:vAlign w:val="bottom"/>
            <w:hideMark/>
          </w:tcPr>
          <w:p w14:paraId="07470EAE" w14:textId="77777777" w:rsidR="0033303B" w:rsidRPr="0033303B" w:rsidRDefault="0033303B" w:rsidP="005B076E">
            <w:pPr>
              <w:jc w:val="right"/>
              <w:rPr>
                <w:color w:val="000000"/>
                <w:szCs w:val="24"/>
              </w:rPr>
            </w:pPr>
            <w:r w:rsidRPr="0033303B">
              <w:rPr>
                <w:color w:val="000000"/>
                <w:szCs w:val="24"/>
              </w:rPr>
              <w:t>676</w:t>
            </w:r>
          </w:p>
        </w:tc>
        <w:tc>
          <w:tcPr>
            <w:tcW w:w="709" w:type="dxa"/>
            <w:tcBorders>
              <w:top w:val="single" w:sz="8" w:space="0" w:color="000000"/>
              <w:left w:val="nil"/>
              <w:bottom w:val="single" w:sz="4" w:space="0" w:color="CCCCFF"/>
              <w:right w:val="single" w:sz="4" w:space="0" w:color="CCCCFF"/>
            </w:tcBorders>
            <w:shd w:val="clear" w:color="FFFFFF" w:fill="FFFFFF"/>
            <w:noWrap/>
            <w:vAlign w:val="bottom"/>
            <w:hideMark/>
          </w:tcPr>
          <w:p w14:paraId="4C0ADB56" w14:textId="77777777" w:rsidR="0033303B" w:rsidRPr="0033303B" w:rsidRDefault="0033303B" w:rsidP="005B076E">
            <w:pPr>
              <w:jc w:val="right"/>
              <w:rPr>
                <w:color w:val="000000"/>
                <w:szCs w:val="24"/>
              </w:rPr>
            </w:pPr>
            <w:r w:rsidRPr="0033303B">
              <w:rPr>
                <w:color w:val="000000"/>
                <w:szCs w:val="24"/>
              </w:rPr>
              <w:t>46.3</w:t>
            </w:r>
          </w:p>
        </w:tc>
      </w:tr>
      <w:tr w:rsidR="0033303B" w:rsidRPr="0033303B" w14:paraId="55EACFA0"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65A65107" w14:textId="77777777" w:rsidR="0033303B" w:rsidRPr="0033303B" w:rsidRDefault="0033303B" w:rsidP="005B076E">
            <w:pPr>
              <w:rPr>
                <w:color w:val="000000"/>
                <w:szCs w:val="24"/>
              </w:rPr>
            </w:pPr>
            <w:r w:rsidRPr="0033303B">
              <w:rPr>
                <w:color w:val="000000"/>
                <w:szCs w:val="24"/>
              </w:rPr>
              <w:t xml:space="preserve">Изпратени за становище на други </w:t>
            </w:r>
            <w:r w:rsidRPr="0033303B">
              <w:rPr>
                <w:color w:val="000000"/>
                <w:szCs w:val="24"/>
              </w:rPr>
              <w:lastRenderedPageBreak/>
              <w:t>органи</w:t>
            </w:r>
          </w:p>
        </w:tc>
        <w:tc>
          <w:tcPr>
            <w:tcW w:w="992" w:type="dxa"/>
            <w:tcBorders>
              <w:top w:val="nil"/>
              <w:left w:val="nil"/>
              <w:bottom w:val="single" w:sz="4" w:space="0" w:color="CCCCFF"/>
              <w:right w:val="single" w:sz="4" w:space="0" w:color="CCCCFF"/>
            </w:tcBorders>
            <w:shd w:val="clear" w:color="FFFFFF" w:fill="FFFFFF"/>
            <w:noWrap/>
            <w:vAlign w:val="bottom"/>
            <w:hideMark/>
          </w:tcPr>
          <w:p w14:paraId="387F6763" w14:textId="77777777" w:rsidR="0033303B" w:rsidRPr="0033303B" w:rsidRDefault="0033303B" w:rsidP="005B076E">
            <w:pPr>
              <w:jc w:val="right"/>
              <w:rPr>
                <w:color w:val="000000"/>
                <w:szCs w:val="24"/>
              </w:rPr>
            </w:pPr>
            <w:r w:rsidRPr="0033303B">
              <w:rPr>
                <w:color w:val="000000"/>
                <w:szCs w:val="24"/>
              </w:rPr>
              <w:lastRenderedPageBreak/>
              <w:t>39</w:t>
            </w:r>
          </w:p>
        </w:tc>
        <w:tc>
          <w:tcPr>
            <w:tcW w:w="709" w:type="dxa"/>
            <w:tcBorders>
              <w:top w:val="nil"/>
              <w:left w:val="nil"/>
              <w:bottom w:val="single" w:sz="4" w:space="0" w:color="CCCCFF"/>
              <w:right w:val="single" w:sz="4" w:space="0" w:color="CCCCFF"/>
            </w:tcBorders>
            <w:shd w:val="clear" w:color="FFFFFF" w:fill="FFFFFF"/>
            <w:noWrap/>
            <w:vAlign w:val="bottom"/>
            <w:hideMark/>
          </w:tcPr>
          <w:p w14:paraId="0AAE25BF" w14:textId="77777777" w:rsidR="0033303B" w:rsidRPr="0033303B" w:rsidRDefault="0033303B" w:rsidP="005B076E">
            <w:pPr>
              <w:jc w:val="right"/>
              <w:rPr>
                <w:color w:val="000000"/>
                <w:szCs w:val="24"/>
              </w:rPr>
            </w:pPr>
            <w:r w:rsidRPr="0033303B">
              <w:rPr>
                <w:color w:val="000000"/>
                <w:szCs w:val="24"/>
              </w:rPr>
              <w:t>2.7</w:t>
            </w:r>
          </w:p>
        </w:tc>
      </w:tr>
      <w:tr w:rsidR="0033303B" w:rsidRPr="0033303B" w14:paraId="6C90360E"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bottom"/>
            <w:hideMark/>
          </w:tcPr>
          <w:p w14:paraId="2C2C12A8" w14:textId="77777777" w:rsidR="0033303B" w:rsidRPr="0033303B" w:rsidRDefault="0033303B" w:rsidP="005B076E">
            <w:pPr>
              <w:rPr>
                <w:color w:val="000000"/>
                <w:szCs w:val="24"/>
              </w:rPr>
            </w:pPr>
            <w:r w:rsidRPr="0033303B">
              <w:rPr>
                <w:color w:val="000000"/>
                <w:szCs w:val="24"/>
              </w:rPr>
              <w:t xml:space="preserve">Изпратени за сведение </w:t>
            </w:r>
            <w:r w:rsidRPr="0033303B">
              <w:rPr>
                <w:color w:val="000000"/>
                <w:szCs w:val="24"/>
              </w:rPr>
              <w:t>на други органи</w:t>
            </w:r>
          </w:p>
        </w:tc>
        <w:tc>
          <w:tcPr>
            <w:tcW w:w="992" w:type="dxa"/>
            <w:tcBorders>
              <w:top w:val="nil"/>
              <w:left w:val="nil"/>
              <w:bottom w:val="single" w:sz="4" w:space="0" w:color="CCCCFF"/>
              <w:right w:val="single" w:sz="4" w:space="0" w:color="CCCCFF"/>
            </w:tcBorders>
            <w:shd w:val="clear" w:color="FFFFFF" w:fill="FFFFFF"/>
            <w:noWrap/>
            <w:vAlign w:val="bottom"/>
            <w:hideMark/>
          </w:tcPr>
          <w:p w14:paraId="31D46F3B" w14:textId="77777777" w:rsidR="0033303B" w:rsidRPr="0033303B" w:rsidRDefault="0033303B" w:rsidP="005B076E">
            <w:pPr>
              <w:jc w:val="right"/>
              <w:rPr>
                <w:color w:val="000000"/>
                <w:szCs w:val="24"/>
              </w:rPr>
            </w:pPr>
            <w:r w:rsidRPr="0033303B">
              <w:rPr>
                <w:color w:val="000000"/>
                <w:szCs w:val="24"/>
              </w:rPr>
              <w:t>746</w:t>
            </w:r>
          </w:p>
        </w:tc>
        <w:tc>
          <w:tcPr>
            <w:tcW w:w="709" w:type="dxa"/>
            <w:tcBorders>
              <w:top w:val="nil"/>
              <w:left w:val="nil"/>
              <w:bottom w:val="single" w:sz="4" w:space="0" w:color="CCCCFF"/>
              <w:right w:val="single" w:sz="4" w:space="0" w:color="CCCCFF"/>
            </w:tcBorders>
            <w:shd w:val="clear" w:color="FFFFFF" w:fill="FFFFFF"/>
            <w:noWrap/>
            <w:vAlign w:val="bottom"/>
            <w:hideMark/>
          </w:tcPr>
          <w:p w14:paraId="3DBBE6C0" w14:textId="77777777" w:rsidR="0033303B" w:rsidRPr="0033303B" w:rsidRDefault="0033303B" w:rsidP="005B076E">
            <w:pPr>
              <w:jc w:val="right"/>
              <w:rPr>
                <w:color w:val="000000"/>
                <w:szCs w:val="24"/>
              </w:rPr>
            </w:pPr>
            <w:r w:rsidRPr="0033303B">
              <w:rPr>
                <w:color w:val="000000"/>
                <w:szCs w:val="24"/>
              </w:rPr>
              <w:t>51.1</w:t>
            </w:r>
          </w:p>
        </w:tc>
      </w:tr>
    </w:tbl>
    <w:p w14:paraId="73769CE9" w14:textId="77777777" w:rsidR="0033303B" w:rsidRPr="0033303B" w:rsidRDefault="0033303B" w:rsidP="0033303B">
      <w:pPr>
        <w:rPr>
          <w:szCs w:val="24"/>
        </w:rPr>
      </w:pPr>
    </w:p>
    <w:p w14:paraId="286E9127"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num="2" w:space="708"/>
          <w:docGrid w:linePitch="360"/>
        </w:sectPr>
      </w:pPr>
    </w:p>
    <w:p w14:paraId="34C35E69" w14:textId="77777777" w:rsidR="0033303B" w:rsidRPr="0033303B" w:rsidRDefault="0033303B" w:rsidP="0033303B">
      <w:pPr>
        <w:jc w:val="both"/>
        <w:rPr>
          <w:szCs w:val="24"/>
        </w:rPr>
      </w:pPr>
    </w:p>
    <w:p w14:paraId="4609A26F" w14:textId="77777777" w:rsidR="0033303B" w:rsidRPr="0033303B" w:rsidRDefault="0033303B" w:rsidP="0033303B">
      <w:pPr>
        <w:spacing w:after="160" w:line="259" w:lineRule="auto"/>
        <w:jc w:val="both"/>
        <w:rPr>
          <w:szCs w:val="24"/>
        </w:rPr>
      </w:pPr>
      <w:r w:rsidRPr="0033303B">
        <w:t xml:space="preserve">През 2017 г. 39% от постъпилите петиции бяха обявени за недопустими, в сравнение с почти 29% през 2016 г. Статистическите данни показват ясна разлика в решенията, взети от членовете на комисията по петиции между 2016 г. и 2017 г. През 2017 г. 29,2% от допустимите петиции, в сравнение с 37,1% през 2016 г., бяха приключени на ранен етап от процедурата, след като вносителят на петицията е получил информация по повдигнатите въпроси или след като петициите са били препратени на съответно компетентните по въпроса парламентарни комисии. От друга страна, докато през 2016 г. почти половината от допустимите петиции бяха изпратени на Европейската комисия за становище, през 2017 г. бяха изпратени по-малко от една трета. Същият брой петициите са изпратени на други органи за становище. Почти две трети от допустимите петиции от 2017 г. бяха изпратени на други органи за сведение, което е увеличение с повече от 10 процентни пункта. </w:t>
      </w:r>
    </w:p>
    <w:p w14:paraId="7AA95051" w14:textId="77777777" w:rsidR="0033303B" w:rsidRPr="0033303B" w:rsidRDefault="0033303B" w:rsidP="0033303B">
      <w:pPr>
        <w:spacing w:after="160" w:line="22" w:lineRule="atLeast"/>
        <w:rPr>
          <w:b/>
          <w:szCs w:val="24"/>
        </w:rPr>
      </w:pPr>
      <w:r w:rsidRPr="0033303B">
        <w:rPr>
          <w:b/>
          <w:szCs w:val="24"/>
        </w:rPr>
        <w:t>Брой на петициите по държави</w:t>
      </w:r>
    </w:p>
    <w:p w14:paraId="4C7B2504" w14:textId="77777777" w:rsidR="0033303B" w:rsidRPr="0033303B" w:rsidRDefault="0033303B" w:rsidP="0033303B">
      <w:pPr>
        <w:spacing w:after="160" w:line="259" w:lineRule="auto"/>
        <w:jc w:val="both"/>
        <w:rPr>
          <w:szCs w:val="24"/>
        </w:rPr>
      </w:pPr>
      <w:r w:rsidRPr="0033303B">
        <w:t>Следните две таблици илюстрират в абсолютно и в процентно изражение промените във връзка с петициите по държави от 2016 г. до 2017 г. Осемте държави, най-често засегнати от петициите, останаха същите, но се промени подреждането им. Имаше увеличение с 5,2 процентни пункта на частта на петициите, отнасящи се до Испания. Също така има промени и в последните места в списъка. Докато през 2016 г. Люксембург, Словения и Латвия са били най-рядко засегнати държави, през 2017 г. такива бяха Финландия, Естония и Люксембург.</w:t>
      </w:r>
    </w:p>
    <w:p w14:paraId="2B47F261" w14:textId="77777777" w:rsidR="0033303B" w:rsidRPr="0033303B" w:rsidRDefault="0033303B" w:rsidP="0033303B">
      <w:pPr>
        <w:spacing w:after="160" w:line="259" w:lineRule="auto"/>
        <w:jc w:val="both"/>
        <w:rPr>
          <w:szCs w:val="24"/>
        </w:rPr>
      </w:pPr>
      <w:r w:rsidRPr="0033303B">
        <w:t>Делът на петициите, отнасящи се до трети държави, остана без промяна.</w:t>
      </w:r>
    </w:p>
    <w:p w14:paraId="022A4A9C" w14:textId="77777777" w:rsidR="0033303B" w:rsidRPr="0033303B" w:rsidRDefault="0033303B" w:rsidP="0033303B">
      <w:pPr>
        <w:rPr>
          <w:szCs w:val="24"/>
        </w:rPr>
      </w:pPr>
    </w:p>
    <w:p w14:paraId="2B7CEE35"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space="708"/>
          <w:docGrid w:linePitch="360"/>
        </w:sectPr>
      </w:pPr>
    </w:p>
    <w:p w14:paraId="72CB2F2F" w14:textId="77777777" w:rsidR="0033303B" w:rsidRPr="0033303B" w:rsidRDefault="0033303B" w:rsidP="0033303B">
      <w:pPr>
        <w:rPr>
          <w:szCs w:val="24"/>
        </w:rPr>
      </w:pPr>
      <w:r w:rsidRPr="0033303B">
        <w:t>2017</w:t>
      </w:r>
    </w:p>
    <w:tbl>
      <w:tblPr>
        <w:tblW w:w="4149" w:type="dxa"/>
        <w:tblLook w:val="04A0" w:firstRow="1" w:lastRow="0" w:firstColumn="1" w:lastColumn="0" w:noHBand="0" w:noVBand="1"/>
      </w:tblPr>
      <w:tblGrid>
        <w:gridCol w:w="2236"/>
        <w:gridCol w:w="1168"/>
        <w:gridCol w:w="745"/>
      </w:tblGrid>
      <w:tr w:rsidR="0033303B" w:rsidRPr="0033303B" w14:paraId="2F5FEC01" w14:textId="77777777" w:rsidTr="005B076E">
        <w:trPr>
          <w:trHeight w:val="510"/>
        </w:trPr>
        <w:tc>
          <w:tcPr>
            <w:tcW w:w="226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7DE1D4D" w14:textId="77777777" w:rsidR="0033303B" w:rsidRPr="0033303B" w:rsidRDefault="0033303B" w:rsidP="005B076E">
            <w:pPr>
              <w:rPr>
                <w:b/>
                <w:bCs/>
                <w:color w:val="FFFFFF"/>
                <w:szCs w:val="24"/>
              </w:rPr>
            </w:pPr>
            <w:r w:rsidRPr="0033303B">
              <w:rPr>
                <w:b/>
                <w:bCs/>
                <w:color w:val="FFFFFF"/>
                <w:szCs w:val="24"/>
              </w:rPr>
              <w:t>Държава</w:t>
            </w:r>
          </w:p>
        </w:tc>
        <w:tc>
          <w:tcPr>
            <w:tcW w:w="1134" w:type="dxa"/>
            <w:tcBorders>
              <w:top w:val="single" w:sz="4" w:space="0" w:color="CCCCFF"/>
              <w:left w:val="nil"/>
              <w:bottom w:val="single" w:sz="4" w:space="0" w:color="CCCCFF"/>
              <w:right w:val="single" w:sz="4" w:space="0" w:color="CCCCFF"/>
            </w:tcBorders>
            <w:shd w:val="clear" w:color="FFFFFF" w:fill="666699"/>
            <w:vAlign w:val="center"/>
            <w:hideMark/>
          </w:tcPr>
          <w:p w14:paraId="1F16FD4C" w14:textId="77777777" w:rsidR="0033303B" w:rsidRPr="0033303B" w:rsidRDefault="0033303B" w:rsidP="005B076E">
            <w:pPr>
              <w:jc w:val="center"/>
              <w:rPr>
                <w:b/>
                <w:bCs/>
                <w:color w:val="FFFFFF"/>
                <w:szCs w:val="24"/>
              </w:rPr>
            </w:pPr>
            <w:r w:rsidRPr="0033303B">
              <w:rPr>
                <w:b/>
                <w:bCs/>
                <w:color w:val="FFFFFF"/>
                <w:szCs w:val="24"/>
              </w:rPr>
              <w:t>Петиции</w:t>
            </w:r>
          </w:p>
        </w:tc>
        <w:tc>
          <w:tcPr>
            <w:tcW w:w="752" w:type="dxa"/>
            <w:tcBorders>
              <w:top w:val="single" w:sz="4" w:space="0" w:color="CCCCFF"/>
              <w:left w:val="nil"/>
              <w:bottom w:val="single" w:sz="4" w:space="0" w:color="CCCCFF"/>
              <w:right w:val="single" w:sz="4" w:space="0" w:color="CCCCFF"/>
            </w:tcBorders>
            <w:shd w:val="clear" w:color="FFFFFF" w:fill="666699"/>
            <w:vAlign w:val="center"/>
            <w:hideMark/>
          </w:tcPr>
          <w:p w14:paraId="50001CDB"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2BC48D86"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0DEDB22A" w14:textId="77777777" w:rsidR="0033303B" w:rsidRPr="0033303B" w:rsidRDefault="0033303B" w:rsidP="005B076E">
            <w:pPr>
              <w:rPr>
                <w:color w:val="000000"/>
                <w:szCs w:val="24"/>
              </w:rPr>
            </w:pPr>
            <w:r w:rsidRPr="0033303B">
              <w:rPr>
                <w:color w:val="000000"/>
                <w:szCs w:val="24"/>
              </w:rPr>
              <w:t>Испания</w:t>
            </w:r>
          </w:p>
        </w:tc>
        <w:tc>
          <w:tcPr>
            <w:tcW w:w="1134" w:type="dxa"/>
            <w:tcBorders>
              <w:top w:val="nil"/>
              <w:left w:val="nil"/>
              <w:bottom w:val="single" w:sz="4" w:space="0" w:color="CCCCFF"/>
              <w:right w:val="single" w:sz="4" w:space="0" w:color="CCCCFF"/>
            </w:tcBorders>
            <w:shd w:val="clear" w:color="FFFFFF" w:fill="FFFFFF"/>
            <w:noWrap/>
            <w:vAlign w:val="bottom"/>
            <w:hideMark/>
          </w:tcPr>
          <w:p w14:paraId="72D8B9E4" w14:textId="77777777" w:rsidR="0033303B" w:rsidRPr="0033303B" w:rsidRDefault="0033303B" w:rsidP="005B076E">
            <w:pPr>
              <w:jc w:val="right"/>
              <w:rPr>
                <w:color w:val="000000"/>
                <w:szCs w:val="24"/>
              </w:rPr>
            </w:pPr>
            <w:r w:rsidRPr="0033303B">
              <w:rPr>
                <w:color w:val="000000"/>
                <w:szCs w:val="24"/>
              </w:rPr>
              <w:t>211</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7F604859" w14:textId="77777777" w:rsidR="0033303B" w:rsidRPr="0033303B" w:rsidRDefault="0033303B" w:rsidP="005B076E">
            <w:pPr>
              <w:jc w:val="right"/>
              <w:rPr>
                <w:color w:val="000000"/>
                <w:szCs w:val="24"/>
              </w:rPr>
            </w:pPr>
            <w:r w:rsidRPr="0033303B">
              <w:rPr>
                <w:color w:val="000000"/>
                <w:szCs w:val="24"/>
              </w:rPr>
              <w:t>13.4</w:t>
            </w:r>
          </w:p>
        </w:tc>
      </w:tr>
      <w:tr w:rsidR="0033303B" w:rsidRPr="0033303B" w14:paraId="093D4D8D"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2E7605A7" w14:textId="77777777" w:rsidR="0033303B" w:rsidRPr="0033303B" w:rsidRDefault="0033303B" w:rsidP="005B076E">
            <w:pPr>
              <w:rPr>
                <w:color w:val="000000"/>
                <w:szCs w:val="24"/>
              </w:rPr>
            </w:pPr>
            <w:r w:rsidRPr="0033303B">
              <w:rPr>
                <w:color w:val="000000"/>
                <w:szCs w:val="24"/>
              </w:rPr>
              <w:t>Италия</w:t>
            </w:r>
          </w:p>
        </w:tc>
        <w:tc>
          <w:tcPr>
            <w:tcW w:w="1134" w:type="dxa"/>
            <w:tcBorders>
              <w:top w:val="nil"/>
              <w:left w:val="nil"/>
              <w:bottom w:val="single" w:sz="4" w:space="0" w:color="CCCCFF"/>
              <w:right w:val="single" w:sz="4" w:space="0" w:color="CCCCFF"/>
            </w:tcBorders>
            <w:shd w:val="clear" w:color="FFFFFF" w:fill="FFFFFF"/>
            <w:noWrap/>
            <w:vAlign w:val="bottom"/>
            <w:hideMark/>
          </w:tcPr>
          <w:p w14:paraId="00C3A573" w14:textId="77777777" w:rsidR="0033303B" w:rsidRPr="0033303B" w:rsidRDefault="0033303B" w:rsidP="005B076E">
            <w:pPr>
              <w:jc w:val="right"/>
              <w:rPr>
                <w:color w:val="000000"/>
                <w:szCs w:val="24"/>
              </w:rPr>
            </w:pPr>
            <w:r w:rsidRPr="0033303B">
              <w:rPr>
                <w:color w:val="000000"/>
                <w:szCs w:val="24"/>
              </w:rPr>
              <w:t>176</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6CAECEB8" w14:textId="77777777" w:rsidR="0033303B" w:rsidRPr="0033303B" w:rsidRDefault="0033303B" w:rsidP="005B076E">
            <w:pPr>
              <w:jc w:val="right"/>
              <w:rPr>
                <w:color w:val="000000"/>
                <w:szCs w:val="24"/>
              </w:rPr>
            </w:pPr>
            <w:r w:rsidRPr="0033303B">
              <w:rPr>
                <w:color w:val="000000"/>
                <w:szCs w:val="24"/>
              </w:rPr>
              <w:t>11.2</w:t>
            </w:r>
          </w:p>
        </w:tc>
      </w:tr>
      <w:tr w:rsidR="0033303B" w:rsidRPr="0033303B" w14:paraId="238E6460"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0FD4DE09" w14:textId="77777777" w:rsidR="0033303B" w:rsidRPr="0033303B" w:rsidRDefault="0033303B" w:rsidP="005B076E">
            <w:pPr>
              <w:rPr>
                <w:color w:val="000000"/>
                <w:szCs w:val="24"/>
              </w:rPr>
            </w:pPr>
            <w:r w:rsidRPr="0033303B">
              <w:rPr>
                <w:color w:val="000000"/>
                <w:szCs w:val="24"/>
              </w:rPr>
              <w:t>Германия</w:t>
            </w:r>
          </w:p>
        </w:tc>
        <w:tc>
          <w:tcPr>
            <w:tcW w:w="1134" w:type="dxa"/>
            <w:tcBorders>
              <w:top w:val="nil"/>
              <w:left w:val="nil"/>
              <w:bottom w:val="single" w:sz="4" w:space="0" w:color="CCCCFF"/>
              <w:right w:val="single" w:sz="4" w:space="0" w:color="CCCCFF"/>
            </w:tcBorders>
            <w:shd w:val="clear" w:color="FFFFFF" w:fill="FFFFFF"/>
            <w:noWrap/>
            <w:vAlign w:val="bottom"/>
            <w:hideMark/>
          </w:tcPr>
          <w:p w14:paraId="7456C181" w14:textId="77777777" w:rsidR="0033303B" w:rsidRPr="0033303B" w:rsidRDefault="0033303B" w:rsidP="005B076E">
            <w:pPr>
              <w:jc w:val="right"/>
              <w:rPr>
                <w:color w:val="000000"/>
                <w:szCs w:val="24"/>
              </w:rPr>
            </w:pPr>
            <w:r w:rsidRPr="0033303B">
              <w:rPr>
                <w:color w:val="000000"/>
                <w:szCs w:val="24"/>
              </w:rPr>
              <w:t>170</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3F4A6195" w14:textId="77777777" w:rsidR="0033303B" w:rsidRPr="0033303B" w:rsidRDefault="0033303B" w:rsidP="005B076E">
            <w:pPr>
              <w:jc w:val="right"/>
              <w:rPr>
                <w:color w:val="000000"/>
                <w:szCs w:val="24"/>
              </w:rPr>
            </w:pPr>
            <w:r w:rsidRPr="0033303B">
              <w:rPr>
                <w:color w:val="000000"/>
                <w:szCs w:val="24"/>
              </w:rPr>
              <w:t>10.8</w:t>
            </w:r>
          </w:p>
        </w:tc>
      </w:tr>
      <w:tr w:rsidR="0033303B" w:rsidRPr="0033303B" w14:paraId="485962B2"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28AD8926" w14:textId="77777777" w:rsidR="0033303B" w:rsidRPr="0033303B" w:rsidRDefault="0033303B" w:rsidP="005B076E">
            <w:pPr>
              <w:rPr>
                <w:color w:val="000000"/>
                <w:szCs w:val="24"/>
              </w:rPr>
            </w:pPr>
            <w:r w:rsidRPr="0033303B">
              <w:rPr>
                <w:color w:val="000000"/>
                <w:szCs w:val="24"/>
              </w:rPr>
              <w:t>Румъния</w:t>
            </w:r>
          </w:p>
        </w:tc>
        <w:tc>
          <w:tcPr>
            <w:tcW w:w="1134" w:type="dxa"/>
            <w:tcBorders>
              <w:top w:val="nil"/>
              <w:left w:val="nil"/>
              <w:bottom w:val="single" w:sz="4" w:space="0" w:color="CCCCFF"/>
              <w:right w:val="single" w:sz="4" w:space="0" w:color="CCCCFF"/>
            </w:tcBorders>
            <w:shd w:val="clear" w:color="FFFFFF" w:fill="FFFFFF"/>
            <w:noWrap/>
            <w:vAlign w:val="bottom"/>
            <w:hideMark/>
          </w:tcPr>
          <w:p w14:paraId="24733B37" w14:textId="77777777" w:rsidR="0033303B" w:rsidRPr="0033303B" w:rsidRDefault="0033303B" w:rsidP="005B076E">
            <w:pPr>
              <w:jc w:val="right"/>
              <w:rPr>
                <w:color w:val="000000"/>
                <w:szCs w:val="24"/>
              </w:rPr>
            </w:pPr>
            <w:r w:rsidRPr="0033303B">
              <w:rPr>
                <w:color w:val="000000"/>
                <w:szCs w:val="24"/>
              </w:rPr>
              <w:t>82</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73B38099" w14:textId="77777777" w:rsidR="0033303B" w:rsidRPr="0033303B" w:rsidRDefault="0033303B" w:rsidP="005B076E">
            <w:pPr>
              <w:jc w:val="right"/>
              <w:rPr>
                <w:color w:val="000000"/>
                <w:szCs w:val="24"/>
              </w:rPr>
            </w:pPr>
            <w:r w:rsidRPr="0033303B">
              <w:rPr>
                <w:color w:val="000000"/>
                <w:szCs w:val="24"/>
              </w:rPr>
              <w:t>5.2</w:t>
            </w:r>
          </w:p>
        </w:tc>
      </w:tr>
      <w:tr w:rsidR="0033303B" w:rsidRPr="0033303B" w14:paraId="50729C63"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282C1CE9" w14:textId="77777777" w:rsidR="0033303B" w:rsidRPr="0033303B" w:rsidRDefault="0033303B" w:rsidP="005B076E">
            <w:pPr>
              <w:rPr>
                <w:color w:val="000000"/>
                <w:szCs w:val="24"/>
              </w:rPr>
            </w:pPr>
            <w:r w:rsidRPr="0033303B">
              <w:rPr>
                <w:color w:val="000000"/>
                <w:szCs w:val="24"/>
              </w:rPr>
              <w:t>Обединено кралство</w:t>
            </w:r>
          </w:p>
        </w:tc>
        <w:tc>
          <w:tcPr>
            <w:tcW w:w="1134" w:type="dxa"/>
            <w:tcBorders>
              <w:top w:val="nil"/>
              <w:left w:val="nil"/>
              <w:bottom w:val="single" w:sz="4" w:space="0" w:color="CCCCFF"/>
              <w:right w:val="single" w:sz="4" w:space="0" w:color="CCCCFF"/>
            </w:tcBorders>
            <w:shd w:val="clear" w:color="FFFFFF" w:fill="FFFFFF"/>
            <w:noWrap/>
            <w:vAlign w:val="bottom"/>
            <w:hideMark/>
          </w:tcPr>
          <w:p w14:paraId="3F5DCCBE" w14:textId="77777777" w:rsidR="0033303B" w:rsidRPr="0033303B" w:rsidRDefault="0033303B" w:rsidP="005B076E">
            <w:pPr>
              <w:jc w:val="right"/>
              <w:rPr>
                <w:color w:val="000000"/>
                <w:szCs w:val="24"/>
              </w:rPr>
            </w:pPr>
            <w:r w:rsidRPr="0033303B">
              <w:rPr>
                <w:color w:val="000000"/>
                <w:szCs w:val="24"/>
              </w:rPr>
              <w:t>73</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0C847469" w14:textId="77777777" w:rsidR="0033303B" w:rsidRPr="0033303B" w:rsidRDefault="0033303B" w:rsidP="005B076E">
            <w:pPr>
              <w:jc w:val="right"/>
              <w:rPr>
                <w:color w:val="000000"/>
                <w:szCs w:val="24"/>
              </w:rPr>
            </w:pPr>
            <w:r w:rsidRPr="0033303B">
              <w:rPr>
                <w:color w:val="000000"/>
                <w:szCs w:val="24"/>
              </w:rPr>
              <w:t>4.6</w:t>
            </w:r>
          </w:p>
        </w:tc>
      </w:tr>
      <w:tr w:rsidR="0033303B" w:rsidRPr="0033303B" w14:paraId="1A263AAE"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57E65D4D" w14:textId="77777777" w:rsidR="0033303B" w:rsidRPr="0033303B" w:rsidRDefault="0033303B" w:rsidP="005B076E">
            <w:pPr>
              <w:rPr>
                <w:color w:val="000000"/>
                <w:szCs w:val="24"/>
              </w:rPr>
            </w:pPr>
            <w:r w:rsidRPr="0033303B">
              <w:rPr>
                <w:color w:val="000000"/>
                <w:szCs w:val="24"/>
              </w:rPr>
              <w:t>Гърция</w:t>
            </w:r>
          </w:p>
        </w:tc>
        <w:tc>
          <w:tcPr>
            <w:tcW w:w="1134" w:type="dxa"/>
            <w:tcBorders>
              <w:top w:val="nil"/>
              <w:left w:val="nil"/>
              <w:bottom w:val="single" w:sz="4" w:space="0" w:color="CCCCFF"/>
              <w:right w:val="single" w:sz="4" w:space="0" w:color="CCCCFF"/>
            </w:tcBorders>
            <w:shd w:val="clear" w:color="FFFFFF" w:fill="FFFFFF"/>
            <w:noWrap/>
            <w:vAlign w:val="bottom"/>
            <w:hideMark/>
          </w:tcPr>
          <w:p w14:paraId="3B963CEC" w14:textId="77777777" w:rsidR="0033303B" w:rsidRPr="0033303B" w:rsidRDefault="0033303B" w:rsidP="005B076E">
            <w:pPr>
              <w:jc w:val="right"/>
              <w:rPr>
                <w:color w:val="000000"/>
                <w:szCs w:val="24"/>
              </w:rPr>
            </w:pPr>
            <w:r w:rsidRPr="0033303B">
              <w:rPr>
                <w:color w:val="000000"/>
                <w:szCs w:val="24"/>
              </w:rPr>
              <w:t>59</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0DABFD6F" w14:textId="77777777" w:rsidR="0033303B" w:rsidRPr="0033303B" w:rsidRDefault="0033303B" w:rsidP="005B076E">
            <w:pPr>
              <w:jc w:val="right"/>
              <w:rPr>
                <w:color w:val="000000"/>
                <w:szCs w:val="24"/>
              </w:rPr>
            </w:pPr>
            <w:r w:rsidRPr="0033303B">
              <w:rPr>
                <w:color w:val="000000"/>
                <w:szCs w:val="24"/>
              </w:rPr>
              <w:t>3.7</w:t>
            </w:r>
          </w:p>
        </w:tc>
      </w:tr>
      <w:tr w:rsidR="0033303B" w:rsidRPr="0033303B" w14:paraId="6863C9C4"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47A5F742" w14:textId="77777777" w:rsidR="0033303B" w:rsidRPr="0033303B" w:rsidRDefault="0033303B" w:rsidP="005B076E">
            <w:pPr>
              <w:rPr>
                <w:color w:val="000000"/>
                <w:szCs w:val="24"/>
              </w:rPr>
            </w:pPr>
            <w:r w:rsidRPr="0033303B">
              <w:rPr>
                <w:color w:val="000000"/>
                <w:szCs w:val="24"/>
              </w:rPr>
              <w:t>Полша</w:t>
            </w:r>
          </w:p>
        </w:tc>
        <w:tc>
          <w:tcPr>
            <w:tcW w:w="1134" w:type="dxa"/>
            <w:tcBorders>
              <w:top w:val="nil"/>
              <w:left w:val="nil"/>
              <w:bottom w:val="single" w:sz="4" w:space="0" w:color="CCCCFF"/>
              <w:right w:val="single" w:sz="4" w:space="0" w:color="CCCCFF"/>
            </w:tcBorders>
            <w:shd w:val="clear" w:color="FFFFFF" w:fill="FFFFFF"/>
            <w:noWrap/>
            <w:vAlign w:val="bottom"/>
            <w:hideMark/>
          </w:tcPr>
          <w:p w14:paraId="450B74D8" w14:textId="77777777" w:rsidR="0033303B" w:rsidRPr="0033303B" w:rsidRDefault="0033303B" w:rsidP="005B076E">
            <w:pPr>
              <w:jc w:val="right"/>
              <w:rPr>
                <w:color w:val="000000"/>
                <w:szCs w:val="24"/>
              </w:rPr>
            </w:pPr>
            <w:r w:rsidRPr="0033303B">
              <w:rPr>
                <w:color w:val="000000"/>
                <w:szCs w:val="24"/>
              </w:rPr>
              <w:t>47</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638E6273" w14:textId="77777777" w:rsidR="0033303B" w:rsidRPr="0033303B" w:rsidRDefault="0033303B" w:rsidP="005B076E">
            <w:pPr>
              <w:jc w:val="right"/>
              <w:rPr>
                <w:color w:val="000000"/>
                <w:szCs w:val="24"/>
              </w:rPr>
            </w:pPr>
            <w:r w:rsidRPr="0033303B">
              <w:rPr>
                <w:color w:val="000000"/>
                <w:szCs w:val="24"/>
              </w:rPr>
              <w:t>3.0</w:t>
            </w:r>
          </w:p>
        </w:tc>
      </w:tr>
      <w:tr w:rsidR="0033303B" w:rsidRPr="0033303B" w14:paraId="1164DC79"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574044EF" w14:textId="77777777" w:rsidR="0033303B" w:rsidRPr="0033303B" w:rsidRDefault="0033303B" w:rsidP="005B076E">
            <w:pPr>
              <w:rPr>
                <w:color w:val="000000"/>
                <w:szCs w:val="24"/>
              </w:rPr>
            </w:pPr>
            <w:r w:rsidRPr="0033303B">
              <w:rPr>
                <w:color w:val="000000"/>
                <w:szCs w:val="24"/>
              </w:rPr>
              <w:t>Франция</w:t>
            </w:r>
          </w:p>
        </w:tc>
        <w:tc>
          <w:tcPr>
            <w:tcW w:w="1134" w:type="dxa"/>
            <w:tcBorders>
              <w:top w:val="nil"/>
              <w:left w:val="nil"/>
              <w:bottom w:val="single" w:sz="4" w:space="0" w:color="CCCCFF"/>
              <w:right w:val="single" w:sz="4" w:space="0" w:color="CCCCFF"/>
            </w:tcBorders>
            <w:shd w:val="clear" w:color="FFFFFF" w:fill="FFFFFF"/>
            <w:noWrap/>
            <w:vAlign w:val="bottom"/>
            <w:hideMark/>
          </w:tcPr>
          <w:p w14:paraId="57A171C5" w14:textId="77777777" w:rsidR="0033303B" w:rsidRPr="0033303B" w:rsidRDefault="0033303B" w:rsidP="005B076E">
            <w:pPr>
              <w:jc w:val="right"/>
              <w:rPr>
                <w:color w:val="000000"/>
                <w:szCs w:val="24"/>
              </w:rPr>
            </w:pPr>
            <w:r w:rsidRPr="0033303B">
              <w:rPr>
                <w:color w:val="000000"/>
                <w:szCs w:val="24"/>
              </w:rPr>
              <w:t>43</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67967073" w14:textId="77777777" w:rsidR="0033303B" w:rsidRPr="0033303B" w:rsidRDefault="0033303B" w:rsidP="005B076E">
            <w:pPr>
              <w:jc w:val="right"/>
              <w:rPr>
                <w:color w:val="000000"/>
                <w:szCs w:val="24"/>
              </w:rPr>
            </w:pPr>
            <w:r w:rsidRPr="0033303B">
              <w:rPr>
                <w:color w:val="000000"/>
                <w:szCs w:val="24"/>
              </w:rPr>
              <w:t>2.7</w:t>
            </w:r>
          </w:p>
        </w:tc>
      </w:tr>
      <w:tr w:rsidR="0033303B" w:rsidRPr="0033303B" w14:paraId="177CCE3D"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656AC8A0" w14:textId="77777777" w:rsidR="0033303B" w:rsidRPr="0033303B" w:rsidRDefault="0033303B" w:rsidP="005B076E">
            <w:pPr>
              <w:rPr>
                <w:color w:val="000000"/>
                <w:szCs w:val="24"/>
              </w:rPr>
            </w:pPr>
            <w:r w:rsidRPr="0033303B">
              <w:rPr>
                <w:color w:val="000000"/>
                <w:szCs w:val="24"/>
              </w:rPr>
              <w:t>Други държави от ЕС</w:t>
            </w:r>
          </w:p>
        </w:tc>
        <w:tc>
          <w:tcPr>
            <w:tcW w:w="1134" w:type="dxa"/>
            <w:tcBorders>
              <w:top w:val="nil"/>
              <w:left w:val="nil"/>
              <w:bottom w:val="single" w:sz="4" w:space="0" w:color="CCCCFF"/>
              <w:right w:val="single" w:sz="4" w:space="0" w:color="CCCCFF"/>
            </w:tcBorders>
            <w:shd w:val="clear" w:color="FFFFFF" w:fill="FFFFFF"/>
            <w:noWrap/>
            <w:vAlign w:val="bottom"/>
            <w:hideMark/>
          </w:tcPr>
          <w:p w14:paraId="4C9F8495" w14:textId="77777777" w:rsidR="0033303B" w:rsidRPr="0033303B" w:rsidRDefault="0033303B" w:rsidP="005B076E">
            <w:pPr>
              <w:jc w:val="right"/>
              <w:rPr>
                <w:color w:val="000000"/>
                <w:szCs w:val="24"/>
              </w:rPr>
            </w:pPr>
            <w:r w:rsidRPr="0033303B">
              <w:rPr>
                <w:color w:val="000000"/>
                <w:szCs w:val="24"/>
              </w:rPr>
              <w:t>203</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1EAE1588" w14:textId="77777777" w:rsidR="0033303B" w:rsidRPr="0033303B" w:rsidRDefault="0033303B" w:rsidP="005B076E">
            <w:pPr>
              <w:jc w:val="right"/>
              <w:rPr>
                <w:color w:val="000000"/>
                <w:szCs w:val="24"/>
              </w:rPr>
            </w:pPr>
            <w:r w:rsidRPr="0033303B">
              <w:rPr>
                <w:color w:val="000000"/>
                <w:szCs w:val="24"/>
              </w:rPr>
              <w:t>12.9</w:t>
            </w:r>
          </w:p>
        </w:tc>
      </w:tr>
      <w:tr w:rsidR="0033303B" w:rsidRPr="0033303B" w14:paraId="41C42534"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2A00A6BF" w14:textId="77777777" w:rsidR="0033303B" w:rsidRPr="0033303B" w:rsidRDefault="0033303B" w:rsidP="005B076E">
            <w:pPr>
              <w:rPr>
                <w:color w:val="000000"/>
                <w:szCs w:val="24"/>
              </w:rPr>
            </w:pPr>
            <w:r w:rsidRPr="0033303B">
              <w:rPr>
                <w:color w:val="000000"/>
                <w:szCs w:val="24"/>
              </w:rPr>
              <w:t>Други държави</w:t>
            </w:r>
          </w:p>
        </w:tc>
        <w:tc>
          <w:tcPr>
            <w:tcW w:w="1134" w:type="dxa"/>
            <w:tcBorders>
              <w:top w:val="nil"/>
              <w:left w:val="nil"/>
              <w:bottom w:val="single" w:sz="4" w:space="0" w:color="CCCCFF"/>
              <w:right w:val="single" w:sz="4" w:space="0" w:color="CCCCFF"/>
            </w:tcBorders>
            <w:shd w:val="clear" w:color="FFFFFF" w:fill="FFFFFF"/>
            <w:noWrap/>
            <w:vAlign w:val="bottom"/>
            <w:hideMark/>
          </w:tcPr>
          <w:p w14:paraId="7609A3C8" w14:textId="77777777" w:rsidR="0033303B" w:rsidRPr="0033303B" w:rsidRDefault="0033303B" w:rsidP="005B076E">
            <w:pPr>
              <w:jc w:val="right"/>
              <w:rPr>
                <w:color w:val="000000"/>
                <w:szCs w:val="24"/>
              </w:rPr>
            </w:pPr>
            <w:r w:rsidRPr="0033303B">
              <w:rPr>
                <w:color w:val="000000"/>
                <w:szCs w:val="24"/>
              </w:rPr>
              <w:t>66</w:t>
            </w:r>
          </w:p>
        </w:tc>
        <w:tc>
          <w:tcPr>
            <w:tcW w:w="752" w:type="dxa"/>
            <w:tcBorders>
              <w:top w:val="single" w:sz="4" w:space="0" w:color="CCCCFF"/>
              <w:left w:val="nil"/>
              <w:bottom w:val="single" w:sz="4" w:space="0" w:color="CCCCFF"/>
              <w:right w:val="single" w:sz="4" w:space="0" w:color="CCCCFF"/>
            </w:tcBorders>
            <w:shd w:val="clear" w:color="FFFFFF" w:fill="FFFFFF"/>
            <w:noWrap/>
            <w:vAlign w:val="bottom"/>
            <w:hideMark/>
          </w:tcPr>
          <w:p w14:paraId="6ADD2AE9" w14:textId="77777777" w:rsidR="0033303B" w:rsidRPr="0033303B" w:rsidRDefault="0033303B" w:rsidP="005B076E">
            <w:pPr>
              <w:jc w:val="right"/>
              <w:rPr>
                <w:color w:val="000000"/>
                <w:szCs w:val="24"/>
              </w:rPr>
            </w:pPr>
            <w:r w:rsidRPr="0033303B">
              <w:rPr>
                <w:color w:val="000000"/>
                <w:szCs w:val="24"/>
              </w:rPr>
              <w:t>4.2</w:t>
            </w:r>
          </w:p>
        </w:tc>
      </w:tr>
    </w:tbl>
    <w:p w14:paraId="1CD41FC6" w14:textId="77777777" w:rsidR="0033303B" w:rsidRPr="0033303B" w:rsidRDefault="0033303B" w:rsidP="0033303B">
      <w:pPr>
        <w:rPr>
          <w:szCs w:val="24"/>
        </w:rPr>
      </w:pPr>
    </w:p>
    <w:p w14:paraId="10D3A747" w14:textId="77777777" w:rsidR="0033303B" w:rsidRPr="0033303B" w:rsidRDefault="0033303B" w:rsidP="0033303B">
      <w:pPr>
        <w:rPr>
          <w:szCs w:val="24"/>
        </w:rPr>
      </w:pPr>
      <w:r w:rsidRPr="0033303B">
        <w:t>2016</w:t>
      </w:r>
    </w:p>
    <w:tbl>
      <w:tblPr>
        <w:tblW w:w="3989" w:type="dxa"/>
        <w:tblLook w:val="04A0" w:firstRow="1" w:lastRow="0" w:firstColumn="1" w:lastColumn="0" w:noHBand="0" w:noVBand="1"/>
      </w:tblPr>
      <w:tblGrid>
        <w:gridCol w:w="2263"/>
        <w:gridCol w:w="1181"/>
        <w:gridCol w:w="636"/>
      </w:tblGrid>
      <w:tr w:rsidR="0033303B" w:rsidRPr="0033303B" w14:paraId="734A6CA9" w14:textId="77777777" w:rsidTr="005B076E">
        <w:trPr>
          <w:trHeight w:val="540"/>
        </w:trPr>
        <w:tc>
          <w:tcPr>
            <w:tcW w:w="226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2C5190D" w14:textId="77777777" w:rsidR="0033303B" w:rsidRPr="0033303B" w:rsidRDefault="0033303B" w:rsidP="005B076E">
            <w:pPr>
              <w:jc w:val="center"/>
              <w:rPr>
                <w:b/>
                <w:bCs/>
                <w:color w:val="FFFFFF"/>
                <w:szCs w:val="24"/>
              </w:rPr>
            </w:pPr>
            <w:r w:rsidRPr="0033303B">
              <w:rPr>
                <w:b/>
                <w:bCs/>
                <w:color w:val="FFFFFF"/>
                <w:szCs w:val="24"/>
              </w:rPr>
              <w:t>Държава</w:t>
            </w:r>
          </w:p>
        </w:tc>
        <w:tc>
          <w:tcPr>
            <w:tcW w:w="1120" w:type="dxa"/>
            <w:tcBorders>
              <w:top w:val="single" w:sz="4" w:space="0" w:color="CCCCFF"/>
              <w:left w:val="nil"/>
              <w:bottom w:val="single" w:sz="4" w:space="0" w:color="CCCCFF"/>
              <w:right w:val="single" w:sz="4" w:space="0" w:color="CCCCFF"/>
            </w:tcBorders>
            <w:shd w:val="clear" w:color="FFFFFF" w:fill="666699"/>
            <w:vAlign w:val="center"/>
            <w:hideMark/>
          </w:tcPr>
          <w:p w14:paraId="7E5EBB6B" w14:textId="77777777" w:rsidR="0033303B" w:rsidRPr="0033303B" w:rsidRDefault="0033303B" w:rsidP="005B076E">
            <w:pPr>
              <w:jc w:val="center"/>
              <w:rPr>
                <w:b/>
                <w:bCs/>
                <w:color w:val="FFFFFF"/>
                <w:szCs w:val="24"/>
              </w:rPr>
            </w:pPr>
            <w:r w:rsidRPr="0033303B">
              <w:rPr>
                <w:b/>
                <w:bCs/>
                <w:color w:val="FFFFFF"/>
                <w:szCs w:val="24"/>
              </w:rPr>
              <w:t>Петиции</w:t>
            </w:r>
          </w:p>
        </w:tc>
        <w:tc>
          <w:tcPr>
            <w:tcW w:w="606" w:type="dxa"/>
            <w:tcBorders>
              <w:top w:val="single" w:sz="4" w:space="0" w:color="CCCCFF"/>
              <w:left w:val="nil"/>
              <w:bottom w:val="single" w:sz="4" w:space="0" w:color="CCCCFF"/>
              <w:right w:val="single" w:sz="4" w:space="0" w:color="CCCCFF"/>
            </w:tcBorders>
            <w:shd w:val="clear" w:color="FFFFFF" w:fill="666699"/>
            <w:vAlign w:val="center"/>
            <w:hideMark/>
          </w:tcPr>
          <w:p w14:paraId="134904D0"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588AD80F"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09378C14" w14:textId="77777777" w:rsidR="0033303B" w:rsidRPr="0033303B" w:rsidRDefault="0033303B" w:rsidP="005B076E">
            <w:pPr>
              <w:rPr>
                <w:color w:val="000000"/>
                <w:szCs w:val="24"/>
              </w:rPr>
            </w:pPr>
            <w:r w:rsidRPr="0033303B">
              <w:rPr>
                <w:color w:val="000000"/>
                <w:szCs w:val="24"/>
              </w:rPr>
              <w:t>Италия</w:t>
            </w:r>
          </w:p>
        </w:tc>
        <w:tc>
          <w:tcPr>
            <w:tcW w:w="1120" w:type="dxa"/>
            <w:tcBorders>
              <w:top w:val="nil"/>
              <w:left w:val="nil"/>
              <w:bottom w:val="single" w:sz="4" w:space="0" w:color="CCCCFF"/>
              <w:right w:val="single" w:sz="4" w:space="0" w:color="CCCCFF"/>
            </w:tcBorders>
            <w:shd w:val="clear" w:color="FFFFFF" w:fill="FFFFFF"/>
            <w:noWrap/>
            <w:vAlign w:val="bottom"/>
            <w:hideMark/>
          </w:tcPr>
          <w:p w14:paraId="33059855" w14:textId="77777777" w:rsidR="0033303B" w:rsidRPr="0033303B" w:rsidRDefault="0033303B" w:rsidP="005B076E">
            <w:pPr>
              <w:jc w:val="right"/>
              <w:rPr>
                <w:color w:val="000000"/>
                <w:szCs w:val="24"/>
              </w:rPr>
            </w:pPr>
            <w:r w:rsidRPr="0033303B">
              <w:rPr>
                <w:color w:val="000000"/>
                <w:szCs w:val="24"/>
              </w:rPr>
              <w:t>329</w:t>
            </w:r>
          </w:p>
        </w:tc>
        <w:tc>
          <w:tcPr>
            <w:tcW w:w="606" w:type="dxa"/>
            <w:tcBorders>
              <w:top w:val="nil"/>
              <w:left w:val="nil"/>
              <w:bottom w:val="single" w:sz="4" w:space="0" w:color="CCCCFF"/>
              <w:right w:val="single" w:sz="4" w:space="0" w:color="CCCCFF"/>
            </w:tcBorders>
            <w:shd w:val="clear" w:color="FFFFFF" w:fill="FFFFFF"/>
            <w:noWrap/>
            <w:vAlign w:val="bottom"/>
            <w:hideMark/>
          </w:tcPr>
          <w:p w14:paraId="78B1D023" w14:textId="77777777" w:rsidR="0033303B" w:rsidRPr="0033303B" w:rsidRDefault="0033303B" w:rsidP="005B076E">
            <w:pPr>
              <w:jc w:val="right"/>
              <w:rPr>
                <w:color w:val="000000"/>
                <w:szCs w:val="24"/>
              </w:rPr>
            </w:pPr>
            <w:r w:rsidRPr="0033303B">
              <w:rPr>
                <w:color w:val="000000"/>
                <w:szCs w:val="24"/>
              </w:rPr>
              <w:t>17.1</w:t>
            </w:r>
          </w:p>
        </w:tc>
      </w:tr>
      <w:tr w:rsidR="0033303B" w:rsidRPr="0033303B" w14:paraId="49BABCC6"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618F8F57" w14:textId="77777777" w:rsidR="0033303B" w:rsidRPr="0033303B" w:rsidRDefault="0033303B" w:rsidP="005B076E">
            <w:pPr>
              <w:rPr>
                <w:color w:val="000000"/>
                <w:szCs w:val="24"/>
              </w:rPr>
            </w:pPr>
            <w:r w:rsidRPr="0033303B">
              <w:rPr>
                <w:color w:val="000000"/>
                <w:szCs w:val="24"/>
              </w:rPr>
              <w:t>Германия</w:t>
            </w:r>
          </w:p>
        </w:tc>
        <w:tc>
          <w:tcPr>
            <w:tcW w:w="1120" w:type="dxa"/>
            <w:tcBorders>
              <w:top w:val="nil"/>
              <w:left w:val="nil"/>
              <w:bottom w:val="single" w:sz="4" w:space="0" w:color="CCCCFF"/>
              <w:right w:val="single" w:sz="4" w:space="0" w:color="CCCCFF"/>
            </w:tcBorders>
            <w:shd w:val="clear" w:color="FFFFFF" w:fill="FFFFFF"/>
            <w:noWrap/>
            <w:vAlign w:val="bottom"/>
            <w:hideMark/>
          </w:tcPr>
          <w:p w14:paraId="5B7AD8EA" w14:textId="77777777" w:rsidR="0033303B" w:rsidRPr="0033303B" w:rsidRDefault="0033303B" w:rsidP="005B076E">
            <w:pPr>
              <w:jc w:val="right"/>
              <w:rPr>
                <w:color w:val="000000"/>
                <w:szCs w:val="24"/>
              </w:rPr>
            </w:pPr>
            <w:r w:rsidRPr="0033303B">
              <w:rPr>
                <w:color w:val="000000"/>
                <w:szCs w:val="24"/>
              </w:rPr>
              <w:t>209</w:t>
            </w:r>
          </w:p>
        </w:tc>
        <w:tc>
          <w:tcPr>
            <w:tcW w:w="606" w:type="dxa"/>
            <w:tcBorders>
              <w:top w:val="nil"/>
              <w:left w:val="nil"/>
              <w:bottom w:val="single" w:sz="4" w:space="0" w:color="CCCCFF"/>
              <w:right w:val="single" w:sz="4" w:space="0" w:color="CCCCFF"/>
            </w:tcBorders>
            <w:shd w:val="clear" w:color="FFFFFF" w:fill="FFFFFF"/>
            <w:noWrap/>
            <w:vAlign w:val="bottom"/>
            <w:hideMark/>
          </w:tcPr>
          <w:p w14:paraId="12E080D2" w14:textId="77777777" w:rsidR="0033303B" w:rsidRPr="0033303B" w:rsidRDefault="0033303B" w:rsidP="005B076E">
            <w:pPr>
              <w:jc w:val="right"/>
              <w:rPr>
                <w:color w:val="000000"/>
                <w:szCs w:val="24"/>
              </w:rPr>
            </w:pPr>
            <w:r w:rsidRPr="0033303B">
              <w:rPr>
                <w:color w:val="000000"/>
                <w:szCs w:val="24"/>
              </w:rPr>
              <w:t>10.9</w:t>
            </w:r>
          </w:p>
        </w:tc>
      </w:tr>
      <w:tr w:rsidR="0033303B" w:rsidRPr="0033303B" w14:paraId="07F55E7B"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1BE8D285" w14:textId="77777777" w:rsidR="0033303B" w:rsidRPr="0033303B" w:rsidRDefault="0033303B" w:rsidP="005B076E">
            <w:pPr>
              <w:rPr>
                <w:color w:val="000000"/>
                <w:szCs w:val="24"/>
              </w:rPr>
            </w:pPr>
            <w:r w:rsidRPr="0033303B">
              <w:rPr>
                <w:color w:val="000000"/>
                <w:szCs w:val="24"/>
              </w:rPr>
              <w:t>Испания</w:t>
            </w:r>
          </w:p>
        </w:tc>
        <w:tc>
          <w:tcPr>
            <w:tcW w:w="1120" w:type="dxa"/>
            <w:tcBorders>
              <w:top w:val="nil"/>
              <w:left w:val="nil"/>
              <w:bottom w:val="single" w:sz="4" w:space="0" w:color="CCCCFF"/>
              <w:right w:val="single" w:sz="4" w:space="0" w:color="CCCCFF"/>
            </w:tcBorders>
            <w:shd w:val="clear" w:color="FFFFFF" w:fill="FFFFFF"/>
            <w:noWrap/>
            <w:vAlign w:val="bottom"/>
            <w:hideMark/>
          </w:tcPr>
          <w:p w14:paraId="4DE102F2" w14:textId="77777777" w:rsidR="0033303B" w:rsidRPr="0033303B" w:rsidRDefault="0033303B" w:rsidP="005B076E">
            <w:pPr>
              <w:jc w:val="right"/>
              <w:rPr>
                <w:color w:val="000000"/>
                <w:szCs w:val="24"/>
              </w:rPr>
            </w:pPr>
            <w:r w:rsidRPr="0033303B">
              <w:rPr>
                <w:color w:val="000000"/>
                <w:szCs w:val="24"/>
              </w:rPr>
              <w:t>157</w:t>
            </w:r>
          </w:p>
        </w:tc>
        <w:tc>
          <w:tcPr>
            <w:tcW w:w="606" w:type="dxa"/>
            <w:tcBorders>
              <w:top w:val="nil"/>
              <w:left w:val="nil"/>
              <w:bottom w:val="single" w:sz="4" w:space="0" w:color="CCCCFF"/>
              <w:right w:val="single" w:sz="4" w:space="0" w:color="CCCCFF"/>
            </w:tcBorders>
            <w:shd w:val="clear" w:color="FFFFFF" w:fill="FFFFFF"/>
            <w:noWrap/>
            <w:vAlign w:val="bottom"/>
            <w:hideMark/>
          </w:tcPr>
          <w:p w14:paraId="4C3AD475" w14:textId="77777777" w:rsidR="0033303B" w:rsidRPr="0033303B" w:rsidRDefault="0033303B" w:rsidP="005B076E">
            <w:pPr>
              <w:jc w:val="right"/>
              <w:rPr>
                <w:color w:val="000000"/>
                <w:szCs w:val="24"/>
              </w:rPr>
            </w:pPr>
            <w:r w:rsidRPr="0033303B">
              <w:rPr>
                <w:color w:val="000000"/>
                <w:szCs w:val="24"/>
              </w:rPr>
              <w:t>8.2</w:t>
            </w:r>
          </w:p>
        </w:tc>
      </w:tr>
      <w:tr w:rsidR="0033303B" w:rsidRPr="0033303B" w14:paraId="5AE1EECC"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6B363D38" w14:textId="77777777" w:rsidR="0033303B" w:rsidRPr="0033303B" w:rsidRDefault="0033303B" w:rsidP="005B076E">
            <w:pPr>
              <w:rPr>
                <w:color w:val="000000"/>
                <w:szCs w:val="24"/>
              </w:rPr>
            </w:pPr>
            <w:r w:rsidRPr="0033303B">
              <w:rPr>
                <w:color w:val="000000"/>
                <w:szCs w:val="24"/>
              </w:rPr>
              <w:t>Обединено кралство</w:t>
            </w:r>
          </w:p>
        </w:tc>
        <w:tc>
          <w:tcPr>
            <w:tcW w:w="1120" w:type="dxa"/>
            <w:tcBorders>
              <w:top w:val="nil"/>
              <w:left w:val="nil"/>
              <w:bottom w:val="single" w:sz="4" w:space="0" w:color="CCCCFF"/>
              <w:right w:val="single" w:sz="4" w:space="0" w:color="CCCCFF"/>
            </w:tcBorders>
            <w:shd w:val="clear" w:color="FFFFFF" w:fill="FFFFFF"/>
            <w:noWrap/>
            <w:vAlign w:val="bottom"/>
            <w:hideMark/>
          </w:tcPr>
          <w:p w14:paraId="1AD77173" w14:textId="77777777" w:rsidR="0033303B" w:rsidRPr="0033303B" w:rsidRDefault="0033303B" w:rsidP="005B076E">
            <w:pPr>
              <w:jc w:val="right"/>
              <w:rPr>
                <w:color w:val="000000"/>
                <w:szCs w:val="24"/>
              </w:rPr>
            </w:pPr>
            <w:r w:rsidRPr="0033303B">
              <w:rPr>
                <w:color w:val="000000"/>
                <w:szCs w:val="24"/>
              </w:rPr>
              <w:t>142</w:t>
            </w:r>
          </w:p>
        </w:tc>
        <w:tc>
          <w:tcPr>
            <w:tcW w:w="606" w:type="dxa"/>
            <w:tcBorders>
              <w:top w:val="nil"/>
              <w:left w:val="nil"/>
              <w:bottom w:val="single" w:sz="4" w:space="0" w:color="CCCCFF"/>
              <w:right w:val="single" w:sz="4" w:space="0" w:color="CCCCFF"/>
            </w:tcBorders>
            <w:shd w:val="clear" w:color="FFFFFF" w:fill="FFFFFF"/>
            <w:noWrap/>
            <w:vAlign w:val="bottom"/>
            <w:hideMark/>
          </w:tcPr>
          <w:p w14:paraId="56281607" w14:textId="77777777" w:rsidR="0033303B" w:rsidRPr="0033303B" w:rsidRDefault="0033303B" w:rsidP="005B076E">
            <w:pPr>
              <w:jc w:val="right"/>
              <w:rPr>
                <w:color w:val="000000"/>
                <w:szCs w:val="24"/>
              </w:rPr>
            </w:pPr>
            <w:r w:rsidRPr="0033303B">
              <w:rPr>
                <w:color w:val="000000"/>
                <w:szCs w:val="24"/>
              </w:rPr>
              <w:t>7.4</w:t>
            </w:r>
          </w:p>
        </w:tc>
      </w:tr>
      <w:tr w:rsidR="0033303B" w:rsidRPr="0033303B" w14:paraId="3C3820FF"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2892E34D" w14:textId="77777777" w:rsidR="0033303B" w:rsidRPr="0033303B" w:rsidRDefault="0033303B" w:rsidP="005B076E">
            <w:pPr>
              <w:rPr>
                <w:color w:val="000000"/>
                <w:szCs w:val="24"/>
              </w:rPr>
            </w:pPr>
            <w:r w:rsidRPr="0033303B">
              <w:rPr>
                <w:color w:val="000000"/>
                <w:szCs w:val="24"/>
              </w:rPr>
              <w:t>Румъния</w:t>
            </w:r>
          </w:p>
        </w:tc>
        <w:tc>
          <w:tcPr>
            <w:tcW w:w="1120" w:type="dxa"/>
            <w:tcBorders>
              <w:top w:val="nil"/>
              <w:left w:val="nil"/>
              <w:bottom w:val="single" w:sz="4" w:space="0" w:color="CCCCFF"/>
              <w:right w:val="single" w:sz="4" w:space="0" w:color="CCCCFF"/>
            </w:tcBorders>
            <w:shd w:val="clear" w:color="FFFFFF" w:fill="FFFFFF"/>
            <w:noWrap/>
            <w:vAlign w:val="bottom"/>
            <w:hideMark/>
          </w:tcPr>
          <w:p w14:paraId="2626B6A0" w14:textId="77777777" w:rsidR="0033303B" w:rsidRPr="0033303B" w:rsidRDefault="0033303B" w:rsidP="005B076E">
            <w:pPr>
              <w:jc w:val="right"/>
              <w:rPr>
                <w:color w:val="000000"/>
                <w:szCs w:val="24"/>
              </w:rPr>
            </w:pPr>
            <w:r w:rsidRPr="0033303B">
              <w:rPr>
                <w:color w:val="000000"/>
                <w:szCs w:val="24"/>
              </w:rPr>
              <w:t>91</w:t>
            </w:r>
          </w:p>
        </w:tc>
        <w:tc>
          <w:tcPr>
            <w:tcW w:w="606" w:type="dxa"/>
            <w:tcBorders>
              <w:top w:val="nil"/>
              <w:left w:val="nil"/>
              <w:bottom w:val="single" w:sz="4" w:space="0" w:color="CCCCFF"/>
              <w:right w:val="single" w:sz="4" w:space="0" w:color="CCCCFF"/>
            </w:tcBorders>
            <w:shd w:val="clear" w:color="FFFFFF" w:fill="FFFFFF"/>
            <w:noWrap/>
            <w:vAlign w:val="bottom"/>
            <w:hideMark/>
          </w:tcPr>
          <w:p w14:paraId="3638CDB3" w14:textId="77777777" w:rsidR="0033303B" w:rsidRPr="0033303B" w:rsidRDefault="0033303B" w:rsidP="005B076E">
            <w:pPr>
              <w:jc w:val="right"/>
              <w:rPr>
                <w:color w:val="000000"/>
                <w:szCs w:val="24"/>
              </w:rPr>
            </w:pPr>
            <w:r w:rsidRPr="0033303B">
              <w:rPr>
                <w:color w:val="000000"/>
                <w:szCs w:val="24"/>
              </w:rPr>
              <w:t>4.7</w:t>
            </w:r>
          </w:p>
        </w:tc>
      </w:tr>
      <w:tr w:rsidR="0033303B" w:rsidRPr="0033303B" w14:paraId="2D50DBF5"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5056AFBA" w14:textId="77777777" w:rsidR="0033303B" w:rsidRPr="0033303B" w:rsidRDefault="0033303B" w:rsidP="005B076E">
            <w:pPr>
              <w:rPr>
                <w:color w:val="000000"/>
                <w:szCs w:val="24"/>
              </w:rPr>
            </w:pPr>
            <w:r w:rsidRPr="0033303B">
              <w:rPr>
                <w:color w:val="000000"/>
                <w:szCs w:val="24"/>
              </w:rPr>
              <w:t>Полша</w:t>
            </w:r>
          </w:p>
        </w:tc>
        <w:tc>
          <w:tcPr>
            <w:tcW w:w="1120" w:type="dxa"/>
            <w:tcBorders>
              <w:top w:val="nil"/>
              <w:left w:val="nil"/>
              <w:bottom w:val="single" w:sz="4" w:space="0" w:color="CCCCFF"/>
              <w:right w:val="single" w:sz="4" w:space="0" w:color="CCCCFF"/>
            </w:tcBorders>
            <w:shd w:val="clear" w:color="FFFFFF" w:fill="FFFFFF"/>
            <w:noWrap/>
            <w:vAlign w:val="bottom"/>
            <w:hideMark/>
          </w:tcPr>
          <w:p w14:paraId="28A04B4A" w14:textId="77777777" w:rsidR="0033303B" w:rsidRPr="0033303B" w:rsidRDefault="0033303B" w:rsidP="005B076E">
            <w:pPr>
              <w:jc w:val="right"/>
              <w:rPr>
                <w:color w:val="000000"/>
                <w:szCs w:val="24"/>
              </w:rPr>
            </w:pPr>
            <w:r w:rsidRPr="0033303B">
              <w:rPr>
                <w:color w:val="000000"/>
                <w:szCs w:val="24"/>
              </w:rPr>
              <w:t>66</w:t>
            </w:r>
          </w:p>
        </w:tc>
        <w:tc>
          <w:tcPr>
            <w:tcW w:w="606" w:type="dxa"/>
            <w:tcBorders>
              <w:top w:val="nil"/>
              <w:left w:val="nil"/>
              <w:bottom w:val="single" w:sz="4" w:space="0" w:color="CCCCFF"/>
              <w:right w:val="single" w:sz="4" w:space="0" w:color="CCCCFF"/>
            </w:tcBorders>
            <w:shd w:val="clear" w:color="FFFFFF" w:fill="FFFFFF"/>
            <w:noWrap/>
            <w:vAlign w:val="bottom"/>
            <w:hideMark/>
          </w:tcPr>
          <w:p w14:paraId="28750BC2" w14:textId="77777777" w:rsidR="0033303B" w:rsidRPr="0033303B" w:rsidRDefault="0033303B" w:rsidP="005B076E">
            <w:pPr>
              <w:jc w:val="right"/>
              <w:rPr>
                <w:color w:val="000000"/>
                <w:szCs w:val="24"/>
              </w:rPr>
            </w:pPr>
            <w:r w:rsidRPr="0033303B">
              <w:rPr>
                <w:color w:val="000000"/>
                <w:szCs w:val="24"/>
              </w:rPr>
              <w:t>3.4</w:t>
            </w:r>
          </w:p>
        </w:tc>
      </w:tr>
      <w:tr w:rsidR="0033303B" w:rsidRPr="0033303B" w14:paraId="09E58C30"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12130E9D" w14:textId="77777777" w:rsidR="0033303B" w:rsidRPr="0033303B" w:rsidRDefault="0033303B" w:rsidP="005B076E">
            <w:pPr>
              <w:rPr>
                <w:color w:val="000000"/>
                <w:szCs w:val="24"/>
              </w:rPr>
            </w:pPr>
            <w:r w:rsidRPr="0033303B">
              <w:rPr>
                <w:color w:val="000000"/>
                <w:szCs w:val="24"/>
              </w:rPr>
              <w:t>Франция</w:t>
            </w:r>
          </w:p>
        </w:tc>
        <w:tc>
          <w:tcPr>
            <w:tcW w:w="1120" w:type="dxa"/>
            <w:tcBorders>
              <w:top w:val="nil"/>
              <w:left w:val="nil"/>
              <w:bottom w:val="single" w:sz="4" w:space="0" w:color="CCCCFF"/>
              <w:right w:val="single" w:sz="4" w:space="0" w:color="CCCCFF"/>
            </w:tcBorders>
            <w:shd w:val="clear" w:color="FFFFFF" w:fill="FFFFFF"/>
            <w:noWrap/>
            <w:vAlign w:val="bottom"/>
            <w:hideMark/>
          </w:tcPr>
          <w:p w14:paraId="002450E4" w14:textId="77777777" w:rsidR="0033303B" w:rsidRPr="0033303B" w:rsidRDefault="0033303B" w:rsidP="005B076E">
            <w:pPr>
              <w:jc w:val="right"/>
              <w:rPr>
                <w:color w:val="000000"/>
                <w:szCs w:val="24"/>
              </w:rPr>
            </w:pPr>
            <w:r w:rsidRPr="0033303B">
              <w:rPr>
                <w:color w:val="000000"/>
                <w:szCs w:val="24"/>
              </w:rPr>
              <w:t>60</w:t>
            </w:r>
          </w:p>
        </w:tc>
        <w:tc>
          <w:tcPr>
            <w:tcW w:w="606" w:type="dxa"/>
            <w:tcBorders>
              <w:top w:val="nil"/>
              <w:left w:val="nil"/>
              <w:bottom w:val="single" w:sz="4" w:space="0" w:color="CCCCFF"/>
              <w:right w:val="single" w:sz="4" w:space="0" w:color="CCCCFF"/>
            </w:tcBorders>
            <w:shd w:val="clear" w:color="FFFFFF" w:fill="FFFFFF"/>
            <w:noWrap/>
            <w:vAlign w:val="bottom"/>
            <w:hideMark/>
          </w:tcPr>
          <w:p w14:paraId="0C3FE29E" w14:textId="77777777" w:rsidR="0033303B" w:rsidRPr="0033303B" w:rsidRDefault="0033303B" w:rsidP="005B076E">
            <w:pPr>
              <w:jc w:val="right"/>
              <w:rPr>
                <w:color w:val="000000"/>
                <w:szCs w:val="24"/>
              </w:rPr>
            </w:pPr>
            <w:r w:rsidRPr="0033303B">
              <w:rPr>
                <w:color w:val="000000"/>
                <w:szCs w:val="24"/>
              </w:rPr>
              <w:t>3.1</w:t>
            </w:r>
          </w:p>
        </w:tc>
      </w:tr>
      <w:tr w:rsidR="0033303B" w:rsidRPr="0033303B" w14:paraId="79130EB3"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463FC58D" w14:textId="77777777" w:rsidR="0033303B" w:rsidRPr="0033303B" w:rsidRDefault="0033303B" w:rsidP="005B076E">
            <w:pPr>
              <w:rPr>
                <w:color w:val="000000"/>
                <w:szCs w:val="24"/>
              </w:rPr>
            </w:pPr>
            <w:r w:rsidRPr="0033303B">
              <w:rPr>
                <w:color w:val="000000"/>
                <w:szCs w:val="24"/>
              </w:rPr>
              <w:t>Гърция</w:t>
            </w:r>
          </w:p>
        </w:tc>
        <w:tc>
          <w:tcPr>
            <w:tcW w:w="1120" w:type="dxa"/>
            <w:tcBorders>
              <w:top w:val="nil"/>
              <w:left w:val="nil"/>
              <w:bottom w:val="single" w:sz="4" w:space="0" w:color="CCCCFF"/>
              <w:right w:val="single" w:sz="4" w:space="0" w:color="CCCCFF"/>
            </w:tcBorders>
            <w:shd w:val="clear" w:color="FFFFFF" w:fill="FFFFFF"/>
            <w:noWrap/>
            <w:vAlign w:val="bottom"/>
            <w:hideMark/>
          </w:tcPr>
          <w:p w14:paraId="178A7EAE" w14:textId="77777777" w:rsidR="0033303B" w:rsidRPr="0033303B" w:rsidRDefault="0033303B" w:rsidP="005B076E">
            <w:pPr>
              <w:jc w:val="right"/>
              <w:rPr>
                <w:color w:val="000000"/>
                <w:szCs w:val="24"/>
              </w:rPr>
            </w:pPr>
            <w:r w:rsidRPr="0033303B">
              <w:rPr>
                <w:color w:val="000000"/>
                <w:szCs w:val="24"/>
              </w:rPr>
              <w:t>54</w:t>
            </w:r>
          </w:p>
        </w:tc>
        <w:tc>
          <w:tcPr>
            <w:tcW w:w="606" w:type="dxa"/>
            <w:tcBorders>
              <w:top w:val="nil"/>
              <w:left w:val="nil"/>
              <w:bottom w:val="single" w:sz="4" w:space="0" w:color="CCCCFF"/>
              <w:right w:val="single" w:sz="4" w:space="0" w:color="CCCCFF"/>
            </w:tcBorders>
            <w:shd w:val="clear" w:color="FFFFFF" w:fill="FFFFFF"/>
            <w:noWrap/>
            <w:vAlign w:val="bottom"/>
            <w:hideMark/>
          </w:tcPr>
          <w:p w14:paraId="372A9E98" w14:textId="77777777" w:rsidR="0033303B" w:rsidRPr="0033303B" w:rsidRDefault="0033303B" w:rsidP="005B076E">
            <w:pPr>
              <w:jc w:val="right"/>
              <w:rPr>
                <w:color w:val="000000"/>
                <w:szCs w:val="24"/>
              </w:rPr>
            </w:pPr>
            <w:r w:rsidRPr="0033303B">
              <w:rPr>
                <w:color w:val="000000"/>
                <w:szCs w:val="24"/>
              </w:rPr>
              <w:t>2.8</w:t>
            </w:r>
          </w:p>
        </w:tc>
      </w:tr>
      <w:tr w:rsidR="0033303B" w:rsidRPr="0033303B" w14:paraId="162CCA88"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6B27CEED" w14:textId="77777777" w:rsidR="0033303B" w:rsidRPr="0033303B" w:rsidRDefault="0033303B" w:rsidP="005B076E">
            <w:pPr>
              <w:rPr>
                <w:color w:val="000000"/>
                <w:szCs w:val="24"/>
              </w:rPr>
            </w:pPr>
            <w:r w:rsidRPr="0033303B">
              <w:rPr>
                <w:color w:val="000000"/>
                <w:szCs w:val="24"/>
              </w:rPr>
              <w:t>Други държави от ЕС</w:t>
            </w:r>
          </w:p>
        </w:tc>
        <w:tc>
          <w:tcPr>
            <w:tcW w:w="1120" w:type="dxa"/>
            <w:tcBorders>
              <w:top w:val="nil"/>
              <w:left w:val="nil"/>
              <w:bottom w:val="single" w:sz="4" w:space="0" w:color="CCCCFF"/>
              <w:right w:val="single" w:sz="4" w:space="0" w:color="CCCCFF"/>
            </w:tcBorders>
            <w:shd w:val="clear" w:color="FFFFFF" w:fill="FFFFFF"/>
            <w:noWrap/>
            <w:vAlign w:val="bottom"/>
            <w:hideMark/>
          </w:tcPr>
          <w:p w14:paraId="713A5B7F" w14:textId="77777777" w:rsidR="0033303B" w:rsidRPr="0033303B" w:rsidRDefault="0033303B" w:rsidP="005B076E">
            <w:pPr>
              <w:jc w:val="right"/>
              <w:rPr>
                <w:color w:val="000000"/>
                <w:szCs w:val="24"/>
              </w:rPr>
            </w:pPr>
            <w:r w:rsidRPr="0033303B">
              <w:rPr>
                <w:color w:val="000000"/>
                <w:szCs w:val="24"/>
              </w:rPr>
              <w:t>236</w:t>
            </w:r>
          </w:p>
        </w:tc>
        <w:tc>
          <w:tcPr>
            <w:tcW w:w="606" w:type="dxa"/>
            <w:tcBorders>
              <w:top w:val="nil"/>
              <w:left w:val="nil"/>
              <w:bottom w:val="single" w:sz="4" w:space="0" w:color="CCCCFF"/>
              <w:right w:val="nil"/>
            </w:tcBorders>
            <w:shd w:val="clear" w:color="FFFFFF" w:fill="FFFFFF"/>
            <w:noWrap/>
            <w:vAlign w:val="bottom"/>
            <w:hideMark/>
          </w:tcPr>
          <w:p w14:paraId="66D50BA6" w14:textId="77777777" w:rsidR="0033303B" w:rsidRPr="0033303B" w:rsidRDefault="0033303B" w:rsidP="005B076E">
            <w:pPr>
              <w:jc w:val="right"/>
              <w:rPr>
                <w:color w:val="000000"/>
                <w:szCs w:val="24"/>
              </w:rPr>
            </w:pPr>
            <w:r w:rsidRPr="0033303B">
              <w:rPr>
                <w:color w:val="000000"/>
                <w:szCs w:val="24"/>
              </w:rPr>
              <w:t>12.4</w:t>
            </w:r>
          </w:p>
        </w:tc>
      </w:tr>
      <w:tr w:rsidR="0033303B" w:rsidRPr="0033303B" w14:paraId="6A388682" w14:textId="77777777" w:rsidTr="005B076E">
        <w:trPr>
          <w:trHeight w:val="360"/>
        </w:trPr>
        <w:tc>
          <w:tcPr>
            <w:tcW w:w="2263" w:type="dxa"/>
            <w:tcBorders>
              <w:top w:val="nil"/>
              <w:left w:val="single" w:sz="4" w:space="0" w:color="CCCCFF"/>
              <w:bottom w:val="single" w:sz="4" w:space="0" w:color="CCCCFF"/>
              <w:right w:val="single" w:sz="4" w:space="0" w:color="CCCCFF"/>
            </w:tcBorders>
            <w:shd w:val="clear" w:color="FFFFFF" w:fill="FFFFFF"/>
            <w:noWrap/>
            <w:vAlign w:val="bottom"/>
            <w:hideMark/>
          </w:tcPr>
          <w:p w14:paraId="4F62741C" w14:textId="77777777" w:rsidR="0033303B" w:rsidRPr="0033303B" w:rsidRDefault="0033303B" w:rsidP="005B076E">
            <w:pPr>
              <w:rPr>
                <w:color w:val="000000"/>
                <w:szCs w:val="24"/>
              </w:rPr>
            </w:pPr>
            <w:r w:rsidRPr="0033303B">
              <w:rPr>
                <w:color w:val="000000"/>
                <w:szCs w:val="24"/>
              </w:rPr>
              <w:lastRenderedPageBreak/>
              <w:t>Други държави</w:t>
            </w:r>
          </w:p>
        </w:tc>
        <w:tc>
          <w:tcPr>
            <w:tcW w:w="1120" w:type="dxa"/>
            <w:tcBorders>
              <w:top w:val="nil"/>
              <w:left w:val="nil"/>
              <w:bottom w:val="single" w:sz="4" w:space="0" w:color="CCCCFF"/>
              <w:right w:val="single" w:sz="4" w:space="0" w:color="CCCCFF"/>
            </w:tcBorders>
            <w:shd w:val="clear" w:color="FFFFFF" w:fill="FFFFFF"/>
            <w:noWrap/>
            <w:vAlign w:val="bottom"/>
            <w:hideMark/>
          </w:tcPr>
          <w:p w14:paraId="0F0D3290" w14:textId="77777777" w:rsidR="0033303B" w:rsidRPr="0033303B" w:rsidRDefault="0033303B" w:rsidP="005B076E">
            <w:pPr>
              <w:jc w:val="right"/>
              <w:rPr>
                <w:color w:val="000000"/>
                <w:szCs w:val="24"/>
              </w:rPr>
            </w:pPr>
            <w:r w:rsidRPr="0033303B">
              <w:rPr>
                <w:color w:val="000000"/>
                <w:szCs w:val="24"/>
              </w:rPr>
              <w:t>82</w:t>
            </w:r>
          </w:p>
        </w:tc>
        <w:tc>
          <w:tcPr>
            <w:tcW w:w="606" w:type="dxa"/>
            <w:tcBorders>
              <w:top w:val="nil"/>
              <w:left w:val="nil"/>
              <w:bottom w:val="single" w:sz="4" w:space="0" w:color="CCCCFF"/>
              <w:right w:val="nil"/>
            </w:tcBorders>
            <w:shd w:val="clear" w:color="FFFFFF" w:fill="FFFFFF"/>
            <w:noWrap/>
            <w:vAlign w:val="bottom"/>
            <w:hideMark/>
          </w:tcPr>
          <w:p w14:paraId="0859705E" w14:textId="77777777" w:rsidR="0033303B" w:rsidRPr="0033303B" w:rsidRDefault="0033303B" w:rsidP="005B076E">
            <w:pPr>
              <w:jc w:val="right"/>
              <w:rPr>
                <w:color w:val="000000"/>
                <w:szCs w:val="24"/>
              </w:rPr>
            </w:pPr>
            <w:r w:rsidRPr="0033303B">
              <w:rPr>
                <w:color w:val="000000"/>
                <w:szCs w:val="24"/>
              </w:rPr>
              <w:t>4.3</w:t>
            </w:r>
          </w:p>
        </w:tc>
      </w:tr>
    </w:tbl>
    <w:p w14:paraId="158D2A8E"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num="2" w:space="708"/>
          <w:docGrid w:linePitch="360"/>
        </w:sectPr>
      </w:pPr>
    </w:p>
    <w:p w14:paraId="63A650B1" w14:textId="77777777" w:rsidR="0033303B" w:rsidRPr="0033303B" w:rsidRDefault="0033303B" w:rsidP="0033303B">
      <w:pPr>
        <w:rPr>
          <w:szCs w:val="24"/>
        </w:rPr>
      </w:pPr>
      <w:r w:rsidRPr="0033303B">
        <w:drawing>
          <wp:inline distT="0" distB="0" distL="0" distR="0" wp14:anchorId="3CBF5777" wp14:editId="138B5071">
            <wp:extent cx="2781300" cy="2895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727E99" w14:textId="77777777" w:rsidR="0033303B" w:rsidRPr="0033303B" w:rsidRDefault="0033303B" w:rsidP="0033303B">
      <w:pPr>
        <w:rPr>
          <w:b/>
          <w:szCs w:val="24"/>
        </w:rPr>
        <w:sectPr w:rsidR="0033303B" w:rsidRPr="0033303B" w:rsidSect="00711633">
          <w:type w:val="continuous"/>
          <w:pgSz w:w="11906" w:h="16838"/>
          <w:pgMar w:top="1440" w:right="1440" w:bottom="1440" w:left="1440" w:header="708" w:footer="708" w:gutter="0"/>
          <w:cols w:num="2" w:space="708"/>
          <w:docGrid w:linePitch="360"/>
        </w:sectPr>
      </w:pPr>
      <w:r w:rsidRPr="0033303B">
        <w:drawing>
          <wp:inline distT="0" distB="0" distL="0" distR="0" wp14:anchorId="6299BB37" wp14:editId="3EB027B7">
            <wp:extent cx="2981325" cy="28765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6FADCB" w14:textId="77777777" w:rsidR="0033303B" w:rsidRPr="0033303B" w:rsidRDefault="0033303B" w:rsidP="0033303B">
      <w:pPr>
        <w:rPr>
          <w:b/>
          <w:szCs w:val="24"/>
        </w:rPr>
        <w:sectPr w:rsidR="0033303B" w:rsidRPr="0033303B" w:rsidSect="00711633">
          <w:type w:val="continuous"/>
          <w:pgSz w:w="11906" w:h="16838"/>
          <w:pgMar w:top="1440" w:right="1440" w:bottom="1440" w:left="1440" w:header="708" w:footer="708" w:gutter="0"/>
          <w:cols w:num="2" w:space="708"/>
          <w:docGrid w:linePitch="360"/>
        </w:sectPr>
      </w:pPr>
    </w:p>
    <w:p w14:paraId="1C6B021D" w14:textId="77777777" w:rsidR="0033303B" w:rsidRPr="0033303B" w:rsidRDefault="0033303B" w:rsidP="0033303B">
      <w:pPr>
        <w:spacing w:after="160" w:line="259" w:lineRule="auto"/>
        <w:rPr>
          <w:b/>
          <w:szCs w:val="24"/>
        </w:rPr>
      </w:pPr>
      <w:r w:rsidRPr="0033303B">
        <w:rPr>
          <w:b/>
          <w:szCs w:val="24"/>
        </w:rPr>
        <w:t>Език на петициите</w:t>
      </w:r>
    </w:p>
    <w:p w14:paraId="503CE34F" w14:textId="77777777" w:rsidR="0033303B" w:rsidRPr="0033303B" w:rsidRDefault="0033303B" w:rsidP="0033303B">
      <w:pPr>
        <w:jc w:val="both"/>
        <w:rPr>
          <w:szCs w:val="24"/>
        </w:rPr>
      </w:pPr>
      <w:r w:rsidRPr="0033303B">
        <w:t>Както и през предходната година, през 2017 г. бяха внесени петиции на 22 от официалните езици на Европейския съюз. Английският е най-използваният език. Почти три четвърти от получените петиции бяха на английски, немски, италиански и испански език (74,8 %). Най-рядко използваните езици през 2017 г. са били финландският, словенският и естонският, а през 2016 г. — трите балтийски езика.</w:t>
      </w:r>
    </w:p>
    <w:p w14:paraId="4AE92032" w14:textId="77777777" w:rsidR="0033303B" w:rsidRPr="0033303B" w:rsidRDefault="0033303B" w:rsidP="0033303B">
      <w:pPr>
        <w:jc w:val="both"/>
        <w:rPr>
          <w:szCs w:val="24"/>
        </w:rPr>
      </w:pPr>
    </w:p>
    <w:p w14:paraId="6C84F77A"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space="708"/>
          <w:docGrid w:linePitch="360"/>
        </w:sectPr>
      </w:pPr>
    </w:p>
    <w:p w14:paraId="4416F0F1" w14:textId="77777777" w:rsidR="0033303B" w:rsidRPr="0033303B" w:rsidRDefault="0033303B" w:rsidP="0033303B">
      <w:pPr>
        <w:rPr>
          <w:szCs w:val="24"/>
        </w:rPr>
      </w:pPr>
      <w:r w:rsidRPr="0033303B">
        <w:t>2017</w:t>
      </w:r>
    </w:p>
    <w:tbl>
      <w:tblPr>
        <w:tblW w:w="4248" w:type="dxa"/>
        <w:tblLook w:val="04A0" w:firstRow="1" w:lastRow="0" w:firstColumn="1" w:lastColumn="0" w:noHBand="0" w:noVBand="1"/>
      </w:tblPr>
      <w:tblGrid>
        <w:gridCol w:w="1540"/>
        <w:gridCol w:w="1900"/>
        <w:gridCol w:w="808"/>
      </w:tblGrid>
      <w:tr w:rsidR="0033303B" w:rsidRPr="0033303B" w14:paraId="54C4C5CA" w14:textId="77777777" w:rsidTr="005B076E">
        <w:trPr>
          <w:trHeight w:val="360"/>
        </w:trPr>
        <w:tc>
          <w:tcPr>
            <w:tcW w:w="154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F261D80" w14:textId="77777777" w:rsidR="0033303B" w:rsidRPr="0033303B" w:rsidRDefault="0033303B" w:rsidP="005B076E">
            <w:pPr>
              <w:jc w:val="center"/>
              <w:rPr>
                <w:b/>
                <w:bCs/>
                <w:color w:val="FFFFFF"/>
                <w:szCs w:val="24"/>
              </w:rPr>
            </w:pPr>
            <w:r w:rsidRPr="0033303B">
              <w:rPr>
                <w:b/>
                <w:bCs/>
                <w:color w:val="FFFFFF"/>
                <w:szCs w:val="24"/>
              </w:rPr>
              <w:t>Език на петициите</w:t>
            </w:r>
          </w:p>
        </w:tc>
        <w:tc>
          <w:tcPr>
            <w:tcW w:w="1900" w:type="dxa"/>
            <w:tcBorders>
              <w:top w:val="single" w:sz="4" w:space="0" w:color="CCCCFF"/>
              <w:left w:val="nil"/>
              <w:bottom w:val="single" w:sz="4" w:space="0" w:color="CCCCFF"/>
              <w:right w:val="single" w:sz="4" w:space="0" w:color="CCCCFF"/>
            </w:tcBorders>
            <w:shd w:val="clear" w:color="FFFFFF" w:fill="666699"/>
            <w:noWrap/>
            <w:vAlign w:val="center"/>
            <w:hideMark/>
          </w:tcPr>
          <w:p w14:paraId="34468A12" w14:textId="77777777" w:rsidR="0033303B" w:rsidRPr="0033303B" w:rsidRDefault="0033303B" w:rsidP="005B076E">
            <w:pPr>
              <w:jc w:val="center"/>
              <w:rPr>
                <w:b/>
                <w:bCs/>
                <w:color w:val="FFFFFF"/>
                <w:szCs w:val="24"/>
              </w:rPr>
            </w:pPr>
            <w:r w:rsidRPr="0033303B">
              <w:rPr>
                <w:b/>
                <w:bCs/>
                <w:color w:val="FFFFFF"/>
                <w:szCs w:val="24"/>
              </w:rPr>
              <w:t>Брой на петициите</w:t>
            </w:r>
          </w:p>
        </w:tc>
        <w:tc>
          <w:tcPr>
            <w:tcW w:w="808" w:type="dxa"/>
            <w:tcBorders>
              <w:top w:val="single" w:sz="4" w:space="0" w:color="CCCCFF"/>
              <w:left w:val="nil"/>
              <w:bottom w:val="single" w:sz="4" w:space="0" w:color="CCCCFF"/>
              <w:right w:val="single" w:sz="4" w:space="0" w:color="CCCCFF"/>
            </w:tcBorders>
            <w:shd w:val="clear" w:color="FFFFFF" w:fill="666699"/>
            <w:noWrap/>
            <w:vAlign w:val="center"/>
            <w:hideMark/>
          </w:tcPr>
          <w:p w14:paraId="112BB4D3"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50241AC2"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1BE4A6A2" w14:textId="77777777" w:rsidR="0033303B" w:rsidRPr="0033303B" w:rsidRDefault="0033303B" w:rsidP="005B076E">
            <w:pPr>
              <w:rPr>
                <w:color w:val="000000"/>
                <w:szCs w:val="24"/>
              </w:rPr>
            </w:pPr>
            <w:r w:rsidRPr="0033303B">
              <w:rPr>
                <w:color w:val="000000"/>
                <w:szCs w:val="24"/>
              </w:rPr>
              <w:t>Английски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2DD95CEF" w14:textId="77777777" w:rsidR="0033303B" w:rsidRPr="0033303B" w:rsidRDefault="0033303B" w:rsidP="005B076E">
            <w:pPr>
              <w:jc w:val="right"/>
              <w:rPr>
                <w:color w:val="000000"/>
                <w:szCs w:val="24"/>
              </w:rPr>
            </w:pPr>
            <w:r w:rsidRPr="0033303B">
              <w:rPr>
                <w:color w:val="000000"/>
                <w:szCs w:val="24"/>
              </w:rPr>
              <w:t>271</w:t>
            </w:r>
          </w:p>
        </w:tc>
        <w:tc>
          <w:tcPr>
            <w:tcW w:w="808" w:type="dxa"/>
            <w:tcBorders>
              <w:top w:val="nil"/>
              <w:left w:val="nil"/>
              <w:bottom w:val="single" w:sz="4" w:space="0" w:color="CCCCFF"/>
              <w:right w:val="single" w:sz="4" w:space="0" w:color="CCCCFF"/>
            </w:tcBorders>
            <w:shd w:val="clear" w:color="FFFFFF" w:fill="FFFFFF"/>
            <w:noWrap/>
            <w:vAlign w:val="center"/>
            <w:hideMark/>
          </w:tcPr>
          <w:p w14:paraId="06CF0CA0" w14:textId="77777777" w:rsidR="0033303B" w:rsidRPr="0033303B" w:rsidRDefault="0033303B" w:rsidP="005B076E">
            <w:pPr>
              <w:jc w:val="right"/>
              <w:rPr>
                <w:color w:val="000000"/>
                <w:szCs w:val="24"/>
              </w:rPr>
            </w:pPr>
            <w:r w:rsidRPr="0033303B">
              <w:rPr>
                <w:color w:val="000000"/>
                <w:szCs w:val="24"/>
              </w:rPr>
              <w:t>21.3</w:t>
            </w:r>
          </w:p>
        </w:tc>
      </w:tr>
      <w:tr w:rsidR="0033303B" w:rsidRPr="0033303B" w14:paraId="6BBDC2EC"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14236D01" w14:textId="77777777" w:rsidR="0033303B" w:rsidRPr="0033303B" w:rsidRDefault="0033303B" w:rsidP="005B076E">
            <w:pPr>
              <w:rPr>
                <w:color w:val="000000"/>
                <w:szCs w:val="24"/>
              </w:rPr>
            </w:pPr>
            <w:r w:rsidRPr="0033303B">
              <w:rPr>
                <w:color w:val="000000"/>
                <w:szCs w:val="24"/>
              </w:rPr>
              <w:t>Немски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2E1981C0" w14:textId="77777777" w:rsidR="0033303B" w:rsidRPr="0033303B" w:rsidRDefault="0033303B" w:rsidP="005B076E">
            <w:pPr>
              <w:jc w:val="right"/>
              <w:rPr>
                <w:color w:val="000000"/>
                <w:szCs w:val="24"/>
              </w:rPr>
            </w:pPr>
            <w:r w:rsidRPr="0033303B">
              <w:rPr>
                <w:color w:val="000000"/>
                <w:szCs w:val="24"/>
              </w:rPr>
              <w:t>262</w:t>
            </w:r>
          </w:p>
        </w:tc>
        <w:tc>
          <w:tcPr>
            <w:tcW w:w="808" w:type="dxa"/>
            <w:tcBorders>
              <w:top w:val="nil"/>
              <w:left w:val="nil"/>
              <w:bottom w:val="single" w:sz="4" w:space="0" w:color="CCCCFF"/>
              <w:right w:val="single" w:sz="4" w:space="0" w:color="CCCCFF"/>
            </w:tcBorders>
            <w:shd w:val="clear" w:color="FFFFFF" w:fill="FFFFFF"/>
            <w:noWrap/>
            <w:vAlign w:val="center"/>
            <w:hideMark/>
          </w:tcPr>
          <w:p w14:paraId="23937A0B" w14:textId="77777777" w:rsidR="0033303B" w:rsidRPr="0033303B" w:rsidRDefault="0033303B" w:rsidP="005B076E">
            <w:pPr>
              <w:jc w:val="right"/>
              <w:rPr>
                <w:color w:val="000000"/>
                <w:szCs w:val="24"/>
              </w:rPr>
            </w:pPr>
            <w:r w:rsidRPr="0033303B">
              <w:rPr>
                <w:color w:val="000000"/>
                <w:szCs w:val="24"/>
              </w:rPr>
              <w:t>20.6</w:t>
            </w:r>
          </w:p>
        </w:tc>
      </w:tr>
      <w:tr w:rsidR="0033303B" w:rsidRPr="0033303B" w14:paraId="72B8B7DE"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69EBCA26" w14:textId="77777777" w:rsidR="0033303B" w:rsidRPr="0033303B" w:rsidRDefault="0033303B" w:rsidP="005B076E">
            <w:pPr>
              <w:rPr>
                <w:color w:val="000000"/>
                <w:szCs w:val="24"/>
              </w:rPr>
            </w:pPr>
            <w:r w:rsidRPr="0033303B">
              <w:rPr>
                <w:color w:val="000000"/>
                <w:szCs w:val="24"/>
              </w:rPr>
              <w:t>Италиански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15B6FBBC" w14:textId="77777777" w:rsidR="0033303B" w:rsidRPr="0033303B" w:rsidRDefault="0033303B" w:rsidP="005B076E">
            <w:pPr>
              <w:jc w:val="right"/>
              <w:rPr>
                <w:color w:val="000000"/>
                <w:szCs w:val="24"/>
              </w:rPr>
            </w:pPr>
            <w:r w:rsidRPr="0033303B">
              <w:rPr>
                <w:color w:val="000000"/>
                <w:szCs w:val="24"/>
              </w:rPr>
              <w:t>217</w:t>
            </w:r>
          </w:p>
        </w:tc>
        <w:tc>
          <w:tcPr>
            <w:tcW w:w="808" w:type="dxa"/>
            <w:tcBorders>
              <w:top w:val="nil"/>
              <w:left w:val="nil"/>
              <w:bottom w:val="single" w:sz="4" w:space="0" w:color="CCCCFF"/>
              <w:right w:val="single" w:sz="4" w:space="0" w:color="CCCCFF"/>
            </w:tcBorders>
            <w:shd w:val="clear" w:color="FFFFFF" w:fill="FFFFFF"/>
            <w:noWrap/>
            <w:vAlign w:val="center"/>
            <w:hideMark/>
          </w:tcPr>
          <w:p w14:paraId="27E40C4D" w14:textId="77777777" w:rsidR="0033303B" w:rsidRPr="0033303B" w:rsidRDefault="0033303B" w:rsidP="005B076E">
            <w:pPr>
              <w:jc w:val="right"/>
              <w:rPr>
                <w:color w:val="000000"/>
                <w:szCs w:val="24"/>
              </w:rPr>
            </w:pPr>
            <w:r w:rsidRPr="0033303B">
              <w:rPr>
                <w:color w:val="000000"/>
                <w:szCs w:val="24"/>
              </w:rPr>
              <w:t>17.1</w:t>
            </w:r>
          </w:p>
        </w:tc>
      </w:tr>
      <w:tr w:rsidR="0033303B" w:rsidRPr="0033303B" w14:paraId="41BC6A66"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3372ADF2" w14:textId="77777777" w:rsidR="0033303B" w:rsidRPr="0033303B" w:rsidRDefault="0033303B" w:rsidP="005B076E">
            <w:pPr>
              <w:rPr>
                <w:color w:val="000000"/>
                <w:szCs w:val="24"/>
              </w:rPr>
            </w:pPr>
            <w:r w:rsidRPr="0033303B">
              <w:rPr>
                <w:color w:val="000000"/>
                <w:szCs w:val="24"/>
              </w:rPr>
              <w:t>Испански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5187DEC6" w14:textId="77777777" w:rsidR="0033303B" w:rsidRPr="0033303B" w:rsidRDefault="0033303B" w:rsidP="005B076E">
            <w:pPr>
              <w:jc w:val="right"/>
              <w:rPr>
                <w:color w:val="000000"/>
                <w:szCs w:val="24"/>
              </w:rPr>
            </w:pPr>
            <w:r w:rsidRPr="0033303B">
              <w:rPr>
                <w:color w:val="000000"/>
                <w:szCs w:val="24"/>
              </w:rPr>
              <w:t>201</w:t>
            </w:r>
          </w:p>
        </w:tc>
        <w:tc>
          <w:tcPr>
            <w:tcW w:w="808" w:type="dxa"/>
            <w:tcBorders>
              <w:top w:val="nil"/>
              <w:left w:val="nil"/>
              <w:bottom w:val="single" w:sz="4" w:space="0" w:color="CCCCFF"/>
              <w:right w:val="single" w:sz="4" w:space="0" w:color="CCCCFF"/>
            </w:tcBorders>
            <w:shd w:val="clear" w:color="FFFFFF" w:fill="FFFFFF"/>
            <w:noWrap/>
            <w:vAlign w:val="center"/>
            <w:hideMark/>
          </w:tcPr>
          <w:p w14:paraId="647A452B" w14:textId="77777777" w:rsidR="0033303B" w:rsidRPr="0033303B" w:rsidRDefault="0033303B" w:rsidP="005B076E">
            <w:pPr>
              <w:jc w:val="right"/>
              <w:rPr>
                <w:color w:val="000000"/>
                <w:szCs w:val="24"/>
              </w:rPr>
            </w:pPr>
            <w:r w:rsidRPr="0033303B">
              <w:rPr>
                <w:color w:val="000000"/>
                <w:szCs w:val="24"/>
              </w:rPr>
              <w:t>15.8</w:t>
            </w:r>
          </w:p>
        </w:tc>
      </w:tr>
      <w:tr w:rsidR="0033303B" w:rsidRPr="0033303B" w14:paraId="3EEE9F9D"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744A947B" w14:textId="77777777" w:rsidR="0033303B" w:rsidRPr="0033303B" w:rsidRDefault="0033303B" w:rsidP="005B076E">
            <w:pPr>
              <w:rPr>
                <w:color w:val="000000"/>
                <w:szCs w:val="24"/>
              </w:rPr>
            </w:pPr>
            <w:r w:rsidRPr="0033303B">
              <w:rPr>
                <w:color w:val="000000"/>
                <w:szCs w:val="24"/>
              </w:rPr>
              <w:t>Френски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6C2F332F" w14:textId="77777777" w:rsidR="0033303B" w:rsidRPr="0033303B" w:rsidRDefault="0033303B" w:rsidP="005B076E">
            <w:pPr>
              <w:jc w:val="right"/>
              <w:rPr>
                <w:color w:val="000000"/>
                <w:szCs w:val="24"/>
              </w:rPr>
            </w:pPr>
            <w:r w:rsidRPr="0033303B">
              <w:rPr>
                <w:color w:val="000000"/>
                <w:szCs w:val="24"/>
              </w:rPr>
              <w:t>54</w:t>
            </w:r>
          </w:p>
        </w:tc>
        <w:tc>
          <w:tcPr>
            <w:tcW w:w="808" w:type="dxa"/>
            <w:tcBorders>
              <w:top w:val="nil"/>
              <w:left w:val="nil"/>
              <w:bottom w:val="single" w:sz="4" w:space="0" w:color="CCCCFF"/>
              <w:right w:val="single" w:sz="4" w:space="0" w:color="CCCCFF"/>
            </w:tcBorders>
            <w:shd w:val="clear" w:color="FFFFFF" w:fill="FFFFFF"/>
            <w:noWrap/>
            <w:vAlign w:val="center"/>
            <w:hideMark/>
          </w:tcPr>
          <w:p w14:paraId="69CB7FB1" w14:textId="77777777" w:rsidR="0033303B" w:rsidRPr="0033303B" w:rsidRDefault="0033303B" w:rsidP="005B076E">
            <w:pPr>
              <w:jc w:val="right"/>
              <w:rPr>
                <w:color w:val="000000"/>
                <w:szCs w:val="24"/>
              </w:rPr>
            </w:pPr>
            <w:r w:rsidRPr="0033303B">
              <w:rPr>
                <w:color w:val="000000"/>
                <w:szCs w:val="24"/>
              </w:rPr>
              <w:t>4.2</w:t>
            </w:r>
          </w:p>
        </w:tc>
      </w:tr>
      <w:tr w:rsidR="0033303B" w:rsidRPr="0033303B" w14:paraId="25108B4F"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636E1C9B" w14:textId="77777777" w:rsidR="0033303B" w:rsidRPr="0033303B" w:rsidRDefault="0033303B" w:rsidP="005B076E">
            <w:pPr>
              <w:rPr>
                <w:color w:val="000000"/>
                <w:szCs w:val="24"/>
              </w:rPr>
            </w:pPr>
            <w:r w:rsidRPr="0033303B">
              <w:rPr>
                <w:color w:val="000000"/>
                <w:szCs w:val="24"/>
              </w:rPr>
              <w:t>Румънски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124C4698" w14:textId="77777777" w:rsidR="0033303B" w:rsidRPr="0033303B" w:rsidRDefault="0033303B" w:rsidP="005B076E">
            <w:pPr>
              <w:jc w:val="right"/>
              <w:rPr>
                <w:color w:val="000000"/>
                <w:szCs w:val="24"/>
              </w:rPr>
            </w:pPr>
            <w:r w:rsidRPr="0033303B">
              <w:rPr>
                <w:color w:val="000000"/>
                <w:szCs w:val="24"/>
              </w:rPr>
              <w:t>52</w:t>
            </w:r>
          </w:p>
        </w:tc>
        <w:tc>
          <w:tcPr>
            <w:tcW w:w="808" w:type="dxa"/>
            <w:tcBorders>
              <w:top w:val="nil"/>
              <w:left w:val="nil"/>
              <w:bottom w:val="single" w:sz="4" w:space="0" w:color="CCCCFF"/>
              <w:right w:val="single" w:sz="4" w:space="0" w:color="CCCCFF"/>
            </w:tcBorders>
            <w:shd w:val="clear" w:color="FFFFFF" w:fill="FFFFFF"/>
            <w:noWrap/>
            <w:vAlign w:val="center"/>
            <w:hideMark/>
          </w:tcPr>
          <w:p w14:paraId="133CF85C" w14:textId="77777777" w:rsidR="0033303B" w:rsidRPr="0033303B" w:rsidRDefault="0033303B" w:rsidP="005B076E">
            <w:pPr>
              <w:jc w:val="right"/>
              <w:rPr>
                <w:color w:val="000000"/>
                <w:szCs w:val="24"/>
              </w:rPr>
            </w:pPr>
            <w:r w:rsidRPr="0033303B">
              <w:rPr>
                <w:color w:val="000000"/>
                <w:szCs w:val="24"/>
              </w:rPr>
              <w:t>4.1</w:t>
            </w:r>
          </w:p>
        </w:tc>
      </w:tr>
      <w:tr w:rsidR="0033303B" w:rsidRPr="0033303B" w14:paraId="5E1AB93D"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06BD1DC9" w14:textId="77777777" w:rsidR="0033303B" w:rsidRPr="0033303B" w:rsidRDefault="0033303B" w:rsidP="005B076E">
            <w:pPr>
              <w:rPr>
                <w:color w:val="000000"/>
                <w:szCs w:val="24"/>
              </w:rPr>
            </w:pPr>
            <w:r w:rsidRPr="0033303B">
              <w:rPr>
                <w:color w:val="000000"/>
                <w:szCs w:val="24"/>
              </w:rPr>
              <w:t>Гръцки език</w:t>
            </w:r>
          </w:p>
        </w:tc>
        <w:tc>
          <w:tcPr>
            <w:tcW w:w="1900" w:type="dxa"/>
            <w:tcBorders>
              <w:top w:val="nil"/>
              <w:left w:val="nil"/>
              <w:bottom w:val="single" w:sz="4" w:space="0" w:color="CCCCFF"/>
              <w:right w:val="single" w:sz="4" w:space="0" w:color="CCCCFF"/>
            </w:tcBorders>
            <w:shd w:val="clear" w:color="FFFFFF" w:fill="FFFFFF"/>
            <w:noWrap/>
            <w:vAlign w:val="center"/>
            <w:hideMark/>
          </w:tcPr>
          <w:p w14:paraId="202C5175" w14:textId="77777777" w:rsidR="0033303B" w:rsidRPr="0033303B" w:rsidRDefault="0033303B" w:rsidP="005B076E">
            <w:pPr>
              <w:jc w:val="right"/>
              <w:rPr>
                <w:color w:val="000000"/>
                <w:szCs w:val="24"/>
              </w:rPr>
            </w:pPr>
            <w:r w:rsidRPr="0033303B">
              <w:rPr>
                <w:color w:val="000000"/>
                <w:szCs w:val="24"/>
              </w:rPr>
              <w:t>51</w:t>
            </w:r>
          </w:p>
        </w:tc>
        <w:tc>
          <w:tcPr>
            <w:tcW w:w="808" w:type="dxa"/>
            <w:tcBorders>
              <w:top w:val="nil"/>
              <w:left w:val="nil"/>
              <w:bottom w:val="single" w:sz="4" w:space="0" w:color="CCCCFF"/>
              <w:right w:val="single" w:sz="4" w:space="0" w:color="CCCCFF"/>
            </w:tcBorders>
            <w:shd w:val="clear" w:color="FFFFFF" w:fill="FFFFFF"/>
            <w:noWrap/>
            <w:vAlign w:val="center"/>
            <w:hideMark/>
          </w:tcPr>
          <w:p w14:paraId="5F3DBA23" w14:textId="77777777" w:rsidR="0033303B" w:rsidRPr="0033303B" w:rsidRDefault="0033303B" w:rsidP="005B076E">
            <w:pPr>
              <w:jc w:val="right"/>
              <w:rPr>
                <w:color w:val="000000"/>
                <w:szCs w:val="24"/>
              </w:rPr>
            </w:pPr>
            <w:r w:rsidRPr="0033303B">
              <w:rPr>
                <w:color w:val="000000"/>
                <w:szCs w:val="24"/>
              </w:rPr>
              <w:t>4.0</w:t>
            </w:r>
          </w:p>
        </w:tc>
      </w:tr>
      <w:tr w:rsidR="0033303B" w:rsidRPr="0033303B" w14:paraId="2A9D92F4" w14:textId="77777777" w:rsidTr="005B076E">
        <w:trPr>
          <w:trHeight w:val="360"/>
        </w:trPr>
        <w:tc>
          <w:tcPr>
            <w:tcW w:w="1540" w:type="dxa"/>
            <w:tcBorders>
              <w:top w:val="nil"/>
              <w:left w:val="single" w:sz="4" w:space="0" w:color="CCCCFF"/>
              <w:bottom w:val="single" w:sz="4" w:space="0" w:color="CCCCFF"/>
              <w:right w:val="single" w:sz="4" w:space="0" w:color="CCCCFF"/>
            </w:tcBorders>
            <w:shd w:val="clear" w:color="FFFFFF" w:fill="FFFFFF"/>
            <w:noWrap/>
            <w:vAlign w:val="center"/>
            <w:hideMark/>
          </w:tcPr>
          <w:p w14:paraId="424141E9" w14:textId="77777777" w:rsidR="0033303B" w:rsidRPr="0033303B" w:rsidRDefault="0033303B" w:rsidP="005B076E">
            <w:pPr>
              <w:rPr>
                <w:color w:val="000000"/>
                <w:szCs w:val="24"/>
              </w:rPr>
            </w:pPr>
            <w:r w:rsidRPr="0033303B">
              <w:rPr>
                <w:color w:val="000000"/>
                <w:szCs w:val="24"/>
              </w:rPr>
              <w:t>Други</w:t>
            </w:r>
          </w:p>
        </w:tc>
        <w:tc>
          <w:tcPr>
            <w:tcW w:w="1900" w:type="dxa"/>
            <w:tcBorders>
              <w:top w:val="nil"/>
              <w:left w:val="nil"/>
              <w:bottom w:val="single" w:sz="4" w:space="0" w:color="CCCCFF"/>
              <w:right w:val="single" w:sz="4" w:space="0" w:color="CCCCFF"/>
            </w:tcBorders>
            <w:shd w:val="clear" w:color="FFFFFF" w:fill="FFFFFF"/>
            <w:noWrap/>
            <w:vAlign w:val="center"/>
            <w:hideMark/>
          </w:tcPr>
          <w:p w14:paraId="5C8A5EEF" w14:textId="77777777" w:rsidR="0033303B" w:rsidRPr="0033303B" w:rsidRDefault="0033303B" w:rsidP="005B076E">
            <w:pPr>
              <w:jc w:val="right"/>
              <w:rPr>
                <w:color w:val="000000"/>
                <w:szCs w:val="24"/>
              </w:rPr>
            </w:pPr>
            <w:r w:rsidRPr="0033303B">
              <w:rPr>
                <w:color w:val="000000"/>
                <w:szCs w:val="24"/>
              </w:rPr>
              <w:t>163</w:t>
            </w:r>
          </w:p>
        </w:tc>
        <w:tc>
          <w:tcPr>
            <w:tcW w:w="808" w:type="dxa"/>
            <w:tcBorders>
              <w:top w:val="nil"/>
              <w:left w:val="nil"/>
              <w:bottom w:val="single" w:sz="4" w:space="0" w:color="CCCCFF"/>
              <w:right w:val="single" w:sz="4" w:space="0" w:color="CCCCFF"/>
            </w:tcBorders>
            <w:shd w:val="clear" w:color="FFFFFF" w:fill="FFFFFF"/>
            <w:noWrap/>
            <w:vAlign w:val="center"/>
            <w:hideMark/>
          </w:tcPr>
          <w:p w14:paraId="4368E81E" w14:textId="77777777" w:rsidR="0033303B" w:rsidRPr="0033303B" w:rsidRDefault="0033303B" w:rsidP="005B076E">
            <w:pPr>
              <w:jc w:val="right"/>
              <w:rPr>
                <w:color w:val="000000"/>
                <w:szCs w:val="24"/>
              </w:rPr>
            </w:pPr>
            <w:r w:rsidRPr="0033303B">
              <w:rPr>
                <w:color w:val="000000"/>
                <w:szCs w:val="24"/>
              </w:rPr>
              <w:t>12.8</w:t>
            </w:r>
          </w:p>
        </w:tc>
      </w:tr>
    </w:tbl>
    <w:p w14:paraId="7A1B5C20" w14:textId="77777777" w:rsidR="0033303B" w:rsidRPr="0033303B" w:rsidRDefault="0033303B" w:rsidP="0033303B">
      <w:pPr>
        <w:rPr>
          <w:szCs w:val="24"/>
        </w:rPr>
      </w:pPr>
    </w:p>
    <w:p w14:paraId="06AA2E64" w14:textId="77777777" w:rsidR="0033303B" w:rsidRPr="0033303B" w:rsidRDefault="0033303B" w:rsidP="0033303B">
      <w:pPr>
        <w:rPr>
          <w:szCs w:val="24"/>
        </w:rPr>
      </w:pPr>
    </w:p>
    <w:p w14:paraId="49C2620F" w14:textId="77777777" w:rsidR="0033303B" w:rsidRPr="0033303B" w:rsidRDefault="0033303B" w:rsidP="0033303B">
      <w:pPr>
        <w:rPr>
          <w:szCs w:val="24"/>
        </w:rPr>
      </w:pPr>
      <w:r w:rsidRPr="0033303B">
        <w:t>2016</w:t>
      </w:r>
    </w:p>
    <w:tbl>
      <w:tblPr>
        <w:tblW w:w="4248" w:type="dxa"/>
        <w:tblLook w:val="04A0" w:firstRow="1" w:lastRow="0" w:firstColumn="1" w:lastColumn="0" w:noHBand="0" w:noVBand="1"/>
      </w:tblPr>
      <w:tblGrid>
        <w:gridCol w:w="1580"/>
        <w:gridCol w:w="1820"/>
        <w:gridCol w:w="848"/>
      </w:tblGrid>
      <w:tr w:rsidR="0033303B" w:rsidRPr="0033303B" w14:paraId="34553D6E" w14:textId="77777777" w:rsidTr="005B076E">
        <w:trPr>
          <w:trHeight w:val="360"/>
        </w:trPr>
        <w:tc>
          <w:tcPr>
            <w:tcW w:w="158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138A7F9" w14:textId="77777777" w:rsidR="0033303B" w:rsidRPr="0033303B" w:rsidRDefault="0033303B" w:rsidP="005B076E">
            <w:pPr>
              <w:rPr>
                <w:b/>
                <w:bCs/>
                <w:color w:val="FFFFFF"/>
                <w:szCs w:val="24"/>
              </w:rPr>
            </w:pPr>
            <w:r w:rsidRPr="0033303B">
              <w:rPr>
                <w:b/>
                <w:bCs/>
                <w:color w:val="FFFFFF"/>
                <w:szCs w:val="24"/>
              </w:rPr>
              <w:t>Език на петициите</w:t>
            </w:r>
          </w:p>
        </w:tc>
        <w:tc>
          <w:tcPr>
            <w:tcW w:w="1820" w:type="dxa"/>
            <w:tcBorders>
              <w:top w:val="single" w:sz="4" w:space="0" w:color="CCCCFF"/>
              <w:left w:val="nil"/>
              <w:bottom w:val="single" w:sz="4" w:space="0" w:color="CCCCFF"/>
              <w:right w:val="single" w:sz="4" w:space="0" w:color="CCCCFF"/>
            </w:tcBorders>
            <w:shd w:val="clear" w:color="FFFFFF" w:fill="666699"/>
            <w:noWrap/>
            <w:vAlign w:val="center"/>
            <w:hideMark/>
          </w:tcPr>
          <w:p w14:paraId="3590E315" w14:textId="77777777" w:rsidR="0033303B" w:rsidRPr="0033303B" w:rsidRDefault="0033303B" w:rsidP="005B076E">
            <w:pPr>
              <w:jc w:val="center"/>
              <w:rPr>
                <w:b/>
                <w:bCs/>
                <w:color w:val="FFFFFF"/>
                <w:szCs w:val="24"/>
              </w:rPr>
            </w:pPr>
            <w:r w:rsidRPr="0033303B">
              <w:rPr>
                <w:b/>
                <w:bCs/>
                <w:color w:val="FFFFFF"/>
                <w:szCs w:val="24"/>
              </w:rPr>
              <w:t>Брой на петициите</w:t>
            </w:r>
          </w:p>
        </w:tc>
        <w:tc>
          <w:tcPr>
            <w:tcW w:w="848" w:type="dxa"/>
            <w:tcBorders>
              <w:top w:val="single" w:sz="4" w:space="0" w:color="CCCCFF"/>
              <w:left w:val="nil"/>
              <w:bottom w:val="single" w:sz="4" w:space="0" w:color="CCCCFF"/>
              <w:right w:val="single" w:sz="4" w:space="0" w:color="CCCCFF"/>
            </w:tcBorders>
            <w:shd w:val="clear" w:color="FFFFFF" w:fill="666699"/>
            <w:noWrap/>
            <w:vAlign w:val="center"/>
            <w:hideMark/>
          </w:tcPr>
          <w:p w14:paraId="12647E7D" w14:textId="77777777" w:rsidR="0033303B" w:rsidRPr="0033303B" w:rsidRDefault="0033303B" w:rsidP="005B076E">
            <w:pPr>
              <w:jc w:val="right"/>
              <w:rPr>
                <w:b/>
                <w:bCs/>
                <w:color w:val="FFFFFF"/>
                <w:szCs w:val="24"/>
              </w:rPr>
            </w:pPr>
            <w:r w:rsidRPr="0033303B">
              <w:rPr>
                <w:b/>
                <w:bCs/>
                <w:color w:val="FFFFFF"/>
                <w:szCs w:val="24"/>
              </w:rPr>
              <w:t>%</w:t>
            </w:r>
          </w:p>
        </w:tc>
      </w:tr>
      <w:tr w:rsidR="0033303B" w:rsidRPr="0033303B" w14:paraId="6BABB916"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45226B65" w14:textId="77777777" w:rsidR="0033303B" w:rsidRPr="0033303B" w:rsidRDefault="0033303B" w:rsidP="005B076E">
            <w:pPr>
              <w:rPr>
                <w:color w:val="000000"/>
                <w:szCs w:val="24"/>
              </w:rPr>
            </w:pPr>
            <w:r w:rsidRPr="0033303B">
              <w:rPr>
                <w:color w:val="000000"/>
                <w:szCs w:val="24"/>
              </w:rPr>
              <w:t>Английски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547ED1A4" w14:textId="77777777" w:rsidR="0033303B" w:rsidRPr="0033303B" w:rsidRDefault="0033303B" w:rsidP="005B076E">
            <w:pPr>
              <w:jc w:val="right"/>
              <w:rPr>
                <w:color w:val="000000"/>
                <w:szCs w:val="24"/>
              </w:rPr>
            </w:pPr>
            <w:r w:rsidRPr="0033303B">
              <w:rPr>
                <w:color w:val="000000"/>
                <w:szCs w:val="24"/>
              </w:rPr>
              <w:t>371</w:t>
            </w:r>
          </w:p>
        </w:tc>
        <w:tc>
          <w:tcPr>
            <w:tcW w:w="848" w:type="dxa"/>
            <w:tcBorders>
              <w:top w:val="nil"/>
              <w:left w:val="nil"/>
              <w:bottom w:val="single" w:sz="4" w:space="0" w:color="CCCCFF"/>
              <w:right w:val="single" w:sz="4" w:space="0" w:color="CCCCFF"/>
            </w:tcBorders>
            <w:shd w:val="clear" w:color="FFFFFF" w:fill="FFFFFF"/>
            <w:noWrap/>
            <w:vAlign w:val="center"/>
            <w:hideMark/>
          </w:tcPr>
          <w:p w14:paraId="203D5327" w14:textId="77777777" w:rsidR="0033303B" w:rsidRPr="0033303B" w:rsidRDefault="0033303B" w:rsidP="005B076E">
            <w:pPr>
              <w:jc w:val="right"/>
              <w:rPr>
                <w:color w:val="000000"/>
                <w:szCs w:val="24"/>
              </w:rPr>
            </w:pPr>
            <w:r w:rsidRPr="0033303B">
              <w:rPr>
                <w:color w:val="000000"/>
                <w:szCs w:val="24"/>
              </w:rPr>
              <w:t>23.6</w:t>
            </w:r>
          </w:p>
        </w:tc>
      </w:tr>
      <w:tr w:rsidR="0033303B" w:rsidRPr="0033303B" w14:paraId="7589E423"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35E86A7E" w14:textId="77777777" w:rsidR="0033303B" w:rsidRPr="0033303B" w:rsidRDefault="0033303B" w:rsidP="005B076E">
            <w:pPr>
              <w:rPr>
                <w:color w:val="000000"/>
                <w:szCs w:val="24"/>
              </w:rPr>
            </w:pPr>
            <w:r w:rsidRPr="0033303B">
              <w:rPr>
                <w:color w:val="000000"/>
                <w:szCs w:val="24"/>
              </w:rPr>
              <w:t>Италиански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304A3406" w14:textId="77777777" w:rsidR="0033303B" w:rsidRPr="0033303B" w:rsidRDefault="0033303B" w:rsidP="005B076E">
            <w:pPr>
              <w:jc w:val="right"/>
              <w:rPr>
                <w:color w:val="000000"/>
                <w:szCs w:val="24"/>
              </w:rPr>
            </w:pPr>
            <w:r w:rsidRPr="0033303B">
              <w:rPr>
                <w:color w:val="000000"/>
                <w:szCs w:val="24"/>
              </w:rPr>
              <w:t>360</w:t>
            </w:r>
          </w:p>
        </w:tc>
        <w:tc>
          <w:tcPr>
            <w:tcW w:w="848" w:type="dxa"/>
            <w:tcBorders>
              <w:top w:val="nil"/>
              <w:left w:val="nil"/>
              <w:bottom w:val="single" w:sz="4" w:space="0" w:color="CCCCFF"/>
              <w:right w:val="single" w:sz="4" w:space="0" w:color="CCCCFF"/>
            </w:tcBorders>
            <w:shd w:val="clear" w:color="FFFFFF" w:fill="FFFFFF"/>
            <w:noWrap/>
            <w:vAlign w:val="center"/>
            <w:hideMark/>
          </w:tcPr>
          <w:p w14:paraId="29BA9243" w14:textId="77777777" w:rsidR="0033303B" w:rsidRPr="0033303B" w:rsidRDefault="0033303B" w:rsidP="005B076E">
            <w:pPr>
              <w:jc w:val="right"/>
              <w:rPr>
                <w:color w:val="000000"/>
                <w:szCs w:val="24"/>
              </w:rPr>
            </w:pPr>
            <w:r w:rsidRPr="0033303B">
              <w:rPr>
                <w:color w:val="000000"/>
                <w:szCs w:val="24"/>
              </w:rPr>
              <w:t>22.9</w:t>
            </w:r>
          </w:p>
        </w:tc>
      </w:tr>
      <w:tr w:rsidR="0033303B" w:rsidRPr="0033303B" w14:paraId="495388CF"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4601FDB6" w14:textId="77777777" w:rsidR="0033303B" w:rsidRPr="0033303B" w:rsidRDefault="0033303B" w:rsidP="005B076E">
            <w:pPr>
              <w:rPr>
                <w:color w:val="000000"/>
                <w:szCs w:val="24"/>
              </w:rPr>
            </w:pPr>
            <w:r w:rsidRPr="0033303B">
              <w:rPr>
                <w:color w:val="000000"/>
                <w:szCs w:val="24"/>
              </w:rPr>
              <w:t>Немски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556F17A4" w14:textId="77777777" w:rsidR="0033303B" w:rsidRPr="0033303B" w:rsidRDefault="0033303B" w:rsidP="005B076E">
            <w:pPr>
              <w:jc w:val="right"/>
              <w:rPr>
                <w:color w:val="000000"/>
                <w:szCs w:val="24"/>
              </w:rPr>
            </w:pPr>
            <w:r w:rsidRPr="0033303B">
              <w:rPr>
                <w:color w:val="000000"/>
                <w:szCs w:val="24"/>
              </w:rPr>
              <w:t>296</w:t>
            </w:r>
          </w:p>
        </w:tc>
        <w:tc>
          <w:tcPr>
            <w:tcW w:w="848" w:type="dxa"/>
            <w:tcBorders>
              <w:top w:val="nil"/>
              <w:left w:val="nil"/>
              <w:bottom w:val="single" w:sz="4" w:space="0" w:color="CCCCFF"/>
              <w:right w:val="single" w:sz="4" w:space="0" w:color="CCCCFF"/>
            </w:tcBorders>
            <w:shd w:val="clear" w:color="FFFFFF" w:fill="FFFFFF"/>
            <w:noWrap/>
            <w:vAlign w:val="center"/>
            <w:hideMark/>
          </w:tcPr>
          <w:p w14:paraId="21EAD754" w14:textId="77777777" w:rsidR="0033303B" w:rsidRPr="0033303B" w:rsidRDefault="0033303B" w:rsidP="005B076E">
            <w:pPr>
              <w:jc w:val="right"/>
              <w:rPr>
                <w:color w:val="000000"/>
                <w:szCs w:val="24"/>
              </w:rPr>
            </w:pPr>
            <w:r w:rsidRPr="0033303B">
              <w:rPr>
                <w:color w:val="000000"/>
                <w:szCs w:val="24"/>
              </w:rPr>
              <w:t>18.9</w:t>
            </w:r>
          </w:p>
        </w:tc>
      </w:tr>
      <w:tr w:rsidR="0033303B" w:rsidRPr="0033303B" w14:paraId="5A1E1672"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24B43821" w14:textId="77777777" w:rsidR="0033303B" w:rsidRPr="0033303B" w:rsidRDefault="0033303B" w:rsidP="005B076E">
            <w:pPr>
              <w:rPr>
                <w:color w:val="000000"/>
                <w:szCs w:val="24"/>
              </w:rPr>
            </w:pPr>
            <w:r w:rsidRPr="0033303B">
              <w:rPr>
                <w:color w:val="000000"/>
                <w:szCs w:val="24"/>
              </w:rPr>
              <w:t>Испански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30DA160B" w14:textId="77777777" w:rsidR="0033303B" w:rsidRPr="0033303B" w:rsidRDefault="0033303B" w:rsidP="005B076E">
            <w:pPr>
              <w:jc w:val="right"/>
              <w:rPr>
                <w:color w:val="000000"/>
                <w:szCs w:val="24"/>
              </w:rPr>
            </w:pPr>
            <w:r w:rsidRPr="0033303B">
              <w:rPr>
                <w:color w:val="000000"/>
                <w:szCs w:val="24"/>
              </w:rPr>
              <w:t>172</w:t>
            </w:r>
          </w:p>
        </w:tc>
        <w:tc>
          <w:tcPr>
            <w:tcW w:w="848" w:type="dxa"/>
            <w:tcBorders>
              <w:top w:val="nil"/>
              <w:left w:val="nil"/>
              <w:bottom w:val="single" w:sz="4" w:space="0" w:color="CCCCFF"/>
              <w:right w:val="single" w:sz="4" w:space="0" w:color="CCCCFF"/>
            </w:tcBorders>
            <w:shd w:val="clear" w:color="FFFFFF" w:fill="FFFFFF"/>
            <w:noWrap/>
            <w:vAlign w:val="center"/>
            <w:hideMark/>
          </w:tcPr>
          <w:p w14:paraId="398C657C" w14:textId="77777777" w:rsidR="0033303B" w:rsidRPr="0033303B" w:rsidRDefault="0033303B" w:rsidP="005B076E">
            <w:pPr>
              <w:jc w:val="right"/>
              <w:rPr>
                <w:color w:val="000000"/>
                <w:szCs w:val="24"/>
              </w:rPr>
            </w:pPr>
            <w:r w:rsidRPr="0033303B">
              <w:rPr>
                <w:color w:val="000000"/>
                <w:szCs w:val="24"/>
              </w:rPr>
              <w:t>11.0</w:t>
            </w:r>
          </w:p>
        </w:tc>
      </w:tr>
      <w:tr w:rsidR="0033303B" w:rsidRPr="0033303B" w14:paraId="4476AB87"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4F4FE96E" w14:textId="77777777" w:rsidR="0033303B" w:rsidRPr="0033303B" w:rsidRDefault="0033303B" w:rsidP="005B076E">
            <w:pPr>
              <w:rPr>
                <w:color w:val="000000"/>
                <w:szCs w:val="24"/>
              </w:rPr>
            </w:pPr>
            <w:r w:rsidRPr="0033303B">
              <w:rPr>
                <w:color w:val="000000"/>
                <w:szCs w:val="24"/>
              </w:rPr>
              <w:t>Френски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47BB0EE1" w14:textId="77777777" w:rsidR="0033303B" w:rsidRPr="0033303B" w:rsidRDefault="0033303B" w:rsidP="005B076E">
            <w:pPr>
              <w:jc w:val="right"/>
              <w:rPr>
                <w:color w:val="000000"/>
                <w:szCs w:val="24"/>
              </w:rPr>
            </w:pPr>
            <w:r w:rsidRPr="0033303B">
              <w:rPr>
                <w:color w:val="000000"/>
                <w:szCs w:val="24"/>
              </w:rPr>
              <w:t>87</w:t>
            </w:r>
          </w:p>
        </w:tc>
        <w:tc>
          <w:tcPr>
            <w:tcW w:w="848" w:type="dxa"/>
            <w:tcBorders>
              <w:top w:val="nil"/>
              <w:left w:val="nil"/>
              <w:bottom w:val="single" w:sz="4" w:space="0" w:color="CCCCFF"/>
              <w:right w:val="single" w:sz="4" w:space="0" w:color="CCCCFF"/>
            </w:tcBorders>
            <w:shd w:val="clear" w:color="FFFFFF" w:fill="FFFFFF"/>
            <w:noWrap/>
            <w:vAlign w:val="center"/>
            <w:hideMark/>
          </w:tcPr>
          <w:p w14:paraId="6E36B97C" w14:textId="77777777" w:rsidR="0033303B" w:rsidRPr="0033303B" w:rsidRDefault="0033303B" w:rsidP="005B076E">
            <w:pPr>
              <w:jc w:val="right"/>
              <w:rPr>
                <w:color w:val="000000"/>
                <w:szCs w:val="24"/>
              </w:rPr>
            </w:pPr>
            <w:r w:rsidRPr="0033303B">
              <w:rPr>
                <w:color w:val="000000"/>
                <w:szCs w:val="24"/>
              </w:rPr>
              <w:t>5.5</w:t>
            </w:r>
          </w:p>
        </w:tc>
      </w:tr>
      <w:tr w:rsidR="0033303B" w:rsidRPr="0033303B" w14:paraId="1E628FDD"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179F4006" w14:textId="77777777" w:rsidR="0033303B" w:rsidRPr="0033303B" w:rsidRDefault="0033303B" w:rsidP="005B076E">
            <w:pPr>
              <w:rPr>
                <w:color w:val="000000"/>
                <w:szCs w:val="24"/>
              </w:rPr>
            </w:pPr>
            <w:r w:rsidRPr="0033303B">
              <w:rPr>
                <w:color w:val="000000"/>
                <w:szCs w:val="24"/>
              </w:rPr>
              <w:t>Румънски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5367E1D2" w14:textId="77777777" w:rsidR="0033303B" w:rsidRPr="0033303B" w:rsidRDefault="0033303B" w:rsidP="005B076E">
            <w:pPr>
              <w:jc w:val="right"/>
              <w:rPr>
                <w:color w:val="000000"/>
                <w:szCs w:val="24"/>
              </w:rPr>
            </w:pPr>
            <w:r w:rsidRPr="0033303B">
              <w:rPr>
                <w:color w:val="000000"/>
                <w:szCs w:val="24"/>
              </w:rPr>
              <w:t>71</w:t>
            </w:r>
          </w:p>
        </w:tc>
        <w:tc>
          <w:tcPr>
            <w:tcW w:w="848" w:type="dxa"/>
            <w:tcBorders>
              <w:top w:val="nil"/>
              <w:left w:val="nil"/>
              <w:bottom w:val="single" w:sz="4" w:space="0" w:color="CCCCFF"/>
              <w:right w:val="single" w:sz="4" w:space="0" w:color="CCCCFF"/>
            </w:tcBorders>
            <w:shd w:val="clear" w:color="FFFFFF" w:fill="FFFFFF"/>
            <w:noWrap/>
            <w:vAlign w:val="center"/>
            <w:hideMark/>
          </w:tcPr>
          <w:p w14:paraId="534F259B" w14:textId="77777777" w:rsidR="0033303B" w:rsidRPr="0033303B" w:rsidRDefault="0033303B" w:rsidP="005B076E">
            <w:pPr>
              <w:jc w:val="right"/>
              <w:rPr>
                <w:color w:val="000000"/>
                <w:szCs w:val="24"/>
              </w:rPr>
            </w:pPr>
            <w:r w:rsidRPr="0033303B">
              <w:rPr>
                <w:color w:val="000000"/>
                <w:szCs w:val="24"/>
              </w:rPr>
              <w:t>4.5</w:t>
            </w:r>
          </w:p>
        </w:tc>
      </w:tr>
      <w:tr w:rsidR="0033303B" w:rsidRPr="0033303B" w14:paraId="0DED9A7E"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4635E1FC" w14:textId="77777777" w:rsidR="0033303B" w:rsidRPr="0033303B" w:rsidRDefault="0033303B" w:rsidP="005B076E">
            <w:pPr>
              <w:rPr>
                <w:color w:val="000000"/>
                <w:szCs w:val="24"/>
              </w:rPr>
            </w:pPr>
            <w:r w:rsidRPr="0033303B">
              <w:rPr>
                <w:color w:val="000000"/>
                <w:szCs w:val="24"/>
              </w:rPr>
              <w:t>Полски език</w:t>
            </w:r>
          </w:p>
        </w:tc>
        <w:tc>
          <w:tcPr>
            <w:tcW w:w="1820" w:type="dxa"/>
            <w:tcBorders>
              <w:top w:val="nil"/>
              <w:left w:val="nil"/>
              <w:bottom w:val="single" w:sz="4" w:space="0" w:color="CCCCFF"/>
              <w:right w:val="single" w:sz="4" w:space="0" w:color="CCCCFF"/>
            </w:tcBorders>
            <w:shd w:val="clear" w:color="FFFFFF" w:fill="FFFFFF"/>
            <w:noWrap/>
            <w:vAlign w:val="center"/>
            <w:hideMark/>
          </w:tcPr>
          <w:p w14:paraId="1C2B4C14" w14:textId="77777777" w:rsidR="0033303B" w:rsidRPr="0033303B" w:rsidRDefault="0033303B" w:rsidP="005B076E">
            <w:pPr>
              <w:jc w:val="right"/>
              <w:rPr>
                <w:color w:val="000000"/>
                <w:szCs w:val="24"/>
              </w:rPr>
            </w:pPr>
            <w:r w:rsidRPr="0033303B">
              <w:rPr>
                <w:color w:val="000000"/>
                <w:szCs w:val="24"/>
              </w:rPr>
              <w:t>62</w:t>
            </w:r>
          </w:p>
        </w:tc>
        <w:tc>
          <w:tcPr>
            <w:tcW w:w="848" w:type="dxa"/>
            <w:tcBorders>
              <w:top w:val="nil"/>
              <w:left w:val="nil"/>
              <w:bottom w:val="single" w:sz="4" w:space="0" w:color="CCCCFF"/>
              <w:right w:val="single" w:sz="4" w:space="0" w:color="CCCCFF"/>
            </w:tcBorders>
            <w:shd w:val="clear" w:color="FFFFFF" w:fill="FFFFFF"/>
            <w:noWrap/>
            <w:vAlign w:val="center"/>
            <w:hideMark/>
          </w:tcPr>
          <w:p w14:paraId="44125257" w14:textId="77777777" w:rsidR="0033303B" w:rsidRPr="0033303B" w:rsidRDefault="0033303B" w:rsidP="005B076E">
            <w:pPr>
              <w:jc w:val="right"/>
              <w:rPr>
                <w:color w:val="000000"/>
                <w:szCs w:val="24"/>
              </w:rPr>
            </w:pPr>
            <w:r w:rsidRPr="0033303B">
              <w:rPr>
                <w:color w:val="000000"/>
                <w:szCs w:val="24"/>
              </w:rPr>
              <w:t>4.0</w:t>
            </w:r>
          </w:p>
        </w:tc>
      </w:tr>
      <w:tr w:rsidR="0033303B" w:rsidRPr="0033303B" w14:paraId="2A72EE6A"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tcPr>
          <w:p w14:paraId="6F4C80CE" w14:textId="77777777" w:rsidR="0033303B" w:rsidRPr="0033303B" w:rsidRDefault="0033303B" w:rsidP="005B076E">
            <w:pPr>
              <w:rPr>
                <w:color w:val="000000"/>
                <w:szCs w:val="24"/>
              </w:rPr>
            </w:pPr>
            <w:r w:rsidRPr="0033303B">
              <w:rPr>
                <w:color w:val="000000"/>
                <w:szCs w:val="24"/>
              </w:rPr>
              <w:t>Гръцки език</w:t>
            </w:r>
          </w:p>
        </w:tc>
        <w:tc>
          <w:tcPr>
            <w:tcW w:w="1820" w:type="dxa"/>
            <w:tcBorders>
              <w:top w:val="nil"/>
              <w:left w:val="nil"/>
              <w:bottom w:val="single" w:sz="4" w:space="0" w:color="CCCCFF"/>
              <w:right w:val="single" w:sz="4" w:space="0" w:color="CCCCFF"/>
            </w:tcBorders>
            <w:shd w:val="clear" w:color="FFFFFF" w:fill="FFFFFF"/>
            <w:noWrap/>
            <w:vAlign w:val="center"/>
          </w:tcPr>
          <w:p w14:paraId="64F63F0B" w14:textId="77777777" w:rsidR="0033303B" w:rsidRPr="0033303B" w:rsidRDefault="0033303B" w:rsidP="005B076E">
            <w:pPr>
              <w:jc w:val="right"/>
              <w:rPr>
                <w:color w:val="000000"/>
                <w:szCs w:val="24"/>
              </w:rPr>
            </w:pPr>
            <w:r w:rsidRPr="0033303B">
              <w:rPr>
                <w:color w:val="000000"/>
                <w:szCs w:val="24"/>
              </w:rPr>
              <w:t>39</w:t>
            </w:r>
          </w:p>
        </w:tc>
        <w:tc>
          <w:tcPr>
            <w:tcW w:w="848" w:type="dxa"/>
            <w:tcBorders>
              <w:top w:val="nil"/>
              <w:left w:val="nil"/>
              <w:bottom w:val="single" w:sz="4" w:space="0" w:color="CCCCFF"/>
              <w:right w:val="single" w:sz="4" w:space="0" w:color="CCCCFF"/>
            </w:tcBorders>
            <w:shd w:val="clear" w:color="FFFFFF" w:fill="FFFFFF"/>
            <w:noWrap/>
            <w:vAlign w:val="center"/>
          </w:tcPr>
          <w:p w14:paraId="55DD6B87" w14:textId="77777777" w:rsidR="0033303B" w:rsidRPr="0033303B" w:rsidRDefault="0033303B" w:rsidP="005B076E">
            <w:pPr>
              <w:jc w:val="right"/>
              <w:rPr>
                <w:color w:val="000000"/>
                <w:szCs w:val="24"/>
              </w:rPr>
            </w:pPr>
            <w:r w:rsidRPr="0033303B">
              <w:rPr>
                <w:color w:val="000000"/>
                <w:szCs w:val="24"/>
              </w:rPr>
              <w:t>2.5</w:t>
            </w:r>
          </w:p>
        </w:tc>
      </w:tr>
      <w:tr w:rsidR="0033303B" w:rsidRPr="0033303B" w14:paraId="41AFEE58" w14:textId="77777777" w:rsidTr="005B076E">
        <w:trPr>
          <w:trHeight w:val="360"/>
        </w:trPr>
        <w:tc>
          <w:tcPr>
            <w:tcW w:w="1580" w:type="dxa"/>
            <w:tcBorders>
              <w:top w:val="nil"/>
              <w:left w:val="single" w:sz="4" w:space="0" w:color="CCCCFF"/>
              <w:bottom w:val="single" w:sz="4" w:space="0" w:color="CCCCFF"/>
              <w:right w:val="single" w:sz="4" w:space="0" w:color="CCCCFF"/>
            </w:tcBorders>
            <w:shd w:val="clear" w:color="FFFFFF" w:fill="FFFFFF"/>
            <w:noWrap/>
            <w:vAlign w:val="center"/>
            <w:hideMark/>
          </w:tcPr>
          <w:p w14:paraId="16312038" w14:textId="77777777" w:rsidR="0033303B" w:rsidRPr="0033303B" w:rsidRDefault="0033303B" w:rsidP="005B076E">
            <w:pPr>
              <w:rPr>
                <w:color w:val="000000"/>
                <w:szCs w:val="24"/>
              </w:rPr>
            </w:pPr>
            <w:r w:rsidRPr="0033303B">
              <w:rPr>
                <w:color w:val="000000"/>
                <w:szCs w:val="24"/>
              </w:rPr>
              <w:t>Други</w:t>
            </w:r>
          </w:p>
        </w:tc>
        <w:tc>
          <w:tcPr>
            <w:tcW w:w="1820" w:type="dxa"/>
            <w:tcBorders>
              <w:top w:val="nil"/>
              <w:left w:val="nil"/>
              <w:bottom w:val="single" w:sz="4" w:space="0" w:color="CCCCFF"/>
              <w:right w:val="single" w:sz="4" w:space="0" w:color="CCCCFF"/>
            </w:tcBorders>
            <w:shd w:val="clear" w:color="FFFFFF" w:fill="FFFFFF"/>
            <w:noWrap/>
            <w:vAlign w:val="center"/>
            <w:hideMark/>
          </w:tcPr>
          <w:p w14:paraId="75ADB14C" w14:textId="77777777" w:rsidR="0033303B" w:rsidRPr="0033303B" w:rsidRDefault="0033303B" w:rsidP="005B076E">
            <w:pPr>
              <w:jc w:val="right"/>
              <w:rPr>
                <w:color w:val="000000"/>
                <w:szCs w:val="24"/>
              </w:rPr>
            </w:pPr>
            <w:r w:rsidRPr="0033303B">
              <w:rPr>
                <w:color w:val="000000"/>
                <w:szCs w:val="24"/>
              </w:rPr>
              <w:t>111</w:t>
            </w:r>
          </w:p>
        </w:tc>
        <w:tc>
          <w:tcPr>
            <w:tcW w:w="848" w:type="dxa"/>
            <w:tcBorders>
              <w:top w:val="nil"/>
              <w:left w:val="nil"/>
              <w:bottom w:val="single" w:sz="4" w:space="0" w:color="CCCCFF"/>
              <w:right w:val="single" w:sz="4" w:space="0" w:color="CCCCFF"/>
            </w:tcBorders>
            <w:shd w:val="clear" w:color="FFFFFF" w:fill="FFFFFF"/>
            <w:noWrap/>
            <w:vAlign w:val="center"/>
            <w:hideMark/>
          </w:tcPr>
          <w:p w14:paraId="2377B037" w14:textId="77777777" w:rsidR="0033303B" w:rsidRPr="0033303B" w:rsidRDefault="0033303B" w:rsidP="005B076E">
            <w:pPr>
              <w:jc w:val="right"/>
              <w:rPr>
                <w:color w:val="000000"/>
                <w:szCs w:val="24"/>
              </w:rPr>
            </w:pPr>
            <w:r w:rsidRPr="0033303B">
              <w:rPr>
                <w:color w:val="000000"/>
                <w:szCs w:val="24"/>
              </w:rPr>
              <w:t>7.1</w:t>
            </w:r>
          </w:p>
        </w:tc>
      </w:tr>
    </w:tbl>
    <w:p w14:paraId="155780EF"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num="2" w:space="708"/>
          <w:docGrid w:linePitch="360"/>
        </w:sectPr>
      </w:pPr>
    </w:p>
    <w:p w14:paraId="58FA17EE" w14:textId="77777777" w:rsidR="0033303B" w:rsidRPr="0033303B" w:rsidRDefault="0033303B" w:rsidP="0033303B">
      <w:pPr>
        <w:rPr>
          <w:b/>
          <w:szCs w:val="24"/>
        </w:rPr>
      </w:pPr>
      <w:r w:rsidRPr="0033303B">
        <w:lastRenderedPageBreak/>
        <w:drawing>
          <wp:anchor distT="0" distB="0" distL="114300" distR="114300" simplePos="0" relativeHeight="251659264" behindDoc="0" locked="0" layoutInCell="1" allowOverlap="1" wp14:anchorId="06F05F31" wp14:editId="4E8087C2">
            <wp:simplePos x="0" y="0"/>
            <wp:positionH relativeFrom="margin">
              <wp:posOffset>2873375</wp:posOffset>
            </wp:positionH>
            <wp:positionV relativeFrom="paragraph">
              <wp:posOffset>0</wp:posOffset>
            </wp:positionV>
            <wp:extent cx="2933065" cy="2762250"/>
            <wp:effectExtent l="0" t="0" r="63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33303B">
        <w:drawing>
          <wp:anchor distT="0" distB="0" distL="114300" distR="114300" simplePos="0" relativeHeight="251660288" behindDoc="0" locked="0" layoutInCell="1" allowOverlap="1" wp14:anchorId="33E4F6B8" wp14:editId="71D9B121">
            <wp:simplePos x="0" y="0"/>
            <wp:positionH relativeFrom="margin">
              <wp:align>left</wp:align>
            </wp:positionH>
            <wp:positionV relativeFrom="paragraph">
              <wp:posOffset>5715</wp:posOffset>
            </wp:positionV>
            <wp:extent cx="2809875" cy="276225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p>
    <w:p w14:paraId="0D74EDC4" w14:textId="77777777" w:rsidR="0033303B" w:rsidRPr="0033303B" w:rsidRDefault="0033303B" w:rsidP="0033303B">
      <w:pPr>
        <w:ind w:right="-472"/>
        <w:rPr>
          <w:b/>
          <w:szCs w:val="24"/>
        </w:rPr>
      </w:pPr>
    </w:p>
    <w:p w14:paraId="59D225AF" w14:textId="77777777" w:rsidR="0033303B" w:rsidRPr="0033303B" w:rsidRDefault="0033303B" w:rsidP="0033303B">
      <w:pPr>
        <w:spacing w:after="160" w:line="259" w:lineRule="auto"/>
        <w:ind w:right="-472"/>
        <w:rPr>
          <w:b/>
          <w:szCs w:val="24"/>
        </w:rPr>
      </w:pPr>
      <w:r w:rsidRPr="0033303B">
        <w:rPr>
          <w:b/>
          <w:szCs w:val="24"/>
        </w:rPr>
        <w:t>Гражданство на вносителите на петиции</w:t>
      </w:r>
    </w:p>
    <w:p w14:paraId="6DFC8E3A" w14:textId="77777777" w:rsidR="0033303B" w:rsidRPr="0033303B" w:rsidRDefault="0033303B" w:rsidP="0033303B">
      <w:pPr>
        <w:spacing w:after="160" w:line="259" w:lineRule="auto"/>
        <w:jc w:val="both"/>
        <w:rPr>
          <w:szCs w:val="24"/>
        </w:rPr>
      </w:pPr>
      <w:r w:rsidRPr="0033303B">
        <w:t xml:space="preserve">Що се отнася до гражданството, най-голямо увеличение от 2016 до 2017 г. може да се види в броя на петициите от Испания (плюс 6,5 процентни пункта). За разлика от това е намалял броят на вносителите на петиции от Италия и Обединеното кралство (от Италия минус 5,5 процентни пункта, от Обединеното кралство минус 3,0 процентни пункта). </w:t>
      </w:r>
    </w:p>
    <w:p w14:paraId="0CE9373E"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space="708"/>
          <w:docGrid w:linePitch="360"/>
        </w:sectPr>
      </w:pPr>
    </w:p>
    <w:p w14:paraId="69F8F5DA" w14:textId="77777777" w:rsidR="0033303B" w:rsidRPr="0033303B" w:rsidRDefault="0033303B" w:rsidP="0033303B">
      <w:pPr>
        <w:rPr>
          <w:szCs w:val="24"/>
        </w:rPr>
      </w:pPr>
      <w:r w:rsidRPr="0033303B">
        <w:t>2017</w:t>
      </w:r>
    </w:p>
    <w:tbl>
      <w:tblPr>
        <w:tblW w:w="3717" w:type="dxa"/>
        <w:tblLayout w:type="fixed"/>
        <w:tblLook w:val="04A0" w:firstRow="1" w:lastRow="0" w:firstColumn="1" w:lastColumn="0" w:noHBand="0" w:noVBand="1"/>
      </w:tblPr>
      <w:tblGrid>
        <w:gridCol w:w="1838"/>
        <w:gridCol w:w="1134"/>
        <w:gridCol w:w="745"/>
      </w:tblGrid>
      <w:tr w:rsidR="0033303B" w:rsidRPr="0033303B" w14:paraId="5A634233" w14:textId="77777777" w:rsidTr="005B076E">
        <w:trPr>
          <w:trHeight w:val="690"/>
        </w:trPr>
        <w:tc>
          <w:tcPr>
            <w:tcW w:w="183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EFC8C1B" w14:textId="77777777" w:rsidR="0033303B" w:rsidRPr="0033303B" w:rsidRDefault="0033303B" w:rsidP="005B076E">
            <w:pPr>
              <w:jc w:val="center"/>
              <w:rPr>
                <w:b/>
                <w:bCs/>
                <w:color w:val="FFFFFF"/>
                <w:szCs w:val="24"/>
              </w:rPr>
            </w:pPr>
            <w:r w:rsidRPr="0033303B">
              <w:rPr>
                <w:b/>
                <w:bCs/>
                <w:color w:val="FFFFFF"/>
                <w:szCs w:val="24"/>
              </w:rPr>
              <w:t>Основно гражданство на вносителите на петиция</w:t>
            </w:r>
          </w:p>
        </w:tc>
        <w:tc>
          <w:tcPr>
            <w:tcW w:w="1134" w:type="dxa"/>
            <w:tcBorders>
              <w:top w:val="single" w:sz="4" w:space="0" w:color="CCCCFF"/>
              <w:left w:val="nil"/>
              <w:bottom w:val="single" w:sz="4" w:space="0" w:color="CCCCFF"/>
              <w:right w:val="single" w:sz="4" w:space="0" w:color="CCCCFF"/>
            </w:tcBorders>
            <w:shd w:val="clear" w:color="FFFFFF" w:fill="666699"/>
            <w:vAlign w:val="center"/>
            <w:hideMark/>
          </w:tcPr>
          <w:p w14:paraId="0997AE78" w14:textId="77777777" w:rsidR="0033303B" w:rsidRPr="0033303B" w:rsidRDefault="0033303B" w:rsidP="005B076E">
            <w:pPr>
              <w:jc w:val="center"/>
              <w:rPr>
                <w:b/>
                <w:bCs/>
                <w:color w:val="FFFFFF"/>
                <w:szCs w:val="24"/>
              </w:rPr>
            </w:pPr>
            <w:r w:rsidRPr="0033303B">
              <w:rPr>
                <w:b/>
                <w:bCs/>
                <w:color w:val="FFFFFF"/>
                <w:szCs w:val="24"/>
              </w:rPr>
              <w:t>Брой на петициите</w:t>
            </w:r>
          </w:p>
        </w:tc>
        <w:tc>
          <w:tcPr>
            <w:tcW w:w="745" w:type="dxa"/>
            <w:tcBorders>
              <w:top w:val="single" w:sz="4" w:space="0" w:color="CCCCFF"/>
              <w:left w:val="nil"/>
              <w:bottom w:val="single" w:sz="4" w:space="0" w:color="CCCCFF"/>
              <w:right w:val="single" w:sz="4" w:space="0" w:color="CCCCFF"/>
            </w:tcBorders>
            <w:shd w:val="clear" w:color="FFFFFF" w:fill="666699"/>
            <w:vAlign w:val="center"/>
            <w:hideMark/>
          </w:tcPr>
          <w:p w14:paraId="1B0CF016"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3779AA11"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2CEF7FF0" w14:textId="77777777" w:rsidR="0033303B" w:rsidRPr="0033303B" w:rsidRDefault="0033303B" w:rsidP="005B076E">
            <w:pPr>
              <w:rPr>
                <w:color w:val="000000"/>
                <w:szCs w:val="24"/>
              </w:rPr>
            </w:pPr>
            <w:r w:rsidRPr="0033303B">
              <w:rPr>
                <w:color w:val="000000"/>
                <w:szCs w:val="24"/>
              </w:rPr>
              <w:t>Германия</w:t>
            </w:r>
          </w:p>
        </w:tc>
        <w:tc>
          <w:tcPr>
            <w:tcW w:w="1134" w:type="dxa"/>
            <w:tcBorders>
              <w:top w:val="nil"/>
              <w:left w:val="nil"/>
              <w:bottom w:val="single" w:sz="4" w:space="0" w:color="CCCCFF"/>
              <w:right w:val="single" w:sz="4" w:space="0" w:color="CCCCFF"/>
            </w:tcBorders>
            <w:shd w:val="clear" w:color="FFFFFF" w:fill="FFFFFF"/>
            <w:noWrap/>
            <w:vAlign w:val="center"/>
            <w:hideMark/>
          </w:tcPr>
          <w:p w14:paraId="7B0BD2C1" w14:textId="77777777" w:rsidR="0033303B" w:rsidRPr="0033303B" w:rsidRDefault="0033303B" w:rsidP="005B076E">
            <w:pPr>
              <w:jc w:val="right"/>
              <w:rPr>
                <w:color w:val="000000"/>
                <w:szCs w:val="24"/>
              </w:rPr>
            </w:pPr>
            <w:r w:rsidRPr="0033303B">
              <w:rPr>
                <w:color w:val="000000"/>
                <w:szCs w:val="24"/>
              </w:rPr>
              <w:t>264</w:t>
            </w:r>
          </w:p>
        </w:tc>
        <w:tc>
          <w:tcPr>
            <w:tcW w:w="745" w:type="dxa"/>
            <w:tcBorders>
              <w:top w:val="nil"/>
              <w:left w:val="nil"/>
              <w:bottom w:val="single" w:sz="4" w:space="0" w:color="CCCCFF"/>
              <w:right w:val="single" w:sz="4" w:space="0" w:color="CCCCFF"/>
            </w:tcBorders>
            <w:shd w:val="clear" w:color="FFFFFF" w:fill="FFFFFF"/>
            <w:noWrap/>
            <w:vAlign w:val="center"/>
            <w:hideMark/>
          </w:tcPr>
          <w:p w14:paraId="0FA13BA4" w14:textId="77777777" w:rsidR="0033303B" w:rsidRPr="0033303B" w:rsidRDefault="0033303B" w:rsidP="005B076E">
            <w:pPr>
              <w:jc w:val="right"/>
              <w:rPr>
                <w:color w:val="000000"/>
                <w:szCs w:val="24"/>
              </w:rPr>
            </w:pPr>
            <w:r w:rsidRPr="0033303B">
              <w:rPr>
                <w:color w:val="000000"/>
                <w:szCs w:val="24"/>
              </w:rPr>
              <w:t>20.6</w:t>
            </w:r>
          </w:p>
        </w:tc>
      </w:tr>
      <w:tr w:rsidR="0033303B" w:rsidRPr="0033303B" w14:paraId="572AF716"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517E1D73" w14:textId="77777777" w:rsidR="0033303B" w:rsidRPr="0033303B" w:rsidRDefault="0033303B" w:rsidP="005B076E">
            <w:pPr>
              <w:rPr>
                <w:color w:val="000000"/>
                <w:szCs w:val="24"/>
              </w:rPr>
            </w:pPr>
            <w:r w:rsidRPr="0033303B">
              <w:rPr>
                <w:color w:val="000000"/>
                <w:szCs w:val="24"/>
              </w:rPr>
              <w:t>Италия</w:t>
            </w:r>
          </w:p>
        </w:tc>
        <w:tc>
          <w:tcPr>
            <w:tcW w:w="1134" w:type="dxa"/>
            <w:tcBorders>
              <w:top w:val="nil"/>
              <w:left w:val="nil"/>
              <w:bottom w:val="single" w:sz="4" w:space="0" w:color="CCCCFF"/>
              <w:right w:val="single" w:sz="4" w:space="0" w:color="CCCCFF"/>
            </w:tcBorders>
            <w:shd w:val="clear" w:color="FFFFFF" w:fill="FFFFFF"/>
            <w:noWrap/>
            <w:vAlign w:val="center"/>
            <w:hideMark/>
          </w:tcPr>
          <w:p w14:paraId="6E3CA55B" w14:textId="77777777" w:rsidR="0033303B" w:rsidRPr="0033303B" w:rsidRDefault="0033303B" w:rsidP="005B076E">
            <w:pPr>
              <w:jc w:val="right"/>
              <w:rPr>
                <w:color w:val="000000"/>
                <w:szCs w:val="24"/>
              </w:rPr>
            </w:pPr>
            <w:r w:rsidRPr="0033303B">
              <w:rPr>
                <w:color w:val="000000"/>
                <w:szCs w:val="24"/>
              </w:rPr>
              <w:t>236</w:t>
            </w:r>
          </w:p>
        </w:tc>
        <w:tc>
          <w:tcPr>
            <w:tcW w:w="745" w:type="dxa"/>
            <w:tcBorders>
              <w:top w:val="nil"/>
              <w:left w:val="nil"/>
              <w:bottom w:val="single" w:sz="4" w:space="0" w:color="CCCCFF"/>
              <w:right w:val="single" w:sz="4" w:space="0" w:color="CCCCFF"/>
            </w:tcBorders>
            <w:shd w:val="clear" w:color="FFFFFF" w:fill="FFFFFF"/>
            <w:noWrap/>
            <w:vAlign w:val="center"/>
            <w:hideMark/>
          </w:tcPr>
          <w:p w14:paraId="27A0996F" w14:textId="77777777" w:rsidR="0033303B" w:rsidRPr="0033303B" w:rsidRDefault="0033303B" w:rsidP="005B076E">
            <w:pPr>
              <w:jc w:val="right"/>
              <w:rPr>
                <w:color w:val="000000"/>
                <w:szCs w:val="24"/>
              </w:rPr>
            </w:pPr>
            <w:r w:rsidRPr="0033303B">
              <w:rPr>
                <w:color w:val="000000"/>
                <w:szCs w:val="24"/>
              </w:rPr>
              <w:t>18.4</w:t>
            </w:r>
          </w:p>
        </w:tc>
      </w:tr>
      <w:tr w:rsidR="0033303B" w:rsidRPr="0033303B" w14:paraId="46007394"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2655F6F0" w14:textId="77777777" w:rsidR="0033303B" w:rsidRPr="0033303B" w:rsidRDefault="0033303B" w:rsidP="005B076E">
            <w:pPr>
              <w:rPr>
                <w:color w:val="000000"/>
                <w:szCs w:val="24"/>
              </w:rPr>
            </w:pPr>
            <w:r w:rsidRPr="0033303B">
              <w:rPr>
                <w:color w:val="000000"/>
                <w:szCs w:val="24"/>
              </w:rPr>
              <w:t>Испания</w:t>
            </w:r>
          </w:p>
        </w:tc>
        <w:tc>
          <w:tcPr>
            <w:tcW w:w="1134" w:type="dxa"/>
            <w:tcBorders>
              <w:top w:val="nil"/>
              <w:left w:val="nil"/>
              <w:bottom w:val="single" w:sz="4" w:space="0" w:color="CCCCFF"/>
              <w:right w:val="single" w:sz="4" w:space="0" w:color="CCCCFF"/>
            </w:tcBorders>
            <w:shd w:val="clear" w:color="FFFFFF" w:fill="FFFFFF"/>
            <w:noWrap/>
            <w:vAlign w:val="center"/>
            <w:hideMark/>
          </w:tcPr>
          <w:p w14:paraId="4AEF16E6" w14:textId="77777777" w:rsidR="0033303B" w:rsidRPr="0033303B" w:rsidRDefault="0033303B" w:rsidP="005B076E">
            <w:pPr>
              <w:jc w:val="right"/>
              <w:rPr>
                <w:color w:val="000000"/>
                <w:szCs w:val="24"/>
              </w:rPr>
            </w:pPr>
            <w:r w:rsidRPr="0033303B">
              <w:rPr>
                <w:color w:val="000000"/>
                <w:szCs w:val="24"/>
              </w:rPr>
              <w:t>229</w:t>
            </w:r>
          </w:p>
        </w:tc>
        <w:tc>
          <w:tcPr>
            <w:tcW w:w="745" w:type="dxa"/>
            <w:tcBorders>
              <w:top w:val="nil"/>
              <w:left w:val="nil"/>
              <w:bottom w:val="single" w:sz="4" w:space="0" w:color="CCCCFF"/>
              <w:right w:val="single" w:sz="4" w:space="0" w:color="CCCCFF"/>
            </w:tcBorders>
            <w:shd w:val="clear" w:color="FFFFFF" w:fill="FFFFFF"/>
            <w:noWrap/>
            <w:vAlign w:val="center"/>
            <w:hideMark/>
          </w:tcPr>
          <w:p w14:paraId="514E5ADB" w14:textId="77777777" w:rsidR="0033303B" w:rsidRPr="0033303B" w:rsidRDefault="0033303B" w:rsidP="005B076E">
            <w:pPr>
              <w:jc w:val="right"/>
              <w:rPr>
                <w:color w:val="000000"/>
                <w:szCs w:val="24"/>
              </w:rPr>
            </w:pPr>
            <w:r w:rsidRPr="0033303B">
              <w:rPr>
                <w:color w:val="000000"/>
                <w:szCs w:val="24"/>
              </w:rPr>
              <w:t>17.9</w:t>
            </w:r>
          </w:p>
        </w:tc>
      </w:tr>
      <w:tr w:rsidR="0033303B" w:rsidRPr="0033303B" w14:paraId="05ED9E33"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1A5EBD73" w14:textId="77777777" w:rsidR="0033303B" w:rsidRPr="0033303B" w:rsidRDefault="0033303B" w:rsidP="005B076E">
            <w:pPr>
              <w:rPr>
                <w:color w:val="000000"/>
                <w:szCs w:val="24"/>
              </w:rPr>
            </w:pPr>
            <w:r w:rsidRPr="0033303B">
              <w:rPr>
                <w:color w:val="000000"/>
                <w:szCs w:val="24"/>
              </w:rPr>
              <w:t>Румъния</w:t>
            </w:r>
          </w:p>
        </w:tc>
        <w:tc>
          <w:tcPr>
            <w:tcW w:w="1134" w:type="dxa"/>
            <w:tcBorders>
              <w:top w:val="nil"/>
              <w:left w:val="nil"/>
              <w:bottom w:val="single" w:sz="4" w:space="0" w:color="CCCCFF"/>
              <w:right w:val="single" w:sz="4" w:space="0" w:color="CCCCFF"/>
            </w:tcBorders>
            <w:shd w:val="clear" w:color="FFFFFF" w:fill="FFFFFF"/>
            <w:noWrap/>
            <w:vAlign w:val="center"/>
            <w:hideMark/>
          </w:tcPr>
          <w:p w14:paraId="3F969F99" w14:textId="77777777" w:rsidR="0033303B" w:rsidRPr="0033303B" w:rsidRDefault="0033303B" w:rsidP="005B076E">
            <w:pPr>
              <w:jc w:val="right"/>
              <w:rPr>
                <w:color w:val="000000"/>
                <w:szCs w:val="24"/>
              </w:rPr>
            </w:pPr>
            <w:r w:rsidRPr="0033303B">
              <w:rPr>
                <w:color w:val="000000"/>
                <w:szCs w:val="24"/>
              </w:rPr>
              <w:t>87</w:t>
            </w:r>
          </w:p>
        </w:tc>
        <w:tc>
          <w:tcPr>
            <w:tcW w:w="745" w:type="dxa"/>
            <w:tcBorders>
              <w:top w:val="nil"/>
              <w:left w:val="nil"/>
              <w:bottom w:val="single" w:sz="4" w:space="0" w:color="CCCCFF"/>
              <w:right w:val="single" w:sz="4" w:space="0" w:color="CCCCFF"/>
            </w:tcBorders>
            <w:shd w:val="clear" w:color="FFFFFF" w:fill="FFFFFF"/>
            <w:noWrap/>
            <w:vAlign w:val="center"/>
            <w:hideMark/>
          </w:tcPr>
          <w:p w14:paraId="10757A9D" w14:textId="77777777" w:rsidR="0033303B" w:rsidRPr="0033303B" w:rsidRDefault="0033303B" w:rsidP="005B076E">
            <w:pPr>
              <w:jc w:val="right"/>
              <w:rPr>
                <w:color w:val="000000"/>
                <w:szCs w:val="24"/>
              </w:rPr>
            </w:pPr>
            <w:r w:rsidRPr="0033303B">
              <w:rPr>
                <w:color w:val="000000"/>
                <w:szCs w:val="24"/>
              </w:rPr>
              <w:t>6.8</w:t>
            </w:r>
          </w:p>
        </w:tc>
      </w:tr>
      <w:tr w:rsidR="0033303B" w:rsidRPr="0033303B" w14:paraId="40F345BB"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07DAB0BF" w14:textId="77777777" w:rsidR="0033303B" w:rsidRPr="0033303B" w:rsidRDefault="0033303B" w:rsidP="005B076E">
            <w:pPr>
              <w:rPr>
                <w:color w:val="000000"/>
                <w:szCs w:val="24"/>
              </w:rPr>
            </w:pPr>
            <w:r w:rsidRPr="0033303B">
              <w:rPr>
                <w:color w:val="000000"/>
                <w:szCs w:val="24"/>
              </w:rPr>
              <w:t>Обединено кралство</w:t>
            </w:r>
          </w:p>
        </w:tc>
        <w:tc>
          <w:tcPr>
            <w:tcW w:w="1134" w:type="dxa"/>
            <w:tcBorders>
              <w:top w:val="nil"/>
              <w:left w:val="nil"/>
              <w:bottom w:val="single" w:sz="4" w:space="0" w:color="CCCCFF"/>
              <w:right w:val="single" w:sz="4" w:space="0" w:color="CCCCFF"/>
            </w:tcBorders>
            <w:shd w:val="clear" w:color="FFFFFF" w:fill="FFFFFF"/>
            <w:noWrap/>
            <w:vAlign w:val="center"/>
            <w:hideMark/>
          </w:tcPr>
          <w:p w14:paraId="6BBB34EC" w14:textId="77777777" w:rsidR="0033303B" w:rsidRPr="0033303B" w:rsidRDefault="0033303B" w:rsidP="005B076E">
            <w:pPr>
              <w:jc w:val="right"/>
              <w:rPr>
                <w:color w:val="000000"/>
                <w:szCs w:val="24"/>
              </w:rPr>
            </w:pPr>
            <w:r w:rsidRPr="0033303B">
              <w:rPr>
                <w:color w:val="000000"/>
                <w:szCs w:val="24"/>
              </w:rPr>
              <w:t>75</w:t>
            </w:r>
          </w:p>
        </w:tc>
        <w:tc>
          <w:tcPr>
            <w:tcW w:w="745" w:type="dxa"/>
            <w:tcBorders>
              <w:top w:val="nil"/>
              <w:left w:val="nil"/>
              <w:bottom w:val="single" w:sz="4" w:space="0" w:color="CCCCFF"/>
              <w:right w:val="single" w:sz="4" w:space="0" w:color="CCCCFF"/>
            </w:tcBorders>
            <w:shd w:val="clear" w:color="FFFFFF" w:fill="FFFFFF"/>
            <w:noWrap/>
            <w:vAlign w:val="center"/>
            <w:hideMark/>
          </w:tcPr>
          <w:p w14:paraId="07EA4204" w14:textId="77777777" w:rsidR="0033303B" w:rsidRPr="0033303B" w:rsidRDefault="0033303B" w:rsidP="005B076E">
            <w:pPr>
              <w:jc w:val="right"/>
              <w:rPr>
                <w:color w:val="000000"/>
                <w:szCs w:val="24"/>
              </w:rPr>
            </w:pPr>
            <w:r w:rsidRPr="0033303B">
              <w:rPr>
                <w:color w:val="000000"/>
                <w:szCs w:val="24"/>
              </w:rPr>
              <w:t>5.8</w:t>
            </w:r>
          </w:p>
        </w:tc>
      </w:tr>
      <w:tr w:rsidR="0033303B" w:rsidRPr="0033303B" w14:paraId="432D8319"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4FC6EC34" w14:textId="77777777" w:rsidR="0033303B" w:rsidRPr="0033303B" w:rsidRDefault="0033303B" w:rsidP="005B076E">
            <w:pPr>
              <w:rPr>
                <w:color w:val="000000"/>
                <w:szCs w:val="24"/>
              </w:rPr>
            </w:pPr>
            <w:r w:rsidRPr="0033303B">
              <w:rPr>
                <w:color w:val="000000"/>
                <w:szCs w:val="24"/>
              </w:rPr>
              <w:t>Полша</w:t>
            </w:r>
          </w:p>
        </w:tc>
        <w:tc>
          <w:tcPr>
            <w:tcW w:w="1134" w:type="dxa"/>
            <w:tcBorders>
              <w:top w:val="nil"/>
              <w:left w:val="nil"/>
              <w:bottom w:val="single" w:sz="4" w:space="0" w:color="CCCCFF"/>
              <w:right w:val="single" w:sz="4" w:space="0" w:color="CCCCFF"/>
            </w:tcBorders>
            <w:shd w:val="clear" w:color="FFFFFF" w:fill="FFFFFF"/>
            <w:noWrap/>
            <w:vAlign w:val="center"/>
            <w:hideMark/>
          </w:tcPr>
          <w:p w14:paraId="1D60557E" w14:textId="77777777" w:rsidR="0033303B" w:rsidRPr="0033303B" w:rsidRDefault="0033303B" w:rsidP="005B076E">
            <w:pPr>
              <w:jc w:val="right"/>
              <w:rPr>
                <w:color w:val="000000"/>
                <w:szCs w:val="24"/>
              </w:rPr>
            </w:pPr>
            <w:r w:rsidRPr="0033303B">
              <w:rPr>
                <w:color w:val="000000"/>
                <w:szCs w:val="24"/>
              </w:rPr>
              <w:t>53</w:t>
            </w:r>
          </w:p>
        </w:tc>
        <w:tc>
          <w:tcPr>
            <w:tcW w:w="745" w:type="dxa"/>
            <w:tcBorders>
              <w:top w:val="nil"/>
              <w:left w:val="nil"/>
              <w:bottom w:val="single" w:sz="4" w:space="0" w:color="CCCCFF"/>
              <w:right w:val="single" w:sz="4" w:space="0" w:color="CCCCFF"/>
            </w:tcBorders>
            <w:shd w:val="clear" w:color="FFFFFF" w:fill="FFFFFF"/>
            <w:noWrap/>
            <w:vAlign w:val="center"/>
            <w:hideMark/>
          </w:tcPr>
          <w:p w14:paraId="13BC8B02" w14:textId="77777777" w:rsidR="0033303B" w:rsidRPr="0033303B" w:rsidRDefault="0033303B" w:rsidP="005B076E">
            <w:pPr>
              <w:jc w:val="right"/>
              <w:rPr>
                <w:color w:val="000000"/>
                <w:szCs w:val="24"/>
              </w:rPr>
            </w:pPr>
            <w:r w:rsidRPr="0033303B">
              <w:rPr>
                <w:color w:val="000000"/>
                <w:szCs w:val="24"/>
              </w:rPr>
              <w:t>4.1</w:t>
            </w:r>
          </w:p>
        </w:tc>
      </w:tr>
      <w:tr w:rsidR="0033303B" w:rsidRPr="0033303B" w14:paraId="7FD2D356"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440B38D6" w14:textId="77777777" w:rsidR="0033303B" w:rsidRPr="0033303B" w:rsidRDefault="0033303B" w:rsidP="005B076E">
            <w:pPr>
              <w:rPr>
                <w:color w:val="000000"/>
                <w:szCs w:val="24"/>
              </w:rPr>
            </w:pPr>
            <w:r w:rsidRPr="0033303B">
              <w:rPr>
                <w:color w:val="000000"/>
                <w:szCs w:val="24"/>
              </w:rPr>
              <w:t>Гърция</w:t>
            </w:r>
          </w:p>
        </w:tc>
        <w:tc>
          <w:tcPr>
            <w:tcW w:w="1134" w:type="dxa"/>
            <w:tcBorders>
              <w:top w:val="nil"/>
              <w:left w:val="nil"/>
              <w:bottom w:val="single" w:sz="4" w:space="0" w:color="CCCCFF"/>
              <w:right w:val="single" w:sz="4" w:space="0" w:color="CCCCFF"/>
            </w:tcBorders>
            <w:shd w:val="clear" w:color="FFFFFF" w:fill="FFFFFF"/>
            <w:noWrap/>
            <w:vAlign w:val="center"/>
            <w:hideMark/>
          </w:tcPr>
          <w:p w14:paraId="7D905303" w14:textId="77777777" w:rsidR="0033303B" w:rsidRPr="0033303B" w:rsidRDefault="0033303B" w:rsidP="005B076E">
            <w:pPr>
              <w:jc w:val="right"/>
              <w:rPr>
                <w:color w:val="000000"/>
                <w:szCs w:val="24"/>
              </w:rPr>
            </w:pPr>
            <w:r w:rsidRPr="0033303B">
              <w:rPr>
                <w:color w:val="000000"/>
                <w:szCs w:val="24"/>
              </w:rPr>
              <w:t>52</w:t>
            </w:r>
          </w:p>
        </w:tc>
        <w:tc>
          <w:tcPr>
            <w:tcW w:w="745" w:type="dxa"/>
            <w:tcBorders>
              <w:top w:val="nil"/>
              <w:left w:val="nil"/>
              <w:bottom w:val="single" w:sz="4" w:space="0" w:color="CCCCFF"/>
              <w:right w:val="single" w:sz="4" w:space="0" w:color="CCCCFF"/>
            </w:tcBorders>
            <w:shd w:val="clear" w:color="FFFFFF" w:fill="FFFFFF"/>
            <w:noWrap/>
            <w:vAlign w:val="center"/>
            <w:hideMark/>
          </w:tcPr>
          <w:p w14:paraId="24CDA229" w14:textId="77777777" w:rsidR="0033303B" w:rsidRPr="0033303B" w:rsidRDefault="0033303B" w:rsidP="005B076E">
            <w:pPr>
              <w:jc w:val="right"/>
              <w:rPr>
                <w:color w:val="000000"/>
                <w:szCs w:val="24"/>
              </w:rPr>
            </w:pPr>
            <w:r w:rsidRPr="0033303B">
              <w:rPr>
                <w:color w:val="000000"/>
                <w:szCs w:val="24"/>
              </w:rPr>
              <w:t>4.0</w:t>
            </w:r>
          </w:p>
        </w:tc>
      </w:tr>
      <w:tr w:rsidR="0033303B" w:rsidRPr="0033303B" w14:paraId="657B2565" w14:textId="77777777" w:rsidTr="005B076E">
        <w:trPr>
          <w:trHeight w:val="360"/>
        </w:trPr>
        <w:tc>
          <w:tcPr>
            <w:tcW w:w="1838" w:type="dxa"/>
            <w:tcBorders>
              <w:top w:val="nil"/>
              <w:left w:val="single" w:sz="4" w:space="0" w:color="CCCCFF"/>
              <w:bottom w:val="single" w:sz="4" w:space="0" w:color="CCCCFF"/>
              <w:right w:val="single" w:sz="4" w:space="0" w:color="CCCCFF"/>
            </w:tcBorders>
            <w:shd w:val="clear" w:color="FFFFFF" w:fill="FFFFFF"/>
            <w:noWrap/>
            <w:vAlign w:val="center"/>
            <w:hideMark/>
          </w:tcPr>
          <w:p w14:paraId="56027F47" w14:textId="77777777" w:rsidR="0033303B" w:rsidRPr="0033303B" w:rsidRDefault="0033303B" w:rsidP="005B076E">
            <w:pPr>
              <w:rPr>
                <w:color w:val="000000"/>
                <w:szCs w:val="24"/>
              </w:rPr>
            </w:pPr>
            <w:r w:rsidRPr="0033303B">
              <w:rPr>
                <w:color w:val="000000"/>
                <w:szCs w:val="24"/>
              </w:rPr>
              <w:t>Други</w:t>
            </w:r>
          </w:p>
        </w:tc>
        <w:tc>
          <w:tcPr>
            <w:tcW w:w="1134" w:type="dxa"/>
            <w:tcBorders>
              <w:top w:val="nil"/>
              <w:left w:val="nil"/>
              <w:bottom w:val="single" w:sz="4" w:space="0" w:color="CCCCFF"/>
              <w:right w:val="single" w:sz="4" w:space="0" w:color="CCCCFF"/>
            </w:tcBorders>
            <w:shd w:val="clear" w:color="FFFFFF" w:fill="FFFFFF"/>
            <w:noWrap/>
            <w:vAlign w:val="center"/>
            <w:hideMark/>
          </w:tcPr>
          <w:p w14:paraId="38D9BC82" w14:textId="77777777" w:rsidR="0033303B" w:rsidRPr="0033303B" w:rsidRDefault="0033303B" w:rsidP="005B076E">
            <w:pPr>
              <w:jc w:val="right"/>
              <w:rPr>
                <w:color w:val="000000"/>
                <w:szCs w:val="24"/>
              </w:rPr>
            </w:pPr>
            <w:r w:rsidRPr="0033303B">
              <w:rPr>
                <w:color w:val="000000"/>
                <w:szCs w:val="24"/>
              </w:rPr>
              <w:t>282</w:t>
            </w:r>
          </w:p>
        </w:tc>
        <w:tc>
          <w:tcPr>
            <w:tcW w:w="745" w:type="dxa"/>
            <w:tcBorders>
              <w:top w:val="nil"/>
              <w:left w:val="nil"/>
              <w:bottom w:val="single" w:sz="4" w:space="0" w:color="CCCCFF"/>
              <w:right w:val="single" w:sz="4" w:space="0" w:color="CCCCFF"/>
            </w:tcBorders>
            <w:shd w:val="clear" w:color="FFFFFF" w:fill="FFFFFF"/>
            <w:noWrap/>
            <w:vAlign w:val="center"/>
            <w:hideMark/>
          </w:tcPr>
          <w:p w14:paraId="1421886B" w14:textId="77777777" w:rsidR="0033303B" w:rsidRPr="0033303B" w:rsidRDefault="0033303B" w:rsidP="005B076E">
            <w:pPr>
              <w:jc w:val="right"/>
              <w:rPr>
                <w:color w:val="000000"/>
                <w:szCs w:val="24"/>
              </w:rPr>
            </w:pPr>
            <w:r w:rsidRPr="0033303B">
              <w:rPr>
                <w:color w:val="000000"/>
                <w:szCs w:val="24"/>
              </w:rPr>
              <w:t>22.0</w:t>
            </w:r>
          </w:p>
        </w:tc>
      </w:tr>
    </w:tbl>
    <w:p w14:paraId="40567A32" w14:textId="77777777" w:rsidR="0033303B" w:rsidRPr="0033303B" w:rsidRDefault="0033303B" w:rsidP="0033303B">
      <w:pPr>
        <w:rPr>
          <w:szCs w:val="24"/>
        </w:rPr>
      </w:pPr>
    </w:p>
    <w:p w14:paraId="509A9639" w14:textId="77777777" w:rsidR="0033303B" w:rsidRPr="0033303B" w:rsidRDefault="0033303B" w:rsidP="0033303B">
      <w:pPr>
        <w:rPr>
          <w:szCs w:val="24"/>
        </w:rPr>
      </w:pPr>
    </w:p>
    <w:p w14:paraId="5581DC2D" w14:textId="77777777" w:rsidR="0033303B" w:rsidRPr="0033303B" w:rsidRDefault="0033303B" w:rsidP="0033303B">
      <w:pPr>
        <w:rPr>
          <w:szCs w:val="24"/>
        </w:rPr>
      </w:pPr>
      <w:r w:rsidRPr="0033303B">
        <w:t>2016</w:t>
      </w:r>
    </w:p>
    <w:tbl>
      <w:tblPr>
        <w:tblW w:w="3681" w:type="dxa"/>
        <w:tblLook w:val="04A0" w:firstRow="1" w:lastRow="0" w:firstColumn="1" w:lastColumn="0" w:noHBand="0" w:noVBand="1"/>
      </w:tblPr>
      <w:tblGrid>
        <w:gridCol w:w="1840"/>
        <w:gridCol w:w="1357"/>
        <w:gridCol w:w="709"/>
      </w:tblGrid>
      <w:tr w:rsidR="0033303B" w:rsidRPr="0033303B" w14:paraId="359D14A2" w14:textId="77777777" w:rsidTr="005B076E">
        <w:trPr>
          <w:trHeight w:val="690"/>
        </w:trPr>
        <w:tc>
          <w:tcPr>
            <w:tcW w:w="184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1E89185" w14:textId="77777777" w:rsidR="0033303B" w:rsidRPr="0033303B" w:rsidRDefault="0033303B" w:rsidP="005B076E">
            <w:pPr>
              <w:jc w:val="center"/>
              <w:rPr>
                <w:b/>
                <w:bCs/>
                <w:color w:val="FFFFFF"/>
                <w:szCs w:val="24"/>
              </w:rPr>
            </w:pPr>
            <w:r w:rsidRPr="0033303B">
              <w:rPr>
                <w:b/>
                <w:bCs/>
                <w:color w:val="FFFFFF"/>
                <w:szCs w:val="24"/>
              </w:rPr>
              <w:t>Основно гражданство на вносителите на петиция</w:t>
            </w:r>
          </w:p>
        </w:tc>
        <w:tc>
          <w:tcPr>
            <w:tcW w:w="1132" w:type="dxa"/>
            <w:tcBorders>
              <w:top w:val="single" w:sz="4" w:space="0" w:color="CCCCFF"/>
              <w:left w:val="nil"/>
              <w:bottom w:val="single" w:sz="4" w:space="0" w:color="CCCCFF"/>
              <w:right w:val="single" w:sz="4" w:space="0" w:color="CCCCFF"/>
            </w:tcBorders>
            <w:shd w:val="clear" w:color="FFFFFF" w:fill="666699"/>
            <w:vAlign w:val="center"/>
            <w:hideMark/>
          </w:tcPr>
          <w:p w14:paraId="0223A018" w14:textId="77777777" w:rsidR="0033303B" w:rsidRPr="0033303B" w:rsidRDefault="0033303B" w:rsidP="005B076E">
            <w:pPr>
              <w:jc w:val="center"/>
              <w:rPr>
                <w:b/>
                <w:bCs/>
                <w:color w:val="FFFFFF"/>
                <w:szCs w:val="24"/>
              </w:rPr>
            </w:pPr>
            <w:r w:rsidRPr="0033303B">
              <w:rPr>
                <w:b/>
                <w:bCs/>
                <w:color w:val="FFFFFF"/>
                <w:szCs w:val="24"/>
              </w:rPr>
              <w:t>Брой на петициите</w:t>
            </w:r>
          </w:p>
        </w:tc>
        <w:tc>
          <w:tcPr>
            <w:tcW w:w="709" w:type="dxa"/>
            <w:tcBorders>
              <w:top w:val="single" w:sz="4" w:space="0" w:color="CCCCFF"/>
              <w:left w:val="nil"/>
              <w:bottom w:val="single" w:sz="4" w:space="0" w:color="CCCCFF"/>
              <w:right w:val="single" w:sz="4" w:space="0" w:color="CCCCFF"/>
            </w:tcBorders>
            <w:shd w:val="clear" w:color="FFFFFF" w:fill="666699"/>
            <w:vAlign w:val="center"/>
            <w:hideMark/>
          </w:tcPr>
          <w:p w14:paraId="2BC1671A" w14:textId="77777777" w:rsidR="0033303B" w:rsidRPr="0033303B" w:rsidRDefault="0033303B" w:rsidP="005B076E">
            <w:pPr>
              <w:jc w:val="right"/>
              <w:rPr>
                <w:b/>
                <w:bCs/>
                <w:color w:val="FFFFFF"/>
                <w:szCs w:val="24"/>
              </w:rPr>
            </w:pPr>
            <w:r w:rsidRPr="0033303B">
              <w:rPr>
                <w:b/>
                <w:bCs/>
                <w:color w:val="FFFFFF"/>
                <w:szCs w:val="24"/>
              </w:rPr>
              <w:t>%</w:t>
            </w:r>
          </w:p>
        </w:tc>
      </w:tr>
      <w:tr w:rsidR="0033303B" w:rsidRPr="0033303B" w14:paraId="6038400E"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662D6091" w14:textId="77777777" w:rsidR="0033303B" w:rsidRPr="0033303B" w:rsidRDefault="0033303B" w:rsidP="005B076E">
            <w:pPr>
              <w:rPr>
                <w:color w:val="000000"/>
                <w:szCs w:val="24"/>
              </w:rPr>
            </w:pPr>
            <w:r w:rsidRPr="0033303B">
              <w:rPr>
                <w:color w:val="000000"/>
                <w:szCs w:val="24"/>
              </w:rPr>
              <w:t>Италия</w:t>
            </w:r>
          </w:p>
        </w:tc>
        <w:tc>
          <w:tcPr>
            <w:tcW w:w="1132" w:type="dxa"/>
            <w:tcBorders>
              <w:top w:val="nil"/>
              <w:left w:val="nil"/>
              <w:bottom w:val="single" w:sz="4" w:space="0" w:color="CCCCFF"/>
              <w:right w:val="single" w:sz="4" w:space="0" w:color="CCCCFF"/>
            </w:tcBorders>
            <w:shd w:val="clear" w:color="FFFFFF" w:fill="FFFFFF"/>
            <w:noWrap/>
            <w:vAlign w:val="center"/>
            <w:hideMark/>
          </w:tcPr>
          <w:p w14:paraId="75DE9315" w14:textId="77777777" w:rsidR="0033303B" w:rsidRPr="0033303B" w:rsidRDefault="0033303B" w:rsidP="005B076E">
            <w:pPr>
              <w:jc w:val="right"/>
              <w:rPr>
                <w:color w:val="000000"/>
                <w:szCs w:val="24"/>
              </w:rPr>
            </w:pPr>
            <w:r w:rsidRPr="0033303B">
              <w:rPr>
                <w:color w:val="000000"/>
                <w:szCs w:val="24"/>
              </w:rPr>
              <w:t>376</w:t>
            </w:r>
          </w:p>
        </w:tc>
        <w:tc>
          <w:tcPr>
            <w:tcW w:w="709" w:type="dxa"/>
            <w:tcBorders>
              <w:top w:val="nil"/>
              <w:left w:val="nil"/>
              <w:bottom w:val="single" w:sz="4" w:space="0" w:color="CCCCFF"/>
              <w:right w:val="single" w:sz="4" w:space="0" w:color="CCCCFF"/>
            </w:tcBorders>
            <w:shd w:val="clear" w:color="FFFFFF" w:fill="FFFFFF"/>
            <w:noWrap/>
            <w:vAlign w:val="center"/>
            <w:hideMark/>
          </w:tcPr>
          <w:p w14:paraId="76BD88DB" w14:textId="77777777" w:rsidR="0033303B" w:rsidRPr="0033303B" w:rsidRDefault="0033303B" w:rsidP="005B076E">
            <w:pPr>
              <w:jc w:val="right"/>
              <w:rPr>
                <w:color w:val="000000"/>
                <w:szCs w:val="24"/>
              </w:rPr>
            </w:pPr>
            <w:r w:rsidRPr="0033303B">
              <w:rPr>
                <w:color w:val="000000"/>
                <w:szCs w:val="24"/>
              </w:rPr>
              <w:t>23.9</w:t>
            </w:r>
          </w:p>
        </w:tc>
      </w:tr>
      <w:tr w:rsidR="0033303B" w:rsidRPr="0033303B" w14:paraId="5F6BE72B"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68FE34B9" w14:textId="77777777" w:rsidR="0033303B" w:rsidRPr="0033303B" w:rsidRDefault="0033303B" w:rsidP="005B076E">
            <w:pPr>
              <w:rPr>
                <w:color w:val="000000"/>
                <w:szCs w:val="24"/>
              </w:rPr>
            </w:pPr>
            <w:r w:rsidRPr="0033303B">
              <w:rPr>
                <w:color w:val="000000"/>
                <w:szCs w:val="24"/>
              </w:rPr>
              <w:t>Германия</w:t>
            </w:r>
          </w:p>
        </w:tc>
        <w:tc>
          <w:tcPr>
            <w:tcW w:w="1132" w:type="dxa"/>
            <w:tcBorders>
              <w:top w:val="nil"/>
              <w:left w:val="nil"/>
              <w:bottom w:val="single" w:sz="4" w:space="0" w:color="CCCCFF"/>
              <w:right w:val="single" w:sz="4" w:space="0" w:color="CCCCFF"/>
            </w:tcBorders>
            <w:shd w:val="clear" w:color="FFFFFF" w:fill="FFFFFF"/>
            <w:noWrap/>
            <w:vAlign w:val="center"/>
            <w:hideMark/>
          </w:tcPr>
          <w:p w14:paraId="7B397CAA" w14:textId="77777777" w:rsidR="0033303B" w:rsidRPr="0033303B" w:rsidRDefault="0033303B" w:rsidP="005B076E">
            <w:pPr>
              <w:jc w:val="right"/>
              <w:rPr>
                <w:color w:val="000000"/>
                <w:szCs w:val="24"/>
              </w:rPr>
            </w:pPr>
            <w:r w:rsidRPr="0033303B">
              <w:rPr>
                <w:color w:val="000000"/>
                <w:szCs w:val="24"/>
              </w:rPr>
              <w:t>298</w:t>
            </w:r>
          </w:p>
        </w:tc>
        <w:tc>
          <w:tcPr>
            <w:tcW w:w="709" w:type="dxa"/>
            <w:tcBorders>
              <w:top w:val="nil"/>
              <w:left w:val="nil"/>
              <w:bottom w:val="single" w:sz="4" w:space="0" w:color="CCCCFF"/>
              <w:right w:val="single" w:sz="4" w:space="0" w:color="CCCCFF"/>
            </w:tcBorders>
            <w:shd w:val="clear" w:color="FFFFFF" w:fill="FFFFFF"/>
            <w:noWrap/>
            <w:vAlign w:val="center"/>
            <w:hideMark/>
          </w:tcPr>
          <w:p w14:paraId="67706F54" w14:textId="77777777" w:rsidR="0033303B" w:rsidRPr="0033303B" w:rsidRDefault="0033303B" w:rsidP="005B076E">
            <w:pPr>
              <w:jc w:val="right"/>
              <w:rPr>
                <w:color w:val="000000"/>
                <w:szCs w:val="24"/>
              </w:rPr>
            </w:pPr>
            <w:r w:rsidRPr="0033303B">
              <w:rPr>
                <w:color w:val="000000"/>
                <w:szCs w:val="24"/>
              </w:rPr>
              <w:t>18.9</w:t>
            </w:r>
          </w:p>
        </w:tc>
      </w:tr>
      <w:tr w:rsidR="0033303B" w:rsidRPr="0033303B" w14:paraId="641A8B5E"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49904DEA" w14:textId="77777777" w:rsidR="0033303B" w:rsidRPr="0033303B" w:rsidRDefault="0033303B" w:rsidP="005B076E">
            <w:pPr>
              <w:rPr>
                <w:color w:val="000000"/>
                <w:szCs w:val="24"/>
              </w:rPr>
            </w:pPr>
            <w:r w:rsidRPr="0033303B">
              <w:rPr>
                <w:color w:val="000000"/>
                <w:szCs w:val="24"/>
              </w:rPr>
              <w:t>Испания</w:t>
            </w:r>
          </w:p>
        </w:tc>
        <w:tc>
          <w:tcPr>
            <w:tcW w:w="1132" w:type="dxa"/>
            <w:tcBorders>
              <w:top w:val="nil"/>
              <w:left w:val="nil"/>
              <w:bottom w:val="single" w:sz="4" w:space="0" w:color="CCCCFF"/>
              <w:right w:val="single" w:sz="4" w:space="0" w:color="CCCCFF"/>
            </w:tcBorders>
            <w:shd w:val="clear" w:color="FFFFFF" w:fill="FFFFFF"/>
            <w:noWrap/>
            <w:vAlign w:val="center"/>
            <w:hideMark/>
          </w:tcPr>
          <w:p w14:paraId="4009D60F" w14:textId="77777777" w:rsidR="0033303B" w:rsidRPr="0033303B" w:rsidRDefault="0033303B" w:rsidP="005B076E">
            <w:pPr>
              <w:jc w:val="right"/>
              <w:rPr>
                <w:color w:val="000000"/>
                <w:szCs w:val="24"/>
              </w:rPr>
            </w:pPr>
            <w:r w:rsidRPr="0033303B">
              <w:rPr>
                <w:color w:val="000000"/>
                <w:szCs w:val="24"/>
              </w:rPr>
              <w:t>180</w:t>
            </w:r>
          </w:p>
        </w:tc>
        <w:tc>
          <w:tcPr>
            <w:tcW w:w="709" w:type="dxa"/>
            <w:tcBorders>
              <w:top w:val="nil"/>
              <w:left w:val="nil"/>
              <w:bottom w:val="single" w:sz="4" w:space="0" w:color="CCCCFF"/>
              <w:right w:val="single" w:sz="4" w:space="0" w:color="CCCCFF"/>
            </w:tcBorders>
            <w:shd w:val="clear" w:color="FFFFFF" w:fill="FFFFFF"/>
            <w:noWrap/>
            <w:vAlign w:val="center"/>
            <w:hideMark/>
          </w:tcPr>
          <w:p w14:paraId="5465E54D" w14:textId="77777777" w:rsidR="0033303B" w:rsidRPr="0033303B" w:rsidRDefault="0033303B" w:rsidP="005B076E">
            <w:pPr>
              <w:jc w:val="right"/>
              <w:rPr>
                <w:color w:val="000000"/>
                <w:szCs w:val="24"/>
              </w:rPr>
            </w:pPr>
            <w:r w:rsidRPr="0033303B">
              <w:rPr>
                <w:color w:val="000000"/>
                <w:szCs w:val="24"/>
              </w:rPr>
              <w:t>11.4</w:t>
            </w:r>
          </w:p>
        </w:tc>
      </w:tr>
      <w:tr w:rsidR="0033303B" w:rsidRPr="0033303B" w14:paraId="4ABD7C04"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69619187" w14:textId="77777777" w:rsidR="0033303B" w:rsidRPr="0033303B" w:rsidRDefault="0033303B" w:rsidP="005B076E">
            <w:pPr>
              <w:rPr>
                <w:color w:val="000000"/>
                <w:szCs w:val="24"/>
              </w:rPr>
            </w:pPr>
            <w:r w:rsidRPr="0033303B">
              <w:rPr>
                <w:color w:val="000000"/>
                <w:szCs w:val="24"/>
              </w:rPr>
              <w:t>Обединено кралство</w:t>
            </w:r>
          </w:p>
        </w:tc>
        <w:tc>
          <w:tcPr>
            <w:tcW w:w="1132" w:type="dxa"/>
            <w:tcBorders>
              <w:top w:val="nil"/>
              <w:left w:val="nil"/>
              <w:bottom w:val="single" w:sz="4" w:space="0" w:color="CCCCFF"/>
              <w:right w:val="single" w:sz="4" w:space="0" w:color="CCCCFF"/>
            </w:tcBorders>
            <w:shd w:val="clear" w:color="FFFFFF" w:fill="FFFFFF"/>
            <w:noWrap/>
            <w:vAlign w:val="center"/>
            <w:hideMark/>
          </w:tcPr>
          <w:p w14:paraId="5F18D5F6" w14:textId="77777777" w:rsidR="0033303B" w:rsidRPr="0033303B" w:rsidRDefault="0033303B" w:rsidP="005B076E">
            <w:pPr>
              <w:jc w:val="right"/>
              <w:rPr>
                <w:color w:val="000000"/>
                <w:szCs w:val="24"/>
              </w:rPr>
            </w:pPr>
            <w:r w:rsidRPr="0033303B">
              <w:rPr>
                <w:color w:val="000000"/>
                <w:szCs w:val="24"/>
              </w:rPr>
              <w:t>138</w:t>
            </w:r>
          </w:p>
        </w:tc>
        <w:tc>
          <w:tcPr>
            <w:tcW w:w="709" w:type="dxa"/>
            <w:tcBorders>
              <w:top w:val="nil"/>
              <w:left w:val="nil"/>
              <w:bottom w:val="single" w:sz="4" w:space="0" w:color="CCCCFF"/>
              <w:right w:val="single" w:sz="4" w:space="0" w:color="CCCCFF"/>
            </w:tcBorders>
            <w:shd w:val="clear" w:color="FFFFFF" w:fill="FFFFFF"/>
            <w:noWrap/>
            <w:vAlign w:val="center"/>
            <w:hideMark/>
          </w:tcPr>
          <w:p w14:paraId="56D52A1D" w14:textId="77777777" w:rsidR="0033303B" w:rsidRPr="0033303B" w:rsidRDefault="0033303B" w:rsidP="005B076E">
            <w:pPr>
              <w:jc w:val="right"/>
              <w:rPr>
                <w:color w:val="000000"/>
                <w:szCs w:val="24"/>
              </w:rPr>
            </w:pPr>
            <w:r w:rsidRPr="0033303B">
              <w:rPr>
                <w:color w:val="000000"/>
                <w:szCs w:val="24"/>
              </w:rPr>
              <w:t>8.8</w:t>
            </w:r>
          </w:p>
        </w:tc>
      </w:tr>
      <w:tr w:rsidR="0033303B" w:rsidRPr="0033303B" w14:paraId="3EE8C0B6"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624B8B5B" w14:textId="77777777" w:rsidR="0033303B" w:rsidRPr="0033303B" w:rsidRDefault="0033303B" w:rsidP="005B076E">
            <w:pPr>
              <w:rPr>
                <w:color w:val="000000"/>
                <w:szCs w:val="24"/>
              </w:rPr>
            </w:pPr>
            <w:r w:rsidRPr="0033303B">
              <w:rPr>
                <w:color w:val="000000"/>
                <w:szCs w:val="24"/>
              </w:rPr>
              <w:t>Румъния</w:t>
            </w:r>
          </w:p>
        </w:tc>
        <w:tc>
          <w:tcPr>
            <w:tcW w:w="1132" w:type="dxa"/>
            <w:tcBorders>
              <w:top w:val="nil"/>
              <w:left w:val="nil"/>
              <w:bottom w:val="single" w:sz="4" w:space="0" w:color="CCCCFF"/>
              <w:right w:val="single" w:sz="4" w:space="0" w:color="CCCCFF"/>
            </w:tcBorders>
            <w:shd w:val="clear" w:color="FFFFFF" w:fill="FFFFFF"/>
            <w:noWrap/>
            <w:vAlign w:val="center"/>
            <w:hideMark/>
          </w:tcPr>
          <w:p w14:paraId="072DFD1A" w14:textId="77777777" w:rsidR="0033303B" w:rsidRPr="0033303B" w:rsidRDefault="0033303B" w:rsidP="005B076E">
            <w:pPr>
              <w:jc w:val="right"/>
              <w:rPr>
                <w:color w:val="000000"/>
                <w:szCs w:val="24"/>
              </w:rPr>
            </w:pPr>
            <w:r w:rsidRPr="0033303B">
              <w:rPr>
                <w:color w:val="000000"/>
                <w:szCs w:val="24"/>
              </w:rPr>
              <w:t>97</w:t>
            </w:r>
          </w:p>
        </w:tc>
        <w:tc>
          <w:tcPr>
            <w:tcW w:w="709" w:type="dxa"/>
            <w:tcBorders>
              <w:top w:val="nil"/>
              <w:left w:val="nil"/>
              <w:bottom w:val="single" w:sz="4" w:space="0" w:color="CCCCFF"/>
              <w:right w:val="single" w:sz="4" w:space="0" w:color="CCCCFF"/>
            </w:tcBorders>
            <w:shd w:val="clear" w:color="FFFFFF" w:fill="FFFFFF"/>
            <w:noWrap/>
            <w:vAlign w:val="center"/>
            <w:hideMark/>
          </w:tcPr>
          <w:p w14:paraId="0A537629" w14:textId="77777777" w:rsidR="0033303B" w:rsidRPr="0033303B" w:rsidRDefault="0033303B" w:rsidP="005B076E">
            <w:pPr>
              <w:jc w:val="right"/>
              <w:rPr>
                <w:color w:val="000000"/>
                <w:szCs w:val="24"/>
              </w:rPr>
            </w:pPr>
            <w:r w:rsidRPr="0033303B">
              <w:rPr>
                <w:color w:val="000000"/>
                <w:szCs w:val="24"/>
              </w:rPr>
              <w:t>6.2</w:t>
            </w:r>
          </w:p>
        </w:tc>
      </w:tr>
      <w:tr w:rsidR="0033303B" w:rsidRPr="0033303B" w14:paraId="13C59B2F"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0235DA57" w14:textId="77777777" w:rsidR="0033303B" w:rsidRPr="0033303B" w:rsidRDefault="0033303B" w:rsidP="005B076E">
            <w:pPr>
              <w:rPr>
                <w:color w:val="000000"/>
                <w:szCs w:val="24"/>
              </w:rPr>
            </w:pPr>
            <w:r w:rsidRPr="0033303B">
              <w:rPr>
                <w:color w:val="000000"/>
                <w:szCs w:val="24"/>
              </w:rPr>
              <w:t>Полша</w:t>
            </w:r>
          </w:p>
        </w:tc>
        <w:tc>
          <w:tcPr>
            <w:tcW w:w="1132" w:type="dxa"/>
            <w:tcBorders>
              <w:top w:val="nil"/>
              <w:left w:val="nil"/>
              <w:bottom w:val="single" w:sz="4" w:space="0" w:color="CCCCFF"/>
              <w:right w:val="single" w:sz="4" w:space="0" w:color="CCCCFF"/>
            </w:tcBorders>
            <w:shd w:val="clear" w:color="FFFFFF" w:fill="FFFFFF"/>
            <w:noWrap/>
            <w:vAlign w:val="center"/>
            <w:hideMark/>
          </w:tcPr>
          <w:p w14:paraId="6705F560" w14:textId="77777777" w:rsidR="0033303B" w:rsidRPr="0033303B" w:rsidRDefault="0033303B" w:rsidP="005B076E">
            <w:pPr>
              <w:jc w:val="right"/>
              <w:rPr>
                <w:color w:val="000000"/>
                <w:szCs w:val="24"/>
              </w:rPr>
            </w:pPr>
            <w:r w:rsidRPr="0033303B">
              <w:rPr>
                <w:color w:val="000000"/>
                <w:szCs w:val="24"/>
              </w:rPr>
              <w:t>77</w:t>
            </w:r>
          </w:p>
        </w:tc>
        <w:tc>
          <w:tcPr>
            <w:tcW w:w="709" w:type="dxa"/>
            <w:tcBorders>
              <w:top w:val="nil"/>
              <w:left w:val="nil"/>
              <w:bottom w:val="single" w:sz="4" w:space="0" w:color="CCCCFF"/>
              <w:right w:val="single" w:sz="4" w:space="0" w:color="CCCCFF"/>
            </w:tcBorders>
            <w:shd w:val="clear" w:color="FFFFFF" w:fill="FFFFFF"/>
            <w:noWrap/>
            <w:vAlign w:val="center"/>
            <w:hideMark/>
          </w:tcPr>
          <w:p w14:paraId="6AA33F70" w14:textId="77777777" w:rsidR="0033303B" w:rsidRPr="0033303B" w:rsidRDefault="0033303B" w:rsidP="005B076E">
            <w:pPr>
              <w:jc w:val="right"/>
              <w:rPr>
                <w:color w:val="000000"/>
                <w:szCs w:val="24"/>
              </w:rPr>
            </w:pPr>
            <w:r w:rsidRPr="0033303B">
              <w:rPr>
                <w:color w:val="000000"/>
                <w:szCs w:val="24"/>
              </w:rPr>
              <w:t>4.9</w:t>
            </w:r>
          </w:p>
        </w:tc>
      </w:tr>
      <w:tr w:rsidR="0033303B" w:rsidRPr="0033303B" w14:paraId="5542C4A0"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1EDF1858" w14:textId="77777777" w:rsidR="0033303B" w:rsidRPr="0033303B" w:rsidRDefault="0033303B" w:rsidP="005B076E">
            <w:pPr>
              <w:rPr>
                <w:color w:val="000000"/>
                <w:szCs w:val="24"/>
              </w:rPr>
            </w:pPr>
            <w:r w:rsidRPr="0033303B">
              <w:rPr>
                <w:color w:val="000000"/>
                <w:szCs w:val="24"/>
              </w:rPr>
              <w:t>Франция</w:t>
            </w:r>
          </w:p>
        </w:tc>
        <w:tc>
          <w:tcPr>
            <w:tcW w:w="1132" w:type="dxa"/>
            <w:tcBorders>
              <w:top w:val="nil"/>
              <w:left w:val="nil"/>
              <w:bottom w:val="single" w:sz="4" w:space="0" w:color="CCCCFF"/>
              <w:right w:val="single" w:sz="4" w:space="0" w:color="CCCCFF"/>
            </w:tcBorders>
            <w:shd w:val="clear" w:color="FFFFFF" w:fill="FFFFFF"/>
            <w:noWrap/>
            <w:vAlign w:val="center"/>
            <w:hideMark/>
          </w:tcPr>
          <w:p w14:paraId="6FB59945" w14:textId="77777777" w:rsidR="0033303B" w:rsidRPr="0033303B" w:rsidRDefault="0033303B" w:rsidP="005B076E">
            <w:pPr>
              <w:jc w:val="right"/>
              <w:rPr>
                <w:color w:val="000000"/>
                <w:szCs w:val="24"/>
              </w:rPr>
            </w:pPr>
            <w:r w:rsidRPr="0033303B">
              <w:rPr>
                <w:color w:val="000000"/>
                <w:szCs w:val="24"/>
              </w:rPr>
              <w:t>71</w:t>
            </w:r>
          </w:p>
        </w:tc>
        <w:tc>
          <w:tcPr>
            <w:tcW w:w="709" w:type="dxa"/>
            <w:tcBorders>
              <w:top w:val="nil"/>
              <w:left w:val="nil"/>
              <w:bottom w:val="single" w:sz="4" w:space="0" w:color="CCCCFF"/>
              <w:right w:val="single" w:sz="4" w:space="0" w:color="CCCCFF"/>
            </w:tcBorders>
            <w:shd w:val="clear" w:color="FFFFFF" w:fill="FFFFFF"/>
            <w:noWrap/>
            <w:vAlign w:val="center"/>
            <w:hideMark/>
          </w:tcPr>
          <w:p w14:paraId="24C5D9D7" w14:textId="77777777" w:rsidR="0033303B" w:rsidRPr="0033303B" w:rsidRDefault="0033303B" w:rsidP="005B076E">
            <w:pPr>
              <w:jc w:val="right"/>
              <w:rPr>
                <w:color w:val="000000"/>
                <w:szCs w:val="24"/>
              </w:rPr>
            </w:pPr>
            <w:r w:rsidRPr="0033303B">
              <w:rPr>
                <w:color w:val="000000"/>
                <w:szCs w:val="24"/>
              </w:rPr>
              <w:t>4.5</w:t>
            </w:r>
          </w:p>
        </w:tc>
      </w:tr>
      <w:tr w:rsidR="0033303B" w:rsidRPr="0033303B" w14:paraId="525FC923"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7D7E1ED0" w14:textId="77777777" w:rsidR="0033303B" w:rsidRPr="0033303B" w:rsidRDefault="0033303B" w:rsidP="005B076E">
            <w:pPr>
              <w:rPr>
                <w:color w:val="000000"/>
                <w:szCs w:val="24"/>
              </w:rPr>
            </w:pPr>
            <w:r w:rsidRPr="0033303B">
              <w:rPr>
                <w:color w:val="000000"/>
                <w:szCs w:val="24"/>
              </w:rPr>
              <w:t>Гърция</w:t>
            </w:r>
          </w:p>
        </w:tc>
        <w:tc>
          <w:tcPr>
            <w:tcW w:w="1132" w:type="dxa"/>
            <w:tcBorders>
              <w:top w:val="nil"/>
              <w:left w:val="nil"/>
              <w:bottom w:val="single" w:sz="4" w:space="0" w:color="CCCCFF"/>
              <w:right w:val="single" w:sz="4" w:space="0" w:color="CCCCFF"/>
            </w:tcBorders>
            <w:shd w:val="clear" w:color="FFFFFF" w:fill="FFFFFF"/>
            <w:noWrap/>
            <w:vAlign w:val="center"/>
            <w:hideMark/>
          </w:tcPr>
          <w:p w14:paraId="6A7118F5" w14:textId="77777777" w:rsidR="0033303B" w:rsidRPr="0033303B" w:rsidRDefault="0033303B" w:rsidP="005B076E">
            <w:pPr>
              <w:jc w:val="right"/>
              <w:rPr>
                <w:color w:val="000000"/>
                <w:szCs w:val="24"/>
              </w:rPr>
            </w:pPr>
            <w:r w:rsidRPr="0033303B">
              <w:rPr>
                <w:color w:val="000000"/>
                <w:szCs w:val="24"/>
              </w:rPr>
              <w:t>66</w:t>
            </w:r>
          </w:p>
        </w:tc>
        <w:tc>
          <w:tcPr>
            <w:tcW w:w="709" w:type="dxa"/>
            <w:tcBorders>
              <w:top w:val="nil"/>
              <w:left w:val="nil"/>
              <w:bottom w:val="single" w:sz="4" w:space="0" w:color="CCCCFF"/>
              <w:right w:val="single" w:sz="4" w:space="0" w:color="CCCCFF"/>
            </w:tcBorders>
            <w:shd w:val="clear" w:color="FFFFFF" w:fill="FFFFFF"/>
            <w:noWrap/>
            <w:vAlign w:val="center"/>
            <w:hideMark/>
          </w:tcPr>
          <w:p w14:paraId="0FD7518A" w14:textId="77777777" w:rsidR="0033303B" w:rsidRPr="0033303B" w:rsidRDefault="0033303B" w:rsidP="005B076E">
            <w:pPr>
              <w:jc w:val="right"/>
              <w:rPr>
                <w:color w:val="000000"/>
                <w:szCs w:val="24"/>
              </w:rPr>
            </w:pPr>
            <w:r w:rsidRPr="0033303B">
              <w:rPr>
                <w:color w:val="000000"/>
                <w:szCs w:val="24"/>
              </w:rPr>
              <w:t>4.2</w:t>
            </w:r>
          </w:p>
        </w:tc>
      </w:tr>
      <w:tr w:rsidR="0033303B" w:rsidRPr="0033303B" w14:paraId="4A4F5632" w14:textId="77777777" w:rsidTr="005B076E">
        <w:trPr>
          <w:trHeight w:val="360"/>
        </w:trPr>
        <w:tc>
          <w:tcPr>
            <w:tcW w:w="1840" w:type="dxa"/>
            <w:tcBorders>
              <w:top w:val="nil"/>
              <w:left w:val="single" w:sz="4" w:space="0" w:color="CCCCFF"/>
              <w:bottom w:val="single" w:sz="4" w:space="0" w:color="CCCCFF"/>
              <w:right w:val="single" w:sz="4" w:space="0" w:color="CCCCFF"/>
            </w:tcBorders>
            <w:shd w:val="clear" w:color="FFFFFF" w:fill="FFFFFF"/>
            <w:noWrap/>
            <w:vAlign w:val="center"/>
            <w:hideMark/>
          </w:tcPr>
          <w:p w14:paraId="3FB431C9" w14:textId="77777777" w:rsidR="0033303B" w:rsidRPr="0033303B" w:rsidRDefault="0033303B" w:rsidP="005B076E">
            <w:pPr>
              <w:rPr>
                <w:color w:val="000000"/>
                <w:szCs w:val="24"/>
              </w:rPr>
            </w:pPr>
            <w:r w:rsidRPr="0033303B">
              <w:rPr>
                <w:color w:val="000000"/>
                <w:szCs w:val="24"/>
              </w:rPr>
              <w:t>Други</w:t>
            </w:r>
          </w:p>
        </w:tc>
        <w:tc>
          <w:tcPr>
            <w:tcW w:w="1132" w:type="dxa"/>
            <w:tcBorders>
              <w:top w:val="nil"/>
              <w:left w:val="nil"/>
              <w:bottom w:val="single" w:sz="4" w:space="0" w:color="CCCCFF"/>
              <w:right w:val="single" w:sz="4" w:space="0" w:color="CCCCFF"/>
            </w:tcBorders>
            <w:shd w:val="clear" w:color="FFFFFF" w:fill="FFFFFF"/>
            <w:noWrap/>
            <w:vAlign w:val="center"/>
            <w:hideMark/>
          </w:tcPr>
          <w:p w14:paraId="7EE6BF56" w14:textId="77777777" w:rsidR="0033303B" w:rsidRPr="0033303B" w:rsidRDefault="0033303B" w:rsidP="005B076E">
            <w:pPr>
              <w:jc w:val="right"/>
              <w:rPr>
                <w:color w:val="000000"/>
                <w:szCs w:val="24"/>
              </w:rPr>
            </w:pPr>
            <w:r w:rsidRPr="0033303B">
              <w:rPr>
                <w:color w:val="000000"/>
                <w:szCs w:val="24"/>
              </w:rPr>
              <w:t>270</w:t>
            </w:r>
          </w:p>
        </w:tc>
        <w:tc>
          <w:tcPr>
            <w:tcW w:w="709" w:type="dxa"/>
            <w:tcBorders>
              <w:top w:val="nil"/>
              <w:left w:val="nil"/>
              <w:bottom w:val="single" w:sz="4" w:space="0" w:color="CCCCFF"/>
              <w:right w:val="single" w:sz="4" w:space="0" w:color="CCCCFF"/>
            </w:tcBorders>
            <w:shd w:val="clear" w:color="FFFFFF" w:fill="FFFFFF"/>
            <w:noWrap/>
            <w:vAlign w:val="center"/>
            <w:hideMark/>
          </w:tcPr>
          <w:p w14:paraId="754745D8" w14:textId="77777777" w:rsidR="0033303B" w:rsidRPr="0033303B" w:rsidRDefault="0033303B" w:rsidP="005B076E">
            <w:pPr>
              <w:jc w:val="right"/>
              <w:rPr>
                <w:color w:val="000000"/>
                <w:szCs w:val="24"/>
              </w:rPr>
            </w:pPr>
            <w:r w:rsidRPr="0033303B">
              <w:rPr>
                <w:color w:val="000000"/>
                <w:szCs w:val="24"/>
              </w:rPr>
              <w:t>17.2</w:t>
            </w:r>
          </w:p>
        </w:tc>
      </w:tr>
    </w:tbl>
    <w:p w14:paraId="60AA9733"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num="2" w:space="708"/>
          <w:docGrid w:linePitch="360"/>
        </w:sectPr>
      </w:pPr>
    </w:p>
    <w:p w14:paraId="0B7773F8" w14:textId="77777777" w:rsidR="0033303B" w:rsidRPr="0033303B" w:rsidRDefault="0033303B" w:rsidP="0033303B">
      <w:pPr>
        <w:rPr>
          <w:szCs w:val="24"/>
        </w:rPr>
      </w:pPr>
      <w:r w:rsidRPr="0033303B">
        <w:lastRenderedPageBreak/>
        <w:drawing>
          <wp:anchor distT="0" distB="0" distL="114300" distR="114300" simplePos="0" relativeHeight="251662336" behindDoc="0" locked="0" layoutInCell="1" allowOverlap="1" wp14:anchorId="476D3959" wp14:editId="443DD6A3">
            <wp:simplePos x="0" y="0"/>
            <wp:positionH relativeFrom="column">
              <wp:posOffset>3004185</wp:posOffset>
            </wp:positionH>
            <wp:positionV relativeFrom="paragraph">
              <wp:posOffset>0</wp:posOffset>
            </wp:positionV>
            <wp:extent cx="2873375" cy="2743200"/>
            <wp:effectExtent l="0" t="0" r="317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33303B">
        <w:drawing>
          <wp:anchor distT="0" distB="0" distL="114300" distR="114300" simplePos="0" relativeHeight="251661312" behindDoc="0" locked="0" layoutInCell="1" allowOverlap="1" wp14:anchorId="135FF3C0" wp14:editId="6316B9A1">
            <wp:simplePos x="0" y="0"/>
            <wp:positionH relativeFrom="column">
              <wp:posOffset>0</wp:posOffset>
            </wp:positionH>
            <wp:positionV relativeFrom="paragraph">
              <wp:posOffset>0</wp:posOffset>
            </wp:positionV>
            <wp:extent cx="2752725" cy="2743200"/>
            <wp:effectExtent l="0" t="0" r="9525"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00A8AEEA"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space="708"/>
          <w:docGrid w:linePitch="360"/>
        </w:sectPr>
      </w:pPr>
    </w:p>
    <w:p w14:paraId="624AF4DD" w14:textId="77777777" w:rsidR="0033303B" w:rsidRPr="0033303B" w:rsidRDefault="0033303B" w:rsidP="0033303B">
      <w:pPr>
        <w:rPr>
          <w:b/>
          <w:szCs w:val="24"/>
        </w:rPr>
      </w:pPr>
    </w:p>
    <w:p w14:paraId="70A0A26B" w14:textId="77777777" w:rsidR="0033303B" w:rsidRPr="0033303B" w:rsidRDefault="0033303B" w:rsidP="0033303B">
      <w:pPr>
        <w:spacing w:after="160" w:line="259" w:lineRule="auto"/>
        <w:rPr>
          <w:b/>
          <w:szCs w:val="24"/>
        </w:rPr>
      </w:pPr>
      <w:r w:rsidRPr="0033303B">
        <w:rPr>
          <w:b/>
          <w:szCs w:val="24"/>
        </w:rPr>
        <w:t>Основни теми на петициите</w:t>
      </w:r>
    </w:p>
    <w:p w14:paraId="5D83C9E5" w14:textId="77777777" w:rsidR="0033303B" w:rsidRPr="0033303B" w:rsidRDefault="0033303B" w:rsidP="0033303B">
      <w:pPr>
        <w:spacing w:after="160" w:line="259" w:lineRule="auto"/>
        <w:jc w:val="both"/>
        <w:rPr>
          <w:szCs w:val="24"/>
        </w:rPr>
      </w:pPr>
      <w:r w:rsidRPr="0033303B">
        <w:t xml:space="preserve">Въпросите, свързани с околната среда, са основната област на безпокойство за вносителите на петиции през 2017 г. (увеличение с 3,8 процентни пункта), следвано от основните права и областта на правосъдието, чийто дял малко или повече е останал непроменен в процентни пунктове. Петициите по въпроси, свързани с вътрешния пазар, намаляха с 5 процентни пункта. </w:t>
      </w:r>
    </w:p>
    <w:p w14:paraId="23E54D1B" w14:textId="77777777" w:rsidR="0033303B" w:rsidRPr="0033303B" w:rsidRDefault="0033303B" w:rsidP="0033303B">
      <w:pPr>
        <w:rPr>
          <w:szCs w:val="24"/>
        </w:rPr>
        <w:sectPr w:rsidR="0033303B" w:rsidRPr="0033303B" w:rsidSect="00711633">
          <w:type w:val="continuous"/>
          <w:pgSz w:w="11906" w:h="16838"/>
          <w:pgMar w:top="1440" w:right="1440" w:bottom="1440" w:left="1440" w:header="708" w:footer="708" w:gutter="0"/>
          <w:cols w:space="708"/>
          <w:docGrid w:linePitch="360"/>
        </w:sectPr>
      </w:pPr>
    </w:p>
    <w:p w14:paraId="2ECBC267" w14:textId="77777777" w:rsidR="0033303B" w:rsidRPr="0033303B" w:rsidRDefault="0033303B" w:rsidP="0033303B">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546"/>
      </w:tblGrid>
      <w:tr w:rsidR="0033303B" w:rsidRPr="0033303B" w14:paraId="503CB41C" w14:textId="77777777" w:rsidTr="005B076E">
        <w:tc>
          <w:tcPr>
            <w:tcW w:w="4480" w:type="dxa"/>
          </w:tcPr>
          <w:p w14:paraId="59EDA8BB" w14:textId="77777777" w:rsidR="0033303B" w:rsidRPr="0033303B" w:rsidRDefault="0033303B" w:rsidP="005B076E">
            <w:pPr>
              <w:rPr>
                <w:szCs w:val="24"/>
              </w:rPr>
            </w:pPr>
            <w:r w:rsidRPr="0033303B">
              <w:t>2017</w:t>
            </w:r>
          </w:p>
          <w:p w14:paraId="0D6EFA6F" w14:textId="77777777" w:rsidR="0033303B" w:rsidRPr="0033303B" w:rsidRDefault="0033303B" w:rsidP="005B076E">
            <w:pPr>
              <w:rPr>
                <w:szCs w:val="24"/>
              </w:rPr>
            </w:pPr>
          </w:p>
        </w:tc>
        <w:tc>
          <w:tcPr>
            <w:tcW w:w="4546" w:type="dxa"/>
          </w:tcPr>
          <w:p w14:paraId="758A2865" w14:textId="77777777" w:rsidR="0033303B" w:rsidRPr="0033303B" w:rsidRDefault="0033303B" w:rsidP="005B076E">
            <w:pPr>
              <w:rPr>
                <w:szCs w:val="24"/>
              </w:rPr>
            </w:pPr>
            <w:r w:rsidRPr="0033303B">
              <w:t>2016</w:t>
            </w:r>
          </w:p>
        </w:tc>
      </w:tr>
      <w:tr w:rsidR="0033303B" w:rsidRPr="0033303B" w14:paraId="09127FF2" w14:textId="77777777" w:rsidTr="005B076E">
        <w:tc>
          <w:tcPr>
            <w:tcW w:w="4480" w:type="dxa"/>
          </w:tcPr>
          <w:tbl>
            <w:tblPr>
              <w:tblW w:w="4537" w:type="dxa"/>
              <w:tblLook w:val="04A0" w:firstRow="1" w:lastRow="0" w:firstColumn="1" w:lastColumn="0" w:noHBand="0" w:noVBand="1"/>
            </w:tblPr>
            <w:tblGrid>
              <w:gridCol w:w="2251"/>
              <w:gridCol w:w="1330"/>
              <w:gridCol w:w="673"/>
            </w:tblGrid>
            <w:tr w:rsidR="0033303B" w:rsidRPr="0033303B" w14:paraId="079E1173" w14:textId="77777777" w:rsidTr="005B076E">
              <w:trPr>
                <w:trHeight w:val="360"/>
              </w:trPr>
              <w:tc>
                <w:tcPr>
                  <w:tcW w:w="241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3D6751B" w14:textId="77777777" w:rsidR="0033303B" w:rsidRPr="0033303B" w:rsidRDefault="0033303B" w:rsidP="005B076E">
                  <w:pPr>
                    <w:jc w:val="center"/>
                    <w:rPr>
                      <w:b/>
                      <w:bCs/>
                      <w:color w:val="FFFFFF"/>
                      <w:szCs w:val="24"/>
                    </w:rPr>
                  </w:pPr>
                  <w:r w:rsidRPr="0033303B">
                    <w:rPr>
                      <w:b/>
                      <w:bCs/>
                      <w:color w:val="FFFFFF"/>
                      <w:szCs w:val="24"/>
                    </w:rPr>
                    <w:t>Теми на петициите</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15576BF8" w14:textId="77777777" w:rsidR="0033303B" w:rsidRPr="0033303B" w:rsidRDefault="0033303B" w:rsidP="005B076E">
                  <w:pPr>
                    <w:jc w:val="center"/>
                    <w:rPr>
                      <w:b/>
                      <w:bCs/>
                      <w:color w:val="FFFFFF"/>
                      <w:szCs w:val="24"/>
                    </w:rPr>
                  </w:pPr>
                  <w:r w:rsidRPr="0033303B">
                    <w:rPr>
                      <w:b/>
                      <w:bCs/>
                      <w:color w:val="FFFFFF"/>
                      <w:szCs w:val="24"/>
                    </w:rPr>
                    <w:t>Брой на петициите</w:t>
                  </w:r>
                </w:p>
              </w:tc>
              <w:tc>
                <w:tcPr>
                  <w:tcW w:w="709" w:type="dxa"/>
                  <w:tcBorders>
                    <w:top w:val="single" w:sz="4" w:space="0" w:color="CCCCFF"/>
                    <w:left w:val="nil"/>
                    <w:bottom w:val="single" w:sz="4" w:space="0" w:color="CCCCFF"/>
                    <w:right w:val="single" w:sz="4" w:space="0" w:color="CCCCFF"/>
                  </w:tcBorders>
                  <w:shd w:val="clear" w:color="FFFFFF" w:fill="666699"/>
                  <w:noWrap/>
                  <w:vAlign w:val="center"/>
                  <w:hideMark/>
                </w:tcPr>
                <w:p w14:paraId="55D5D6CB"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03C2396D"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56102B3D" w14:textId="77777777" w:rsidR="0033303B" w:rsidRPr="0033303B" w:rsidRDefault="0033303B" w:rsidP="005B076E">
                  <w:pPr>
                    <w:rPr>
                      <w:color w:val="000000"/>
                      <w:szCs w:val="24"/>
                    </w:rPr>
                  </w:pPr>
                  <w:r w:rsidRPr="0033303B">
                    <w:rPr>
                      <w:color w:val="000000"/>
                      <w:szCs w:val="24"/>
                    </w:rPr>
                    <w:t>Околна среда</w:t>
                  </w:r>
                </w:p>
              </w:tc>
              <w:tc>
                <w:tcPr>
                  <w:tcW w:w="1417" w:type="dxa"/>
                  <w:tcBorders>
                    <w:top w:val="nil"/>
                    <w:left w:val="nil"/>
                    <w:bottom w:val="single" w:sz="4" w:space="0" w:color="CCCCFF"/>
                    <w:right w:val="single" w:sz="4" w:space="0" w:color="CCCCFF"/>
                  </w:tcBorders>
                  <w:shd w:val="clear" w:color="FFFFFF" w:fill="FFFFFF"/>
                  <w:noWrap/>
                  <w:vAlign w:val="center"/>
                  <w:hideMark/>
                </w:tcPr>
                <w:p w14:paraId="4557A16C" w14:textId="77777777" w:rsidR="0033303B" w:rsidRPr="0033303B" w:rsidRDefault="0033303B" w:rsidP="005B076E">
                  <w:pPr>
                    <w:jc w:val="right"/>
                    <w:rPr>
                      <w:color w:val="000000"/>
                      <w:szCs w:val="24"/>
                    </w:rPr>
                  </w:pPr>
                  <w:r w:rsidRPr="0033303B">
                    <w:rPr>
                      <w:color w:val="000000"/>
                      <w:szCs w:val="24"/>
                    </w:rPr>
                    <w:t>199</w:t>
                  </w:r>
                </w:p>
              </w:tc>
              <w:tc>
                <w:tcPr>
                  <w:tcW w:w="709" w:type="dxa"/>
                  <w:tcBorders>
                    <w:top w:val="nil"/>
                    <w:left w:val="nil"/>
                    <w:bottom w:val="single" w:sz="4" w:space="0" w:color="CCCCFF"/>
                    <w:right w:val="single" w:sz="4" w:space="0" w:color="CCCCFF"/>
                  </w:tcBorders>
                  <w:shd w:val="clear" w:color="FFFFFF" w:fill="FFFFFF"/>
                  <w:noWrap/>
                  <w:vAlign w:val="center"/>
                  <w:hideMark/>
                </w:tcPr>
                <w:p w14:paraId="4DD8730B" w14:textId="77777777" w:rsidR="0033303B" w:rsidRPr="0033303B" w:rsidRDefault="0033303B" w:rsidP="005B076E">
                  <w:pPr>
                    <w:jc w:val="right"/>
                    <w:rPr>
                      <w:color w:val="000000"/>
                      <w:szCs w:val="24"/>
                    </w:rPr>
                  </w:pPr>
                  <w:r w:rsidRPr="0033303B">
                    <w:rPr>
                      <w:color w:val="000000"/>
                      <w:szCs w:val="24"/>
                    </w:rPr>
                    <w:t>10.0</w:t>
                  </w:r>
                </w:p>
              </w:tc>
            </w:tr>
            <w:tr w:rsidR="0033303B" w:rsidRPr="0033303B" w14:paraId="0FB9A65D"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4D21C890" w14:textId="77777777" w:rsidR="0033303B" w:rsidRPr="0033303B" w:rsidRDefault="0033303B" w:rsidP="005B076E">
                  <w:pPr>
                    <w:rPr>
                      <w:color w:val="000000"/>
                      <w:szCs w:val="24"/>
                    </w:rPr>
                  </w:pPr>
                  <w:r w:rsidRPr="0033303B">
                    <w:rPr>
                      <w:color w:val="000000"/>
                      <w:szCs w:val="24"/>
                    </w:rPr>
                    <w:t>Основни права</w:t>
                  </w:r>
                </w:p>
              </w:tc>
              <w:tc>
                <w:tcPr>
                  <w:tcW w:w="1417" w:type="dxa"/>
                  <w:tcBorders>
                    <w:top w:val="nil"/>
                    <w:left w:val="nil"/>
                    <w:bottom w:val="single" w:sz="4" w:space="0" w:color="CCCCFF"/>
                    <w:right w:val="single" w:sz="4" w:space="0" w:color="CCCCFF"/>
                  </w:tcBorders>
                  <w:shd w:val="clear" w:color="FFFFFF" w:fill="FFFFFF"/>
                  <w:noWrap/>
                  <w:vAlign w:val="center"/>
                  <w:hideMark/>
                </w:tcPr>
                <w:p w14:paraId="24181E78" w14:textId="77777777" w:rsidR="0033303B" w:rsidRPr="0033303B" w:rsidRDefault="0033303B" w:rsidP="005B076E">
                  <w:pPr>
                    <w:jc w:val="right"/>
                    <w:rPr>
                      <w:color w:val="000000"/>
                      <w:szCs w:val="24"/>
                    </w:rPr>
                  </w:pPr>
                  <w:r w:rsidRPr="0033303B">
                    <w:rPr>
                      <w:color w:val="000000"/>
                      <w:szCs w:val="24"/>
                    </w:rPr>
                    <w:t>167</w:t>
                  </w:r>
                </w:p>
              </w:tc>
              <w:tc>
                <w:tcPr>
                  <w:tcW w:w="709" w:type="dxa"/>
                  <w:tcBorders>
                    <w:top w:val="nil"/>
                    <w:left w:val="nil"/>
                    <w:bottom w:val="single" w:sz="4" w:space="0" w:color="CCCCFF"/>
                    <w:right w:val="single" w:sz="4" w:space="0" w:color="CCCCFF"/>
                  </w:tcBorders>
                  <w:shd w:val="clear" w:color="FFFFFF" w:fill="FFFFFF"/>
                  <w:noWrap/>
                  <w:vAlign w:val="center"/>
                  <w:hideMark/>
                </w:tcPr>
                <w:p w14:paraId="4C55B97C" w14:textId="77777777" w:rsidR="0033303B" w:rsidRPr="0033303B" w:rsidRDefault="0033303B" w:rsidP="005B076E">
                  <w:pPr>
                    <w:jc w:val="right"/>
                    <w:rPr>
                      <w:color w:val="000000"/>
                      <w:szCs w:val="24"/>
                    </w:rPr>
                  </w:pPr>
                  <w:r w:rsidRPr="0033303B">
                    <w:rPr>
                      <w:color w:val="000000"/>
                      <w:szCs w:val="24"/>
                    </w:rPr>
                    <w:t>8.4</w:t>
                  </w:r>
                </w:p>
              </w:tc>
            </w:tr>
            <w:tr w:rsidR="0033303B" w:rsidRPr="0033303B" w14:paraId="386F3333"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602FE8DE" w14:textId="77777777" w:rsidR="0033303B" w:rsidRPr="0033303B" w:rsidRDefault="0033303B" w:rsidP="005B076E">
                  <w:pPr>
                    <w:rPr>
                      <w:color w:val="000000"/>
                      <w:szCs w:val="24"/>
                    </w:rPr>
                  </w:pPr>
                  <w:r w:rsidRPr="0033303B">
                    <w:rPr>
                      <w:color w:val="000000"/>
                      <w:szCs w:val="24"/>
                    </w:rPr>
                    <w:t>Правосъдие</w:t>
                  </w:r>
                </w:p>
              </w:tc>
              <w:tc>
                <w:tcPr>
                  <w:tcW w:w="1417" w:type="dxa"/>
                  <w:tcBorders>
                    <w:top w:val="nil"/>
                    <w:left w:val="nil"/>
                    <w:bottom w:val="single" w:sz="4" w:space="0" w:color="CCCCFF"/>
                    <w:right w:val="single" w:sz="4" w:space="0" w:color="CCCCFF"/>
                  </w:tcBorders>
                  <w:shd w:val="clear" w:color="FFFFFF" w:fill="FFFFFF"/>
                  <w:noWrap/>
                  <w:vAlign w:val="center"/>
                  <w:hideMark/>
                </w:tcPr>
                <w:p w14:paraId="2905777F" w14:textId="77777777" w:rsidR="0033303B" w:rsidRPr="0033303B" w:rsidRDefault="0033303B" w:rsidP="005B076E">
                  <w:pPr>
                    <w:jc w:val="right"/>
                    <w:rPr>
                      <w:color w:val="000000"/>
                      <w:szCs w:val="24"/>
                    </w:rPr>
                  </w:pPr>
                  <w:r w:rsidRPr="0033303B">
                    <w:rPr>
                      <w:color w:val="000000"/>
                      <w:szCs w:val="24"/>
                    </w:rPr>
                    <w:t>148</w:t>
                  </w:r>
                </w:p>
              </w:tc>
              <w:tc>
                <w:tcPr>
                  <w:tcW w:w="709" w:type="dxa"/>
                  <w:tcBorders>
                    <w:top w:val="nil"/>
                    <w:left w:val="nil"/>
                    <w:bottom w:val="single" w:sz="4" w:space="0" w:color="CCCCFF"/>
                    <w:right w:val="single" w:sz="4" w:space="0" w:color="CCCCFF"/>
                  </w:tcBorders>
                  <w:shd w:val="clear" w:color="FFFFFF" w:fill="FFFFFF"/>
                  <w:noWrap/>
                  <w:vAlign w:val="center"/>
                  <w:hideMark/>
                </w:tcPr>
                <w:p w14:paraId="51C61DB9" w14:textId="77777777" w:rsidR="0033303B" w:rsidRPr="0033303B" w:rsidRDefault="0033303B" w:rsidP="005B076E">
                  <w:pPr>
                    <w:jc w:val="right"/>
                    <w:rPr>
                      <w:color w:val="000000"/>
                      <w:szCs w:val="24"/>
                    </w:rPr>
                  </w:pPr>
                  <w:r w:rsidRPr="0033303B">
                    <w:rPr>
                      <w:color w:val="000000"/>
                      <w:szCs w:val="24"/>
                    </w:rPr>
                    <w:t>7.4</w:t>
                  </w:r>
                </w:p>
              </w:tc>
            </w:tr>
            <w:tr w:rsidR="0033303B" w:rsidRPr="0033303B" w14:paraId="0EF6FD98"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1D0C0212" w14:textId="77777777" w:rsidR="0033303B" w:rsidRPr="0033303B" w:rsidRDefault="0033303B" w:rsidP="005B076E">
                  <w:pPr>
                    <w:rPr>
                      <w:color w:val="000000"/>
                      <w:szCs w:val="24"/>
                    </w:rPr>
                  </w:pPr>
                  <w:r w:rsidRPr="0033303B">
                    <w:rPr>
                      <w:color w:val="000000"/>
                      <w:szCs w:val="24"/>
                    </w:rPr>
                    <w:t>Вътрешен пазар</w:t>
                  </w:r>
                </w:p>
              </w:tc>
              <w:tc>
                <w:tcPr>
                  <w:tcW w:w="1417" w:type="dxa"/>
                  <w:tcBorders>
                    <w:top w:val="nil"/>
                    <w:left w:val="nil"/>
                    <w:bottom w:val="single" w:sz="4" w:space="0" w:color="CCCCFF"/>
                    <w:right w:val="single" w:sz="4" w:space="0" w:color="CCCCFF"/>
                  </w:tcBorders>
                  <w:shd w:val="clear" w:color="FFFFFF" w:fill="FFFFFF"/>
                  <w:noWrap/>
                  <w:vAlign w:val="center"/>
                  <w:hideMark/>
                </w:tcPr>
                <w:p w14:paraId="70B83E82" w14:textId="77777777" w:rsidR="0033303B" w:rsidRPr="0033303B" w:rsidRDefault="0033303B" w:rsidP="005B076E">
                  <w:pPr>
                    <w:jc w:val="right"/>
                    <w:rPr>
                      <w:color w:val="000000"/>
                      <w:szCs w:val="24"/>
                    </w:rPr>
                  </w:pPr>
                  <w:r w:rsidRPr="0033303B">
                    <w:rPr>
                      <w:color w:val="000000"/>
                      <w:szCs w:val="24"/>
                    </w:rPr>
                    <w:t>110</w:t>
                  </w:r>
                </w:p>
              </w:tc>
              <w:tc>
                <w:tcPr>
                  <w:tcW w:w="709" w:type="dxa"/>
                  <w:tcBorders>
                    <w:top w:val="nil"/>
                    <w:left w:val="nil"/>
                    <w:bottom w:val="single" w:sz="4" w:space="0" w:color="CCCCFF"/>
                    <w:right w:val="single" w:sz="4" w:space="0" w:color="CCCCFF"/>
                  </w:tcBorders>
                  <w:shd w:val="clear" w:color="FFFFFF" w:fill="FFFFFF"/>
                  <w:noWrap/>
                  <w:vAlign w:val="center"/>
                  <w:hideMark/>
                </w:tcPr>
                <w:p w14:paraId="6742F67D" w14:textId="77777777" w:rsidR="0033303B" w:rsidRPr="0033303B" w:rsidRDefault="0033303B" w:rsidP="005B076E">
                  <w:pPr>
                    <w:jc w:val="right"/>
                    <w:rPr>
                      <w:color w:val="000000"/>
                      <w:szCs w:val="24"/>
                    </w:rPr>
                  </w:pPr>
                  <w:r w:rsidRPr="0033303B">
                    <w:rPr>
                      <w:color w:val="000000"/>
                      <w:szCs w:val="24"/>
                    </w:rPr>
                    <w:t>5.5</w:t>
                  </w:r>
                </w:p>
              </w:tc>
            </w:tr>
            <w:tr w:rsidR="0033303B" w:rsidRPr="0033303B" w14:paraId="4E83BEDE"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346B5E13" w14:textId="77777777" w:rsidR="0033303B" w:rsidRPr="0033303B" w:rsidRDefault="0033303B" w:rsidP="005B076E">
                  <w:pPr>
                    <w:rPr>
                      <w:color w:val="000000"/>
                      <w:szCs w:val="24"/>
                    </w:rPr>
                  </w:pPr>
                  <w:r w:rsidRPr="0033303B">
                    <w:rPr>
                      <w:color w:val="000000"/>
                      <w:szCs w:val="24"/>
                    </w:rPr>
                    <w:t>Социални въпроси</w:t>
                  </w:r>
                </w:p>
              </w:tc>
              <w:tc>
                <w:tcPr>
                  <w:tcW w:w="1417" w:type="dxa"/>
                  <w:tcBorders>
                    <w:top w:val="nil"/>
                    <w:left w:val="nil"/>
                    <w:bottom w:val="single" w:sz="4" w:space="0" w:color="CCCCFF"/>
                    <w:right w:val="single" w:sz="4" w:space="0" w:color="CCCCFF"/>
                  </w:tcBorders>
                  <w:shd w:val="clear" w:color="FFFFFF" w:fill="FFFFFF"/>
                  <w:noWrap/>
                  <w:vAlign w:val="center"/>
                  <w:hideMark/>
                </w:tcPr>
                <w:p w14:paraId="1604DF0A" w14:textId="77777777" w:rsidR="0033303B" w:rsidRPr="0033303B" w:rsidRDefault="0033303B" w:rsidP="005B076E">
                  <w:pPr>
                    <w:jc w:val="right"/>
                    <w:rPr>
                      <w:color w:val="000000"/>
                      <w:szCs w:val="24"/>
                    </w:rPr>
                  </w:pPr>
                  <w:r w:rsidRPr="0033303B">
                    <w:rPr>
                      <w:color w:val="000000"/>
                      <w:szCs w:val="24"/>
                    </w:rPr>
                    <w:t>95</w:t>
                  </w:r>
                </w:p>
              </w:tc>
              <w:tc>
                <w:tcPr>
                  <w:tcW w:w="709" w:type="dxa"/>
                  <w:tcBorders>
                    <w:top w:val="nil"/>
                    <w:left w:val="nil"/>
                    <w:bottom w:val="single" w:sz="4" w:space="0" w:color="CCCCFF"/>
                    <w:right w:val="single" w:sz="4" w:space="0" w:color="CCCCFF"/>
                  </w:tcBorders>
                  <w:shd w:val="clear" w:color="FFFFFF" w:fill="FFFFFF"/>
                  <w:noWrap/>
                  <w:vAlign w:val="center"/>
                  <w:hideMark/>
                </w:tcPr>
                <w:p w14:paraId="53ED37D5" w14:textId="77777777" w:rsidR="0033303B" w:rsidRPr="0033303B" w:rsidRDefault="0033303B" w:rsidP="005B076E">
                  <w:pPr>
                    <w:jc w:val="right"/>
                    <w:rPr>
                      <w:color w:val="000000"/>
                      <w:szCs w:val="24"/>
                    </w:rPr>
                  </w:pPr>
                  <w:r w:rsidRPr="0033303B">
                    <w:rPr>
                      <w:color w:val="000000"/>
                      <w:szCs w:val="24"/>
                    </w:rPr>
                    <w:t>4.8</w:t>
                  </w:r>
                </w:p>
              </w:tc>
            </w:tr>
            <w:tr w:rsidR="0033303B" w:rsidRPr="0033303B" w14:paraId="27EB9FC7"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2F3E3858" w14:textId="77777777" w:rsidR="0033303B" w:rsidRPr="0033303B" w:rsidRDefault="0033303B" w:rsidP="005B076E">
                  <w:pPr>
                    <w:rPr>
                      <w:color w:val="000000"/>
                      <w:szCs w:val="24"/>
                    </w:rPr>
                  </w:pPr>
                  <w:r w:rsidRPr="0033303B">
                    <w:rPr>
                      <w:color w:val="000000"/>
                      <w:szCs w:val="24"/>
                    </w:rPr>
                    <w:t>Заетост</w:t>
                  </w:r>
                </w:p>
              </w:tc>
              <w:tc>
                <w:tcPr>
                  <w:tcW w:w="1417" w:type="dxa"/>
                  <w:tcBorders>
                    <w:top w:val="nil"/>
                    <w:left w:val="nil"/>
                    <w:bottom w:val="single" w:sz="4" w:space="0" w:color="CCCCFF"/>
                    <w:right w:val="single" w:sz="4" w:space="0" w:color="CCCCFF"/>
                  </w:tcBorders>
                  <w:shd w:val="clear" w:color="FFFFFF" w:fill="FFFFFF"/>
                  <w:noWrap/>
                  <w:vAlign w:val="center"/>
                  <w:hideMark/>
                </w:tcPr>
                <w:p w14:paraId="01045ED1" w14:textId="77777777" w:rsidR="0033303B" w:rsidRPr="0033303B" w:rsidRDefault="0033303B" w:rsidP="005B076E">
                  <w:pPr>
                    <w:jc w:val="right"/>
                    <w:rPr>
                      <w:color w:val="000000"/>
                      <w:szCs w:val="24"/>
                    </w:rPr>
                  </w:pPr>
                  <w:r w:rsidRPr="0033303B">
                    <w:rPr>
                      <w:color w:val="000000"/>
                      <w:szCs w:val="24"/>
                    </w:rPr>
                    <w:t>94</w:t>
                  </w:r>
                </w:p>
              </w:tc>
              <w:tc>
                <w:tcPr>
                  <w:tcW w:w="709" w:type="dxa"/>
                  <w:tcBorders>
                    <w:top w:val="nil"/>
                    <w:left w:val="nil"/>
                    <w:bottom w:val="single" w:sz="4" w:space="0" w:color="CCCCFF"/>
                    <w:right w:val="single" w:sz="4" w:space="0" w:color="CCCCFF"/>
                  </w:tcBorders>
                  <w:shd w:val="clear" w:color="FFFFFF" w:fill="FFFFFF"/>
                  <w:noWrap/>
                  <w:vAlign w:val="center"/>
                  <w:hideMark/>
                </w:tcPr>
                <w:p w14:paraId="1FB6190C" w14:textId="77777777" w:rsidR="0033303B" w:rsidRPr="0033303B" w:rsidRDefault="0033303B" w:rsidP="005B076E">
                  <w:pPr>
                    <w:jc w:val="right"/>
                    <w:rPr>
                      <w:color w:val="000000"/>
                      <w:szCs w:val="24"/>
                    </w:rPr>
                  </w:pPr>
                  <w:r w:rsidRPr="0033303B">
                    <w:rPr>
                      <w:color w:val="000000"/>
                      <w:szCs w:val="24"/>
                    </w:rPr>
                    <w:t>4.7</w:t>
                  </w:r>
                </w:p>
              </w:tc>
            </w:tr>
            <w:tr w:rsidR="0033303B" w:rsidRPr="0033303B" w14:paraId="1847D65F"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155D6009" w14:textId="77777777" w:rsidR="0033303B" w:rsidRPr="0033303B" w:rsidRDefault="0033303B" w:rsidP="005B076E">
                  <w:pPr>
                    <w:rPr>
                      <w:color w:val="000000"/>
                      <w:szCs w:val="24"/>
                    </w:rPr>
                  </w:pPr>
                  <w:r w:rsidRPr="0033303B">
                    <w:rPr>
                      <w:color w:val="000000"/>
                      <w:szCs w:val="24"/>
                    </w:rPr>
                    <w:t>Здравеопазване</w:t>
                  </w:r>
                </w:p>
              </w:tc>
              <w:tc>
                <w:tcPr>
                  <w:tcW w:w="1417" w:type="dxa"/>
                  <w:tcBorders>
                    <w:top w:val="nil"/>
                    <w:left w:val="nil"/>
                    <w:bottom w:val="single" w:sz="4" w:space="0" w:color="CCCCFF"/>
                    <w:right w:val="single" w:sz="4" w:space="0" w:color="CCCCFF"/>
                  </w:tcBorders>
                  <w:shd w:val="clear" w:color="FFFFFF" w:fill="FFFFFF"/>
                  <w:noWrap/>
                  <w:vAlign w:val="center"/>
                  <w:hideMark/>
                </w:tcPr>
                <w:p w14:paraId="3A3A0715" w14:textId="77777777" w:rsidR="0033303B" w:rsidRPr="0033303B" w:rsidRDefault="0033303B" w:rsidP="005B076E">
                  <w:pPr>
                    <w:jc w:val="right"/>
                    <w:rPr>
                      <w:color w:val="000000"/>
                      <w:szCs w:val="24"/>
                    </w:rPr>
                  </w:pPr>
                  <w:r w:rsidRPr="0033303B">
                    <w:rPr>
                      <w:color w:val="000000"/>
                      <w:szCs w:val="24"/>
                    </w:rPr>
                    <w:t>84</w:t>
                  </w:r>
                </w:p>
              </w:tc>
              <w:tc>
                <w:tcPr>
                  <w:tcW w:w="709" w:type="dxa"/>
                  <w:tcBorders>
                    <w:top w:val="nil"/>
                    <w:left w:val="nil"/>
                    <w:bottom w:val="single" w:sz="4" w:space="0" w:color="CCCCFF"/>
                    <w:right w:val="single" w:sz="4" w:space="0" w:color="CCCCFF"/>
                  </w:tcBorders>
                  <w:shd w:val="clear" w:color="FFFFFF" w:fill="FFFFFF"/>
                  <w:noWrap/>
                  <w:vAlign w:val="center"/>
                  <w:hideMark/>
                </w:tcPr>
                <w:p w14:paraId="5F2E8F99" w14:textId="77777777" w:rsidR="0033303B" w:rsidRPr="0033303B" w:rsidRDefault="0033303B" w:rsidP="005B076E">
                  <w:pPr>
                    <w:jc w:val="right"/>
                    <w:rPr>
                      <w:color w:val="000000"/>
                      <w:szCs w:val="24"/>
                    </w:rPr>
                  </w:pPr>
                  <w:r w:rsidRPr="0033303B">
                    <w:rPr>
                      <w:color w:val="000000"/>
                      <w:szCs w:val="24"/>
                    </w:rPr>
                    <w:t>4.2</w:t>
                  </w:r>
                </w:p>
              </w:tc>
            </w:tr>
            <w:tr w:rsidR="0033303B" w:rsidRPr="0033303B" w14:paraId="1ABEC182"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16F7C2AC" w14:textId="77777777" w:rsidR="0033303B" w:rsidRPr="0033303B" w:rsidRDefault="0033303B" w:rsidP="005B076E">
                  <w:pPr>
                    <w:rPr>
                      <w:color w:val="000000"/>
                      <w:szCs w:val="24"/>
                    </w:rPr>
                  </w:pPr>
                  <w:r w:rsidRPr="0033303B">
                    <w:rPr>
                      <w:color w:val="000000"/>
                      <w:szCs w:val="24"/>
                    </w:rPr>
                    <w:t>Транспорт</w:t>
                  </w:r>
                </w:p>
              </w:tc>
              <w:tc>
                <w:tcPr>
                  <w:tcW w:w="1417" w:type="dxa"/>
                  <w:tcBorders>
                    <w:top w:val="nil"/>
                    <w:left w:val="nil"/>
                    <w:bottom w:val="single" w:sz="4" w:space="0" w:color="CCCCFF"/>
                    <w:right w:val="single" w:sz="4" w:space="0" w:color="CCCCFF"/>
                  </w:tcBorders>
                  <w:shd w:val="clear" w:color="FFFFFF" w:fill="FFFFFF"/>
                  <w:noWrap/>
                  <w:vAlign w:val="center"/>
                  <w:hideMark/>
                </w:tcPr>
                <w:p w14:paraId="39F3F0E4" w14:textId="77777777" w:rsidR="0033303B" w:rsidRPr="0033303B" w:rsidRDefault="0033303B" w:rsidP="005B076E">
                  <w:pPr>
                    <w:jc w:val="right"/>
                    <w:rPr>
                      <w:color w:val="000000"/>
                      <w:szCs w:val="24"/>
                    </w:rPr>
                  </w:pPr>
                  <w:r w:rsidRPr="0033303B">
                    <w:rPr>
                      <w:color w:val="000000"/>
                      <w:szCs w:val="24"/>
                    </w:rPr>
                    <w:t>57</w:t>
                  </w:r>
                </w:p>
              </w:tc>
              <w:tc>
                <w:tcPr>
                  <w:tcW w:w="709" w:type="dxa"/>
                  <w:tcBorders>
                    <w:top w:val="nil"/>
                    <w:left w:val="nil"/>
                    <w:bottom w:val="single" w:sz="4" w:space="0" w:color="CCCCFF"/>
                    <w:right w:val="single" w:sz="4" w:space="0" w:color="CCCCFF"/>
                  </w:tcBorders>
                  <w:shd w:val="clear" w:color="FFFFFF" w:fill="FFFFFF"/>
                  <w:noWrap/>
                  <w:vAlign w:val="center"/>
                  <w:hideMark/>
                </w:tcPr>
                <w:p w14:paraId="5E6D1B57" w14:textId="77777777" w:rsidR="0033303B" w:rsidRPr="0033303B" w:rsidRDefault="0033303B" w:rsidP="005B076E">
                  <w:pPr>
                    <w:jc w:val="right"/>
                    <w:rPr>
                      <w:color w:val="000000"/>
                      <w:szCs w:val="24"/>
                    </w:rPr>
                  </w:pPr>
                  <w:r w:rsidRPr="0033303B">
                    <w:rPr>
                      <w:color w:val="000000"/>
                      <w:szCs w:val="24"/>
                    </w:rPr>
                    <w:t>2.9</w:t>
                  </w:r>
                </w:p>
              </w:tc>
            </w:tr>
            <w:tr w:rsidR="0033303B" w:rsidRPr="0033303B" w14:paraId="1B58F4F0"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23125718" w14:textId="77777777" w:rsidR="0033303B" w:rsidRPr="0033303B" w:rsidRDefault="0033303B" w:rsidP="005B076E">
                  <w:pPr>
                    <w:rPr>
                      <w:color w:val="000000"/>
                      <w:szCs w:val="24"/>
                    </w:rPr>
                  </w:pPr>
                  <w:r w:rsidRPr="0033303B">
                    <w:rPr>
                      <w:color w:val="000000"/>
                      <w:szCs w:val="24"/>
                    </w:rPr>
                    <w:t>Образование и култура</w:t>
                  </w:r>
                </w:p>
              </w:tc>
              <w:tc>
                <w:tcPr>
                  <w:tcW w:w="1417" w:type="dxa"/>
                  <w:tcBorders>
                    <w:top w:val="nil"/>
                    <w:left w:val="nil"/>
                    <w:bottom w:val="single" w:sz="4" w:space="0" w:color="CCCCFF"/>
                    <w:right w:val="single" w:sz="4" w:space="0" w:color="CCCCFF"/>
                  </w:tcBorders>
                  <w:shd w:val="clear" w:color="FFFFFF" w:fill="FFFFFF"/>
                  <w:noWrap/>
                  <w:vAlign w:val="center"/>
                  <w:hideMark/>
                </w:tcPr>
                <w:p w14:paraId="11A3F668" w14:textId="77777777" w:rsidR="0033303B" w:rsidRPr="0033303B" w:rsidRDefault="0033303B" w:rsidP="005B076E">
                  <w:pPr>
                    <w:jc w:val="right"/>
                    <w:rPr>
                      <w:color w:val="000000"/>
                      <w:szCs w:val="24"/>
                    </w:rPr>
                  </w:pPr>
                  <w:r w:rsidRPr="0033303B">
                    <w:rPr>
                      <w:color w:val="000000"/>
                      <w:szCs w:val="24"/>
                    </w:rPr>
                    <w:t>47</w:t>
                  </w:r>
                </w:p>
              </w:tc>
              <w:tc>
                <w:tcPr>
                  <w:tcW w:w="709" w:type="dxa"/>
                  <w:tcBorders>
                    <w:top w:val="nil"/>
                    <w:left w:val="nil"/>
                    <w:bottom w:val="single" w:sz="4" w:space="0" w:color="CCCCFF"/>
                    <w:right w:val="single" w:sz="4" w:space="0" w:color="CCCCFF"/>
                  </w:tcBorders>
                  <w:shd w:val="clear" w:color="FFFFFF" w:fill="FFFFFF"/>
                  <w:noWrap/>
                  <w:vAlign w:val="center"/>
                  <w:hideMark/>
                </w:tcPr>
                <w:p w14:paraId="5A30C095" w14:textId="77777777" w:rsidR="0033303B" w:rsidRPr="0033303B" w:rsidRDefault="0033303B" w:rsidP="005B076E">
                  <w:pPr>
                    <w:jc w:val="right"/>
                    <w:rPr>
                      <w:color w:val="000000"/>
                      <w:szCs w:val="24"/>
                    </w:rPr>
                  </w:pPr>
                  <w:r w:rsidRPr="0033303B">
                    <w:rPr>
                      <w:color w:val="000000"/>
                      <w:szCs w:val="24"/>
                    </w:rPr>
                    <w:t>2.4</w:t>
                  </w:r>
                </w:p>
              </w:tc>
            </w:tr>
            <w:tr w:rsidR="0033303B" w:rsidRPr="0033303B" w14:paraId="1F1B9B7C" w14:textId="77777777" w:rsidTr="005B076E">
              <w:trPr>
                <w:trHeight w:val="360"/>
              </w:trPr>
              <w:tc>
                <w:tcPr>
                  <w:tcW w:w="2411" w:type="dxa"/>
                  <w:tcBorders>
                    <w:top w:val="nil"/>
                    <w:left w:val="single" w:sz="4" w:space="0" w:color="CCCCFF"/>
                    <w:bottom w:val="single" w:sz="4" w:space="0" w:color="CCCCFF"/>
                    <w:right w:val="single" w:sz="4" w:space="0" w:color="CCCCFF"/>
                  </w:tcBorders>
                  <w:shd w:val="clear" w:color="FFFFFF" w:fill="FFFFFF"/>
                  <w:noWrap/>
                  <w:vAlign w:val="center"/>
                  <w:hideMark/>
                </w:tcPr>
                <w:p w14:paraId="3EB968BD" w14:textId="77777777" w:rsidR="0033303B" w:rsidRPr="0033303B" w:rsidRDefault="0033303B" w:rsidP="005B076E">
                  <w:pPr>
                    <w:rPr>
                      <w:color w:val="000000"/>
                      <w:szCs w:val="24"/>
                    </w:rPr>
                  </w:pPr>
                  <w:r w:rsidRPr="0033303B">
                    <w:rPr>
                      <w:color w:val="000000"/>
                      <w:szCs w:val="24"/>
                    </w:rPr>
                    <w:t>Имущество и реституция</w:t>
                  </w:r>
                </w:p>
              </w:tc>
              <w:tc>
                <w:tcPr>
                  <w:tcW w:w="1417" w:type="dxa"/>
                  <w:tcBorders>
                    <w:top w:val="nil"/>
                    <w:left w:val="nil"/>
                    <w:bottom w:val="single" w:sz="4" w:space="0" w:color="CCCCFF"/>
                    <w:right w:val="single" w:sz="4" w:space="0" w:color="CCCCFF"/>
                  </w:tcBorders>
                  <w:shd w:val="clear" w:color="FFFFFF" w:fill="FFFFFF"/>
                  <w:noWrap/>
                  <w:vAlign w:val="center"/>
                  <w:hideMark/>
                </w:tcPr>
                <w:p w14:paraId="69F3F46C" w14:textId="77777777" w:rsidR="0033303B" w:rsidRPr="0033303B" w:rsidRDefault="0033303B" w:rsidP="005B076E">
                  <w:pPr>
                    <w:jc w:val="right"/>
                    <w:rPr>
                      <w:color w:val="000000"/>
                      <w:szCs w:val="24"/>
                    </w:rPr>
                  </w:pPr>
                  <w:r w:rsidRPr="0033303B">
                    <w:rPr>
                      <w:color w:val="000000"/>
                      <w:szCs w:val="24"/>
                    </w:rPr>
                    <w:t>28</w:t>
                  </w:r>
                </w:p>
              </w:tc>
              <w:tc>
                <w:tcPr>
                  <w:tcW w:w="709" w:type="dxa"/>
                  <w:tcBorders>
                    <w:top w:val="nil"/>
                    <w:left w:val="nil"/>
                    <w:bottom w:val="single" w:sz="4" w:space="0" w:color="CCCCFF"/>
                    <w:right w:val="single" w:sz="4" w:space="0" w:color="CCCCFF"/>
                  </w:tcBorders>
                  <w:shd w:val="clear" w:color="FFFFFF" w:fill="FFFFFF"/>
                  <w:noWrap/>
                  <w:vAlign w:val="center"/>
                  <w:hideMark/>
                </w:tcPr>
                <w:p w14:paraId="4EF4C44D" w14:textId="77777777" w:rsidR="0033303B" w:rsidRPr="0033303B" w:rsidRDefault="0033303B" w:rsidP="005B076E">
                  <w:pPr>
                    <w:jc w:val="right"/>
                    <w:rPr>
                      <w:color w:val="000000"/>
                      <w:szCs w:val="24"/>
                    </w:rPr>
                  </w:pPr>
                  <w:r w:rsidRPr="0033303B">
                    <w:rPr>
                      <w:color w:val="000000"/>
                      <w:szCs w:val="24"/>
                    </w:rPr>
                    <w:t>1.4</w:t>
                  </w:r>
                </w:p>
              </w:tc>
            </w:tr>
          </w:tbl>
          <w:p w14:paraId="0128B1E7" w14:textId="77777777" w:rsidR="0033303B" w:rsidRPr="0033303B" w:rsidRDefault="0033303B" w:rsidP="005B076E">
            <w:pPr>
              <w:rPr>
                <w:szCs w:val="24"/>
              </w:rPr>
            </w:pPr>
          </w:p>
        </w:tc>
        <w:tc>
          <w:tcPr>
            <w:tcW w:w="4546" w:type="dxa"/>
          </w:tcPr>
          <w:tbl>
            <w:tblPr>
              <w:tblW w:w="4609" w:type="dxa"/>
              <w:tblLook w:val="04A0" w:firstRow="1" w:lastRow="0" w:firstColumn="1" w:lastColumn="0" w:noHBand="0" w:noVBand="1"/>
            </w:tblPr>
            <w:tblGrid>
              <w:gridCol w:w="2382"/>
              <w:gridCol w:w="1329"/>
              <w:gridCol w:w="609"/>
            </w:tblGrid>
            <w:tr w:rsidR="0033303B" w:rsidRPr="0033303B" w14:paraId="4A104B22" w14:textId="77777777" w:rsidTr="005B076E">
              <w:trPr>
                <w:trHeight w:val="360"/>
              </w:trPr>
              <w:tc>
                <w:tcPr>
                  <w:tcW w:w="255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13D93D5" w14:textId="77777777" w:rsidR="0033303B" w:rsidRPr="0033303B" w:rsidRDefault="0033303B" w:rsidP="005B076E">
                  <w:pPr>
                    <w:jc w:val="center"/>
                    <w:rPr>
                      <w:b/>
                      <w:bCs/>
                      <w:color w:val="FFFFFF"/>
                      <w:szCs w:val="24"/>
                    </w:rPr>
                  </w:pPr>
                  <w:r w:rsidRPr="0033303B">
                    <w:rPr>
                      <w:b/>
                      <w:bCs/>
                      <w:color w:val="FFFFFF"/>
                      <w:szCs w:val="24"/>
                    </w:rPr>
                    <w:t>Теми на петициите</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025D0C9A" w14:textId="77777777" w:rsidR="0033303B" w:rsidRPr="0033303B" w:rsidRDefault="0033303B" w:rsidP="005B076E">
                  <w:pPr>
                    <w:jc w:val="center"/>
                    <w:rPr>
                      <w:b/>
                      <w:bCs/>
                      <w:color w:val="FFFFFF"/>
                      <w:szCs w:val="24"/>
                    </w:rPr>
                  </w:pPr>
                  <w:r w:rsidRPr="0033303B">
                    <w:rPr>
                      <w:b/>
                      <w:bCs/>
                      <w:color w:val="FFFFFF"/>
                      <w:szCs w:val="24"/>
                    </w:rPr>
                    <w:t>Брой на петициите</w:t>
                  </w:r>
                </w:p>
              </w:tc>
              <w:tc>
                <w:tcPr>
                  <w:tcW w:w="640" w:type="dxa"/>
                  <w:tcBorders>
                    <w:top w:val="single" w:sz="4" w:space="0" w:color="CCCCFF"/>
                    <w:left w:val="nil"/>
                    <w:bottom w:val="single" w:sz="4" w:space="0" w:color="CCCCFF"/>
                    <w:right w:val="single" w:sz="4" w:space="0" w:color="CCCCFF"/>
                  </w:tcBorders>
                  <w:shd w:val="clear" w:color="FFFFFF" w:fill="666699"/>
                  <w:noWrap/>
                  <w:vAlign w:val="center"/>
                  <w:hideMark/>
                </w:tcPr>
                <w:p w14:paraId="46B93418" w14:textId="77777777" w:rsidR="0033303B" w:rsidRPr="0033303B" w:rsidRDefault="0033303B" w:rsidP="005B076E">
                  <w:pPr>
                    <w:jc w:val="center"/>
                    <w:rPr>
                      <w:b/>
                      <w:bCs/>
                      <w:color w:val="FFFFFF"/>
                      <w:szCs w:val="24"/>
                    </w:rPr>
                  </w:pPr>
                  <w:r w:rsidRPr="0033303B">
                    <w:rPr>
                      <w:b/>
                      <w:bCs/>
                      <w:color w:val="FFFFFF"/>
                      <w:szCs w:val="24"/>
                    </w:rPr>
                    <w:t>%</w:t>
                  </w:r>
                </w:p>
              </w:tc>
            </w:tr>
            <w:tr w:rsidR="0033303B" w:rsidRPr="0033303B" w14:paraId="6BEF1CB0"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6E1F384E" w14:textId="77777777" w:rsidR="0033303B" w:rsidRPr="0033303B" w:rsidRDefault="0033303B" w:rsidP="005B076E">
                  <w:pPr>
                    <w:rPr>
                      <w:color w:val="000000"/>
                      <w:szCs w:val="24"/>
                    </w:rPr>
                  </w:pPr>
                  <w:r w:rsidRPr="0033303B">
                    <w:rPr>
                      <w:color w:val="000000"/>
                      <w:szCs w:val="24"/>
                    </w:rPr>
                    <w:t>Вътрешен пазар</w:t>
                  </w:r>
                </w:p>
              </w:tc>
              <w:tc>
                <w:tcPr>
                  <w:tcW w:w="1417" w:type="dxa"/>
                  <w:tcBorders>
                    <w:top w:val="nil"/>
                    <w:left w:val="nil"/>
                    <w:bottom w:val="single" w:sz="4" w:space="0" w:color="CCCCFF"/>
                    <w:right w:val="single" w:sz="4" w:space="0" w:color="CCCCFF"/>
                  </w:tcBorders>
                  <w:shd w:val="clear" w:color="FFFFFF" w:fill="FFFFFF"/>
                  <w:noWrap/>
                  <w:vAlign w:val="center"/>
                  <w:hideMark/>
                </w:tcPr>
                <w:p w14:paraId="3EC00A30" w14:textId="77777777" w:rsidR="0033303B" w:rsidRPr="0033303B" w:rsidRDefault="0033303B" w:rsidP="005B076E">
                  <w:pPr>
                    <w:jc w:val="right"/>
                    <w:rPr>
                      <w:color w:val="000000"/>
                      <w:szCs w:val="24"/>
                    </w:rPr>
                  </w:pPr>
                  <w:r w:rsidRPr="0033303B">
                    <w:rPr>
                      <w:color w:val="000000"/>
                      <w:szCs w:val="24"/>
                    </w:rPr>
                    <w:t>266</w:t>
                  </w:r>
                </w:p>
              </w:tc>
              <w:tc>
                <w:tcPr>
                  <w:tcW w:w="640" w:type="dxa"/>
                  <w:tcBorders>
                    <w:top w:val="nil"/>
                    <w:left w:val="nil"/>
                    <w:bottom w:val="single" w:sz="4" w:space="0" w:color="CCCCFF"/>
                    <w:right w:val="single" w:sz="4" w:space="0" w:color="CCCCFF"/>
                  </w:tcBorders>
                  <w:shd w:val="clear" w:color="FFFFFF" w:fill="FFFFFF"/>
                  <w:noWrap/>
                  <w:vAlign w:val="center"/>
                  <w:hideMark/>
                </w:tcPr>
                <w:p w14:paraId="6853A508" w14:textId="77777777" w:rsidR="0033303B" w:rsidRPr="0033303B" w:rsidRDefault="0033303B" w:rsidP="005B076E">
                  <w:pPr>
                    <w:jc w:val="right"/>
                    <w:rPr>
                      <w:color w:val="000000"/>
                      <w:szCs w:val="24"/>
                    </w:rPr>
                  </w:pPr>
                  <w:r w:rsidRPr="0033303B">
                    <w:rPr>
                      <w:color w:val="000000"/>
                      <w:szCs w:val="24"/>
                    </w:rPr>
                    <w:t>10.5</w:t>
                  </w:r>
                </w:p>
              </w:tc>
            </w:tr>
            <w:tr w:rsidR="0033303B" w:rsidRPr="0033303B" w14:paraId="05AB2E12"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4F2C84A5" w14:textId="77777777" w:rsidR="0033303B" w:rsidRPr="0033303B" w:rsidRDefault="0033303B" w:rsidP="005B076E">
                  <w:pPr>
                    <w:rPr>
                      <w:color w:val="000000"/>
                      <w:szCs w:val="24"/>
                    </w:rPr>
                  </w:pPr>
                  <w:r w:rsidRPr="0033303B">
                    <w:rPr>
                      <w:color w:val="000000"/>
                      <w:szCs w:val="24"/>
                    </w:rPr>
                    <w:t>Правосъдие</w:t>
                  </w:r>
                </w:p>
              </w:tc>
              <w:tc>
                <w:tcPr>
                  <w:tcW w:w="1417" w:type="dxa"/>
                  <w:tcBorders>
                    <w:top w:val="nil"/>
                    <w:left w:val="nil"/>
                    <w:bottom w:val="single" w:sz="4" w:space="0" w:color="CCCCFF"/>
                    <w:right w:val="single" w:sz="4" w:space="0" w:color="CCCCFF"/>
                  </w:tcBorders>
                  <w:shd w:val="clear" w:color="FFFFFF" w:fill="FFFFFF"/>
                  <w:noWrap/>
                  <w:vAlign w:val="center"/>
                  <w:hideMark/>
                </w:tcPr>
                <w:p w14:paraId="79E99FC1" w14:textId="77777777" w:rsidR="0033303B" w:rsidRPr="0033303B" w:rsidRDefault="0033303B" w:rsidP="005B076E">
                  <w:pPr>
                    <w:jc w:val="right"/>
                    <w:rPr>
                      <w:color w:val="000000"/>
                      <w:szCs w:val="24"/>
                    </w:rPr>
                  </w:pPr>
                  <w:r w:rsidRPr="0033303B">
                    <w:rPr>
                      <w:color w:val="000000"/>
                      <w:szCs w:val="24"/>
                    </w:rPr>
                    <w:t>179</w:t>
                  </w:r>
                </w:p>
              </w:tc>
              <w:tc>
                <w:tcPr>
                  <w:tcW w:w="640" w:type="dxa"/>
                  <w:tcBorders>
                    <w:top w:val="nil"/>
                    <w:left w:val="nil"/>
                    <w:bottom w:val="single" w:sz="4" w:space="0" w:color="CCCCFF"/>
                    <w:right w:val="single" w:sz="4" w:space="0" w:color="CCCCFF"/>
                  </w:tcBorders>
                  <w:shd w:val="clear" w:color="FFFFFF" w:fill="FFFFFF"/>
                  <w:noWrap/>
                  <w:vAlign w:val="center"/>
                  <w:hideMark/>
                </w:tcPr>
                <w:p w14:paraId="12A2ABF2" w14:textId="77777777" w:rsidR="0033303B" w:rsidRPr="0033303B" w:rsidRDefault="0033303B" w:rsidP="005B076E">
                  <w:pPr>
                    <w:jc w:val="right"/>
                    <w:rPr>
                      <w:color w:val="000000"/>
                      <w:szCs w:val="24"/>
                    </w:rPr>
                  </w:pPr>
                  <w:r w:rsidRPr="0033303B">
                    <w:rPr>
                      <w:color w:val="000000"/>
                      <w:szCs w:val="24"/>
                    </w:rPr>
                    <w:t>7.1</w:t>
                  </w:r>
                </w:p>
              </w:tc>
            </w:tr>
            <w:tr w:rsidR="0033303B" w:rsidRPr="0033303B" w14:paraId="240DAAF1"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13132323" w14:textId="77777777" w:rsidR="0033303B" w:rsidRPr="0033303B" w:rsidRDefault="0033303B" w:rsidP="005B076E">
                  <w:pPr>
                    <w:rPr>
                      <w:color w:val="000000"/>
                      <w:szCs w:val="24"/>
                    </w:rPr>
                  </w:pPr>
                  <w:r w:rsidRPr="0033303B">
                    <w:rPr>
                      <w:color w:val="000000"/>
                      <w:szCs w:val="24"/>
                    </w:rPr>
                    <w:t>Основни права</w:t>
                  </w:r>
                </w:p>
              </w:tc>
              <w:tc>
                <w:tcPr>
                  <w:tcW w:w="1417" w:type="dxa"/>
                  <w:tcBorders>
                    <w:top w:val="nil"/>
                    <w:left w:val="nil"/>
                    <w:bottom w:val="single" w:sz="4" w:space="0" w:color="CCCCFF"/>
                    <w:right w:val="single" w:sz="4" w:space="0" w:color="CCCCFF"/>
                  </w:tcBorders>
                  <w:shd w:val="clear" w:color="FFFFFF" w:fill="FFFFFF"/>
                  <w:noWrap/>
                  <w:vAlign w:val="center"/>
                  <w:hideMark/>
                </w:tcPr>
                <w:p w14:paraId="6037AAD6" w14:textId="77777777" w:rsidR="0033303B" w:rsidRPr="0033303B" w:rsidRDefault="0033303B" w:rsidP="005B076E">
                  <w:pPr>
                    <w:jc w:val="right"/>
                    <w:rPr>
                      <w:color w:val="000000"/>
                      <w:szCs w:val="24"/>
                    </w:rPr>
                  </w:pPr>
                  <w:r w:rsidRPr="0033303B">
                    <w:rPr>
                      <w:color w:val="000000"/>
                      <w:szCs w:val="24"/>
                    </w:rPr>
                    <w:t>178</w:t>
                  </w:r>
                </w:p>
              </w:tc>
              <w:tc>
                <w:tcPr>
                  <w:tcW w:w="640" w:type="dxa"/>
                  <w:tcBorders>
                    <w:top w:val="nil"/>
                    <w:left w:val="nil"/>
                    <w:bottom w:val="single" w:sz="4" w:space="0" w:color="CCCCFF"/>
                    <w:right w:val="single" w:sz="4" w:space="0" w:color="CCCCFF"/>
                  </w:tcBorders>
                  <w:shd w:val="clear" w:color="FFFFFF" w:fill="FFFFFF"/>
                  <w:noWrap/>
                  <w:vAlign w:val="center"/>
                  <w:hideMark/>
                </w:tcPr>
                <w:p w14:paraId="52A1CBA0" w14:textId="77777777" w:rsidR="0033303B" w:rsidRPr="0033303B" w:rsidRDefault="0033303B" w:rsidP="005B076E">
                  <w:pPr>
                    <w:jc w:val="right"/>
                    <w:rPr>
                      <w:color w:val="000000"/>
                      <w:szCs w:val="24"/>
                    </w:rPr>
                  </w:pPr>
                  <w:r w:rsidRPr="0033303B">
                    <w:rPr>
                      <w:color w:val="000000"/>
                      <w:szCs w:val="24"/>
                    </w:rPr>
                    <w:t>7.0</w:t>
                  </w:r>
                </w:p>
              </w:tc>
            </w:tr>
            <w:tr w:rsidR="0033303B" w:rsidRPr="0033303B" w14:paraId="50F7E16E"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3B63B605" w14:textId="77777777" w:rsidR="0033303B" w:rsidRPr="0033303B" w:rsidRDefault="0033303B" w:rsidP="005B076E">
                  <w:pPr>
                    <w:rPr>
                      <w:color w:val="000000"/>
                      <w:szCs w:val="24"/>
                    </w:rPr>
                  </w:pPr>
                  <w:r w:rsidRPr="0033303B">
                    <w:rPr>
                      <w:color w:val="000000"/>
                      <w:szCs w:val="24"/>
                    </w:rPr>
                    <w:t>Околна среда</w:t>
                  </w:r>
                </w:p>
              </w:tc>
              <w:tc>
                <w:tcPr>
                  <w:tcW w:w="1417" w:type="dxa"/>
                  <w:tcBorders>
                    <w:top w:val="nil"/>
                    <w:left w:val="nil"/>
                    <w:bottom w:val="single" w:sz="4" w:space="0" w:color="CCCCFF"/>
                    <w:right w:val="single" w:sz="4" w:space="0" w:color="CCCCFF"/>
                  </w:tcBorders>
                  <w:shd w:val="clear" w:color="FFFFFF" w:fill="FFFFFF"/>
                  <w:noWrap/>
                  <w:vAlign w:val="center"/>
                  <w:hideMark/>
                </w:tcPr>
                <w:p w14:paraId="7B4AA8D1" w14:textId="77777777" w:rsidR="0033303B" w:rsidRPr="0033303B" w:rsidRDefault="0033303B" w:rsidP="005B076E">
                  <w:pPr>
                    <w:jc w:val="right"/>
                    <w:rPr>
                      <w:color w:val="000000"/>
                      <w:szCs w:val="24"/>
                    </w:rPr>
                  </w:pPr>
                  <w:r w:rsidRPr="0033303B">
                    <w:rPr>
                      <w:color w:val="000000"/>
                      <w:szCs w:val="24"/>
                    </w:rPr>
                    <w:t>158</w:t>
                  </w:r>
                </w:p>
              </w:tc>
              <w:tc>
                <w:tcPr>
                  <w:tcW w:w="640" w:type="dxa"/>
                  <w:tcBorders>
                    <w:top w:val="nil"/>
                    <w:left w:val="nil"/>
                    <w:bottom w:val="single" w:sz="4" w:space="0" w:color="CCCCFF"/>
                    <w:right w:val="single" w:sz="4" w:space="0" w:color="CCCCFF"/>
                  </w:tcBorders>
                  <w:shd w:val="clear" w:color="FFFFFF" w:fill="FFFFFF"/>
                  <w:noWrap/>
                  <w:vAlign w:val="center"/>
                  <w:hideMark/>
                </w:tcPr>
                <w:p w14:paraId="7A3B534E" w14:textId="77777777" w:rsidR="0033303B" w:rsidRPr="0033303B" w:rsidRDefault="0033303B" w:rsidP="005B076E">
                  <w:pPr>
                    <w:jc w:val="right"/>
                    <w:rPr>
                      <w:color w:val="000000"/>
                      <w:szCs w:val="24"/>
                    </w:rPr>
                  </w:pPr>
                  <w:r w:rsidRPr="0033303B">
                    <w:rPr>
                      <w:color w:val="000000"/>
                      <w:szCs w:val="24"/>
                    </w:rPr>
                    <w:t>6.2</w:t>
                  </w:r>
                </w:p>
              </w:tc>
            </w:tr>
            <w:tr w:rsidR="0033303B" w:rsidRPr="0033303B" w14:paraId="06DF2947"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509009CF" w14:textId="77777777" w:rsidR="0033303B" w:rsidRPr="0033303B" w:rsidRDefault="0033303B" w:rsidP="005B076E">
                  <w:pPr>
                    <w:rPr>
                      <w:color w:val="000000"/>
                      <w:szCs w:val="24"/>
                    </w:rPr>
                  </w:pPr>
                  <w:r w:rsidRPr="0033303B">
                    <w:rPr>
                      <w:color w:val="000000"/>
                      <w:szCs w:val="24"/>
                    </w:rPr>
                    <w:t>Имущество и реституция</w:t>
                  </w:r>
                </w:p>
              </w:tc>
              <w:tc>
                <w:tcPr>
                  <w:tcW w:w="1417" w:type="dxa"/>
                  <w:tcBorders>
                    <w:top w:val="nil"/>
                    <w:left w:val="nil"/>
                    <w:bottom w:val="single" w:sz="4" w:space="0" w:color="CCCCFF"/>
                    <w:right w:val="single" w:sz="4" w:space="0" w:color="CCCCFF"/>
                  </w:tcBorders>
                  <w:shd w:val="clear" w:color="FFFFFF" w:fill="FFFFFF"/>
                  <w:noWrap/>
                  <w:vAlign w:val="center"/>
                  <w:hideMark/>
                </w:tcPr>
                <w:p w14:paraId="40D523AA" w14:textId="77777777" w:rsidR="0033303B" w:rsidRPr="0033303B" w:rsidRDefault="0033303B" w:rsidP="005B076E">
                  <w:pPr>
                    <w:jc w:val="right"/>
                    <w:rPr>
                      <w:color w:val="000000"/>
                      <w:szCs w:val="24"/>
                    </w:rPr>
                  </w:pPr>
                  <w:r w:rsidRPr="0033303B">
                    <w:rPr>
                      <w:color w:val="000000"/>
                      <w:szCs w:val="24"/>
                    </w:rPr>
                    <w:t>115</w:t>
                  </w:r>
                </w:p>
              </w:tc>
              <w:tc>
                <w:tcPr>
                  <w:tcW w:w="640" w:type="dxa"/>
                  <w:tcBorders>
                    <w:top w:val="nil"/>
                    <w:left w:val="nil"/>
                    <w:bottom w:val="single" w:sz="4" w:space="0" w:color="CCCCFF"/>
                    <w:right w:val="single" w:sz="4" w:space="0" w:color="CCCCFF"/>
                  </w:tcBorders>
                  <w:shd w:val="clear" w:color="FFFFFF" w:fill="FFFFFF"/>
                  <w:noWrap/>
                  <w:vAlign w:val="center"/>
                  <w:hideMark/>
                </w:tcPr>
                <w:p w14:paraId="4BC605F3" w14:textId="77777777" w:rsidR="0033303B" w:rsidRPr="0033303B" w:rsidRDefault="0033303B" w:rsidP="005B076E">
                  <w:pPr>
                    <w:jc w:val="right"/>
                    <w:rPr>
                      <w:color w:val="000000"/>
                      <w:szCs w:val="24"/>
                    </w:rPr>
                  </w:pPr>
                  <w:r w:rsidRPr="0033303B">
                    <w:rPr>
                      <w:color w:val="000000"/>
                      <w:szCs w:val="24"/>
                    </w:rPr>
                    <w:t>4.5</w:t>
                  </w:r>
                </w:p>
              </w:tc>
            </w:tr>
            <w:tr w:rsidR="0033303B" w:rsidRPr="0033303B" w14:paraId="77B5EC72"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3A3F2EC8" w14:textId="77777777" w:rsidR="0033303B" w:rsidRPr="0033303B" w:rsidRDefault="0033303B" w:rsidP="005B076E">
                  <w:pPr>
                    <w:rPr>
                      <w:color w:val="000000"/>
                      <w:szCs w:val="24"/>
                    </w:rPr>
                  </w:pPr>
                  <w:r w:rsidRPr="0033303B">
                    <w:rPr>
                      <w:color w:val="000000"/>
                      <w:szCs w:val="24"/>
                    </w:rPr>
                    <w:t>Здравеопазване</w:t>
                  </w:r>
                </w:p>
              </w:tc>
              <w:tc>
                <w:tcPr>
                  <w:tcW w:w="1417" w:type="dxa"/>
                  <w:tcBorders>
                    <w:top w:val="nil"/>
                    <w:left w:val="nil"/>
                    <w:bottom w:val="single" w:sz="4" w:space="0" w:color="CCCCFF"/>
                    <w:right w:val="single" w:sz="4" w:space="0" w:color="CCCCFF"/>
                  </w:tcBorders>
                  <w:shd w:val="clear" w:color="FFFFFF" w:fill="FFFFFF"/>
                  <w:noWrap/>
                  <w:vAlign w:val="center"/>
                  <w:hideMark/>
                </w:tcPr>
                <w:p w14:paraId="24F28C05" w14:textId="77777777" w:rsidR="0033303B" w:rsidRPr="0033303B" w:rsidRDefault="0033303B" w:rsidP="005B076E">
                  <w:pPr>
                    <w:jc w:val="right"/>
                    <w:rPr>
                      <w:color w:val="000000"/>
                      <w:szCs w:val="24"/>
                    </w:rPr>
                  </w:pPr>
                  <w:r w:rsidRPr="0033303B">
                    <w:rPr>
                      <w:color w:val="000000"/>
                      <w:szCs w:val="24"/>
                    </w:rPr>
                    <w:t>111</w:t>
                  </w:r>
                </w:p>
              </w:tc>
              <w:tc>
                <w:tcPr>
                  <w:tcW w:w="640" w:type="dxa"/>
                  <w:tcBorders>
                    <w:top w:val="nil"/>
                    <w:left w:val="nil"/>
                    <w:bottom w:val="single" w:sz="4" w:space="0" w:color="CCCCFF"/>
                    <w:right w:val="single" w:sz="4" w:space="0" w:color="CCCCFF"/>
                  </w:tcBorders>
                  <w:shd w:val="clear" w:color="FFFFFF" w:fill="FFFFFF"/>
                  <w:noWrap/>
                  <w:vAlign w:val="center"/>
                  <w:hideMark/>
                </w:tcPr>
                <w:p w14:paraId="07F25BBC" w14:textId="77777777" w:rsidR="0033303B" w:rsidRPr="0033303B" w:rsidRDefault="0033303B" w:rsidP="005B076E">
                  <w:pPr>
                    <w:jc w:val="right"/>
                    <w:rPr>
                      <w:color w:val="000000"/>
                      <w:szCs w:val="24"/>
                    </w:rPr>
                  </w:pPr>
                  <w:r w:rsidRPr="0033303B">
                    <w:rPr>
                      <w:color w:val="000000"/>
                      <w:szCs w:val="24"/>
                    </w:rPr>
                    <w:t>4.4</w:t>
                  </w:r>
                </w:p>
              </w:tc>
            </w:tr>
            <w:tr w:rsidR="0033303B" w:rsidRPr="0033303B" w14:paraId="7B7A3DCB"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193CD79D" w14:textId="77777777" w:rsidR="0033303B" w:rsidRPr="0033303B" w:rsidRDefault="0033303B" w:rsidP="005B076E">
                  <w:pPr>
                    <w:rPr>
                      <w:color w:val="000000"/>
                      <w:szCs w:val="24"/>
                    </w:rPr>
                  </w:pPr>
                  <w:r w:rsidRPr="0033303B">
                    <w:rPr>
                      <w:color w:val="000000"/>
                      <w:szCs w:val="24"/>
                    </w:rPr>
                    <w:t>Социални въпроси</w:t>
                  </w:r>
                </w:p>
              </w:tc>
              <w:tc>
                <w:tcPr>
                  <w:tcW w:w="1417" w:type="dxa"/>
                  <w:tcBorders>
                    <w:top w:val="nil"/>
                    <w:left w:val="nil"/>
                    <w:bottom w:val="single" w:sz="4" w:space="0" w:color="CCCCFF"/>
                    <w:right w:val="single" w:sz="4" w:space="0" w:color="CCCCFF"/>
                  </w:tcBorders>
                  <w:shd w:val="clear" w:color="FFFFFF" w:fill="FFFFFF"/>
                  <w:noWrap/>
                  <w:vAlign w:val="center"/>
                  <w:hideMark/>
                </w:tcPr>
                <w:p w14:paraId="4E2861CC" w14:textId="77777777" w:rsidR="0033303B" w:rsidRPr="0033303B" w:rsidRDefault="0033303B" w:rsidP="005B076E">
                  <w:pPr>
                    <w:jc w:val="right"/>
                    <w:rPr>
                      <w:color w:val="000000"/>
                      <w:szCs w:val="24"/>
                    </w:rPr>
                  </w:pPr>
                  <w:r w:rsidRPr="0033303B">
                    <w:rPr>
                      <w:color w:val="000000"/>
                      <w:szCs w:val="24"/>
                    </w:rPr>
                    <w:t>93</w:t>
                  </w:r>
                </w:p>
              </w:tc>
              <w:tc>
                <w:tcPr>
                  <w:tcW w:w="640" w:type="dxa"/>
                  <w:tcBorders>
                    <w:top w:val="nil"/>
                    <w:left w:val="nil"/>
                    <w:bottom w:val="single" w:sz="4" w:space="0" w:color="CCCCFF"/>
                    <w:right w:val="single" w:sz="4" w:space="0" w:color="CCCCFF"/>
                  </w:tcBorders>
                  <w:shd w:val="clear" w:color="FFFFFF" w:fill="FFFFFF"/>
                  <w:noWrap/>
                  <w:vAlign w:val="center"/>
                  <w:hideMark/>
                </w:tcPr>
                <w:p w14:paraId="7E3CBF0C" w14:textId="77777777" w:rsidR="0033303B" w:rsidRPr="0033303B" w:rsidRDefault="0033303B" w:rsidP="005B076E">
                  <w:pPr>
                    <w:jc w:val="right"/>
                    <w:rPr>
                      <w:color w:val="000000"/>
                      <w:szCs w:val="24"/>
                    </w:rPr>
                  </w:pPr>
                  <w:r w:rsidRPr="0033303B">
                    <w:rPr>
                      <w:color w:val="000000"/>
                      <w:szCs w:val="24"/>
                    </w:rPr>
                    <w:t>3.7</w:t>
                  </w:r>
                </w:p>
              </w:tc>
            </w:tr>
            <w:tr w:rsidR="0033303B" w:rsidRPr="0033303B" w14:paraId="2F2AA577"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1BA1A07D" w14:textId="77777777" w:rsidR="0033303B" w:rsidRPr="0033303B" w:rsidRDefault="0033303B" w:rsidP="005B076E">
                  <w:pPr>
                    <w:rPr>
                      <w:color w:val="000000"/>
                      <w:szCs w:val="24"/>
                    </w:rPr>
                  </w:pPr>
                  <w:r w:rsidRPr="0033303B">
                    <w:rPr>
                      <w:color w:val="000000"/>
                      <w:szCs w:val="24"/>
                    </w:rPr>
                    <w:t>Заетост</w:t>
                  </w:r>
                </w:p>
              </w:tc>
              <w:tc>
                <w:tcPr>
                  <w:tcW w:w="1417" w:type="dxa"/>
                  <w:tcBorders>
                    <w:top w:val="nil"/>
                    <w:left w:val="nil"/>
                    <w:bottom w:val="single" w:sz="4" w:space="0" w:color="CCCCFF"/>
                    <w:right w:val="single" w:sz="4" w:space="0" w:color="CCCCFF"/>
                  </w:tcBorders>
                  <w:shd w:val="clear" w:color="FFFFFF" w:fill="FFFFFF"/>
                  <w:noWrap/>
                  <w:vAlign w:val="center"/>
                  <w:hideMark/>
                </w:tcPr>
                <w:p w14:paraId="2296AC1C" w14:textId="77777777" w:rsidR="0033303B" w:rsidRPr="0033303B" w:rsidRDefault="0033303B" w:rsidP="005B076E">
                  <w:pPr>
                    <w:jc w:val="right"/>
                    <w:rPr>
                      <w:color w:val="000000"/>
                      <w:szCs w:val="24"/>
                    </w:rPr>
                  </w:pPr>
                  <w:r w:rsidRPr="0033303B">
                    <w:rPr>
                      <w:color w:val="000000"/>
                      <w:szCs w:val="24"/>
                    </w:rPr>
                    <w:t>72</w:t>
                  </w:r>
                </w:p>
              </w:tc>
              <w:tc>
                <w:tcPr>
                  <w:tcW w:w="640" w:type="dxa"/>
                  <w:tcBorders>
                    <w:top w:val="nil"/>
                    <w:left w:val="nil"/>
                    <w:bottom w:val="single" w:sz="4" w:space="0" w:color="CCCCFF"/>
                    <w:right w:val="single" w:sz="4" w:space="0" w:color="CCCCFF"/>
                  </w:tcBorders>
                  <w:shd w:val="clear" w:color="FFFFFF" w:fill="FFFFFF"/>
                  <w:noWrap/>
                  <w:vAlign w:val="center"/>
                  <w:hideMark/>
                </w:tcPr>
                <w:p w14:paraId="095579B4" w14:textId="77777777" w:rsidR="0033303B" w:rsidRPr="0033303B" w:rsidRDefault="0033303B" w:rsidP="005B076E">
                  <w:pPr>
                    <w:jc w:val="right"/>
                    <w:rPr>
                      <w:color w:val="000000"/>
                      <w:szCs w:val="24"/>
                    </w:rPr>
                  </w:pPr>
                  <w:r w:rsidRPr="0033303B">
                    <w:rPr>
                      <w:color w:val="000000"/>
                      <w:szCs w:val="24"/>
                    </w:rPr>
                    <w:t>2.8</w:t>
                  </w:r>
                </w:p>
              </w:tc>
            </w:tr>
            <w:tr w:rsidR="0033303B" w:rsidRPr="0033303B" w14:paraId="022B28A8"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121A8D1E" w14:textId="77777777" w:rsidR="0033303B" w:rsidRPr="0033303B" w:rsidRDefault="0033303B" w:rsidP="005B076E">
                  <w:pPr>
                    <w:rPr>
                      <w:color w:val="000000"/>
                      <w:szCs w:val="24"/>
                    </w:rPr>
                  </w:pPr>
                  <w:r w:rsidRPr="0033303B">
                    <w:rPr>
                      <w:color w:val="000000"/>
                      <w:szCs w:val="24"/>
                    </w:rPr>
                    <w:t>Транспорт</w:t>
                  </w:r>
                </w:p>
              </w:tc>
              <w:tc>
                <w:tcPr>
                  <w:tcW w:w="1417" w:type="dxa"/>
                  <w:tcBorders>
                    <w:top w:val="nil"/>
                    <w:left w:val="nil"/>
                    <w:bottom w:val="single" w:sz="4" w:space="0" w:color="CCCCFF"/>
                    <w:right w:val="single" w:sz="4" w:space="0" w:color="CCCCFF"/>
                  </w:tcBorders>
                  <w:shd w:val="clear" w:color="FFFFFF" w:fill="FFFFFF"/>
                  <w:noWrap/>
                  <w:vAlign w:val="center"/>
                  <w:hideMark/>
                </w:tcPr>
                <w:p w14:paraId="1FA464EF" w14:textId="77777777" w:rsidR="0033303B" w:rsidRPr="0033303B" w:rsidRDefault="0033303B" w:rsidP="005B076E">
                  <w:pPr>
                    <w:jc w:val="right"/>
                    <w:rPr>
                      <w:color w:val="000000"/>
                      <w:szCs w:val="24"/>
                    </w:rPr>
                  </w:pPr>
                  <w:r w:rsidRPr="0033303B">
                    <w:rPr>
                      <w:color w:val="000000"/>
                      <w:szCs w:val="24"/>
                    </w:rPr>
                    <w:t>52</w:t>
                  </w:r>
                </w:p>
              </w:tc>
              <w:tc>
                <w:tcPr>
                  <w:tcW w:w="640" w:type="dxa"/>
                  <w:tcBorders>
                    <w:top w:val="nil"/>
                    <w:left w:val="nil"/>
                    <w:bottom w:val="single" w:sz="4" w:space="0" w:color="CCCCFF"/>
                    <w:right w:val="single" w:sz="4" w:space="0" w:color="CCCCFF"/>
                  </w:tcBorders>
                  <w:shd w:val="clear" w:color="FFFFFF" w:fill="FFFFFF"/>
                  <w:noWrap/>
                  <w:vAlign w:val="center"/>
                  <w:hideMark/>
                </w:tcPr>
                <w:p w14:paraId="00C0DEAC" w14:textId="77777777" w:rsidR="0033303B" w:rsidRPr="0033303B" w:rsidRDefault="0033303B" w:rsidP="005B076E">
                  <w:pPr>
                    <w:jc w:val="right"/>
                    <w:rPr>
                      <w:color w:val="000000"/>
                      <w:szCs w:val="24"/>
                    </w:rPr>
                  </w:pPr>
                  <w:r w:rsidRPr="0033303B">
                    <w:rPr>
                      <w:color w:val="000000"/>
                      <w:szCs w:val="24"/>
                    </w:rPr>
                    <w:t>2.0</w:t>
                  </w:r>
                </w:p>
              </w:tc>
            </w:tr>
            <w:tr w:rsidR="0033303B" w:rsidRPr="0033303B" w14:paraId="65CE6D44" w14:textId="77777777" w:rsidTr="005B076E">
              <w:trPr>
                <w:trHeight w:val="360"/>
              </w:trPr>
              <w:tc>
                <w:tcPr>
                  <w:tcW w:w="2552" w:type="dxa"/>
                  <w:tcBorders>
                    <w:top w:val="nil"/>
                    <w:left w:val="single" w:sz="4" w:space="0" w:color="CCCCFF"/>
                    <w:bottom w:val="single" w:sz="4" w:space="0" w:color="CCCCFF"/>
                    <w:right w:val="single" w:sz="4" w:space="0" w:color="CCCCFF"/>
                  </w:tcBorders>
                  <w:shd w:val="clear" w:color="FFFFFF" w:fill="FFFFFF"/>
                  <w:noWrap/>
                  <w:vAlign w:val="center"/>
                  <w:hideMark/>
                </w:tcPr>
                <w:p w14:paraId="4CC3630A" w14:textId="77777777" w:rsidR="0033303B" w:rsidRPr="0033303B" w:rsidRDefault="0033303B" w:rsidP="005B076E">
                  <w:pPr>
                    <w:rPr>
                      <w:color w:val="000000"/>
                      <w:szCs w:val="24"/>
                    </w:rPr>
                  </w:pPr>
                  <w:r w:rsidRPr="0033303B">
                    <w:rPr>
                      <w:color w:val="000000"/>
                      <w:szCs w:val="24"/>
                    </w:rPr>
                    <w:t>Образование и култура</w:t>
                  </w:r>
                </w:p>
              </w:tc>
              <w:tc>
                <w:tcPr>
                  <w:tcW w:w="1417" w:type="dxa"/>
                  <w:tcBorders>
                    <w:top w:val="nil"/>
                    <w:left w:val="nil"/>
                    <w:bottom w:val="single" w:sz="4" w:space="0" w:color="CCCCFF"/>
                    <w:right w:val="single" w:sz="4" w:space="0" w:color="CCCCFF"/>
                  </w:tcBorders>
                  <w:shd w:val="clear" w:color="FFFFFF" w:fill="FFFFFF"/>
                  <w:noWrap/>
                  <w:vAlign w:val="center"/>
                  <w:hideMark/>
                </w:tcPr>
                <w:p w14:paraId="7EBB49D6" w14:textId="77777777" w:rsidR="0033303B" w:rsidRPr="0033303B" w:rsidRDefault="0033303B" w:rsidP="005B076E">
                  <w:pPr>
                    <w:jc w:val="right"/>
                    <w:rPr>
                      <w:color w:val="000000"/>
                      <w:szCs w:val="24"/>
                    </w:rPr>
                  </w:pPr>
                  <w:r w:rsidRPr="0033303B">
                    <w:rPr>
                      <w:color w:val="000000"/>
                      <w:szCs w:val="24"/>
                    </w:rPr>
                    <w:t>47</w:t>
                  </w:r>
                </w:p>
              </w:tc>
              <w:tc>
                <w:tcPr>
                  <w:tcW w:w="640" w:type="dxa"/>
                  <w:tcBorders>
                    <w:top w:val="nil"/>
                    <w:left w:val="nil"/>
                    <w:bottom w:val="single" w:sz="4" w:space="0" w:color="CCCCFF"/>
                    <w:right w:val="single" w:sz="4" w:space="0" w:color="CCCCFF"/>
                  </w:tcBorders>
                  <w:shd w:val="clear" w:color="FFFFFF" w:fill="FFFFFF"/>
                  <w:noWrap/>
                  <w:vAlign w:val="center"/>
                  <w:hideMark/>
                </w:tcPr>
                <w:p w14:paraId="720C881B" w14:textId="77777777" w:rsidR="0033303B" w:rsidRPr="0033303B" w:rsidRDefault="0033303B" w:rsidP="005B076E">
                  <w:pPr>
                    <w:jc w:val="right"/>
                    <w:rPr>
                      <w:color w:val="000000"/>
                      <w:szCs w:val="24"/>
                    </w:rPr>
                  </w:pPr>
                  <w:r w:rsidRPr="0033303B">
                    <w:rPr>
                      <w:color w:val="000000"/>
                      <w:szCs w:val="24"/>
                    </w:rPr>
                    <w:t>1.9</w:t>
                  </w:r>
                </w:p>
              </w:tc>
            </w:tr>
          </w:tbl>
          <w:p w14:paraId="3B42B47A" w14:textId="77777777" w:rsidR="0033303B" w:rsidRPr="0033303B" w:rsidRDefault="0033303B" w:rsidP="005B076E">
            <w:pPr>
              <w:rPr>
                <w:szCs w:val="24"/>
              </w:rPr>
            </w:pPr>
          </w:p>
        </w:tc>
      </w:tr>
    </w:tbl>
    <w:p w14:paraId="25C30F4D" w14:textId="77777777" w:rsidR="0033303B" w:rsidRPr="0033303B" w:rsidRDefault="0033303B" w:rsidP="0033303B">
      <w:pPr>
        <w:rPr>
          <w:szCs w:val="24"/>
        </w:rPr>
      </w:pPr>
    </w:p>
    <w:p w14:paraId="472ED324" w14:textId="77777777" w:rsidR="0033303B" w:rsidRPr="0033303B" w:rsidRDefault="0033303B" w:rsidP="0033303B">
      <w:pPr>
        <w:rPr>
          <w:szCs w:val="24"/>
        </w:rPr>
      </w:pPr>
    </w:p>
    <w:p w14:paraId="6A66E192" w14:textId="77777777" w:rsidR="0033303B" w:rsidRPr="0033303B" w:rsidRDefault="0033303B" w:rsidP="0033303B">
      <w:pPr>
        <w:spacing w:after="240"/>
        <w:rPr>
          <w:b/>
          <w:szCs w:val="24"/>
        </w:rPr>
        <w:sectPr w:rsidR="0033303B" w:rsidRPr="0033303B" w:rsidSect="00362518">
          <w:type w:val="continuous"/>
          <w:pgSz w:w="11906" w:h="16838"/>
          <w:pgMar w:top="1440" w:right="1440" w:bottom="1440" w:left="1440" w:header="708" w:footer="708" w:gutter="0"/>
          <w:cols w:space="708"/>
          <w:docGrid w:linePitch="360"/>
        </w:sectPr>
      </w:pPr>
    </w:p>
    <w:p w14:paraId="07E8818C" w14:textId="77777777" w:rsidR="0033303B" w:rsidRPr="0033303B" w:rsidRDefault="0033303B" w:rsidP="0033303B">
      <w:pPr>
        <w:spacing w:after="240"/>
        <w:ind w:left="-284"/>
        <w:rPr>
          <w:b/>
          <w:szCs w:val="24"/>
        </w:rPr>
      </w:pPr>
      <w:r w:rsidRPr="0033303B">
        <w:drawing>
          <wp:anchor distT="0" distB="0" distL="114300" distR="114300" simplePos="0" relativeHeight="251663360" behindDoc="0" locked="0" layoutInCell="1" allowOverlap="1" wp14:anchorId="79DC4E1F" wp14:editId="13ADE60A">
            <wp:simplePos x="0" y="0"/>
            <wp:positionH relativeFrom="column">
              <wp:posOffset>3155950</wp:posOffset>
            </wp:positionH>
            <wp:positionV relativeFrom="paragraph">
              <wp:posOffset>4445</wp:posOffset>
            </wp:positionV>
            <wp:extent cx="2825750" cy="2743200"/>
            <wp:effectExtent l="0" t="0" r="1270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sidRPr="0033303B">
        <w:drawing>
          <wp:inline distT="0" distB="0" distL="0" distR="0" wp14:anchorId="115EBAF8" wp14:editId="7A376B72">
            <wp:extent cx="2717800" cy="2724150"/>
            <wp:effectExtent l="0" t="0" r="63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BE93B9" w14:textId="77777777" w:rsidR="0033303B" w:rsidRPr="0033303B" w:rsidRDefault="0033303B" w:rsidP="0033303B">
      <w:pPr>
        <w:rPr>
          <w:b/>
          <w:szCs w:val="24"/>
        </w:rPr>
      </w:pPr>
    </w:p>
    <w:p w14:paraId="1336256F" w14:textId="77777777" w:rsidR="0033303B" w:rsidRPr="0033303B" w:rsidRDefault="0033303B" w:rsidP="0033303B">
      <w:pPr>
        <w:spacing w:after="160" w:line="259" w:lineRule="auto"/>
        <w:rPr>
          <w:b/>
          <w:szCs w:val="24"/>
        </w:rPr>
      </w:pPr>
      <w:r w:rsidRPr="0033303B">
        <w:rPr>
          <w:b/>
          <w:szCs w:val="24"/>
        </w:rPr>
        <w:t>Уеб порталът за петиции</w:t>
      </w:r>
    </w:p>
    <w:p w14:paraId="1F46C54E" w14:textId="77777777" w:rsidR="0033303B" w:rsidRPr="0033303B" w:rsidRDefault="0033303B" w:rsidP="0033303B">
      <w:pPr>
        <w:spacing w:after="160" w:line="259" w:lineRule="auto"/>
        <w:jc w:val="both"/>
        <w:rPr>
          <w:szCs w:val="24"/>
        </w:rPr>
      </w:pPr>
      <w:r w:rsidRPr="0033303B">
        <w:t>Уеб порталът за петиции, създаден в края на 2014 г., бе доразработен, което го прави по-лесен за ползване и за двата случая. Функциите за търсене бяха подобрени. От края на 2017 г. се качват автоматично документи като дневен ред на заседания, протоколи от заседания и съобщения на Комисията, свързани със петициите. Така тези документи са публично достъпни и повишават прозрачността на работата на комисията.</w:t>
      </w:r>
    </w:p>
    <w:p w14:paraId="790BFABA" w14:textId="77777777" w:rsidR="0033303B" w:rsidRPr="0033303B" w:rsidRDefault="0033303B" w:rsidP="0033303B">
      <w:pPr>
        <w:spacing w:after="160" w:line="259" w:lineRule="auto"/>
        <w:jc w:val="both"/>
        <w:rPr>
          <w:b/>
          <w:szCs w:val="24"/>
        </w:rPr>
      </w:pPr>
    </w:p>
    <w:p w14:paraId="5B9EB704" w14:textId="77777777" w:rsidR="0033303B" w:rsidRPr="0033303B" w:rsidRDefault="0033303B" w:rsidP="0033303B">
      <w:pPr>
        <w:spacing w:after="160" w:line="259" w:lineRule="auto"/>
        <w:rPr>
          <w:b/>
          <w:szCs w:val="24"/>
        </w:rPr>
      </w:pPr>
      <w:r w:rsidRPr="0033303B">
        <w:rPr>
          <w:b/>
          <w:szCs w:val="24"/>
        </w:rPr>
        <w:t>Отношения с Комисията</w:t>
      </w:r>
    </w:p>
    <w:p w14:paraId="72E0019F" w14:textId="77777777" w:rsidR="0033303B" w:rsidRPr="0033303B" w:rsidRDefault="0033303B" w:rsidP="0033303B">
      <w:pPr>
        <w:spacing w:after="160" w:line="259" w:lineRule="auto"/>
        <w:jc w:val="both"/>
        <w:rPr>
          <w:szCs w:val="24"/>
        </w:rPr>
      </w:pPr>
      <w:r w:rsidRPr="0033303B">
        <w:t>Комисията остава естественият партньор на комисията по петиции при разглеждането на петициите, тъй като е институцията на ЕС, отговорна да следи за прилагането и спазването на законодателството на ЕС. Може да се потвърди, че съответните служби на двете институции са установили добри работни отношения през последните години. Макар Комисията да дава отговори по петициите в по-кратки срокове (средно три до четири месеца), комисията по петиции вижда необходимост от по-нататъшен напредък в сроковете за тези отговори. Комисията по петиции повтаря искането си за редовно предоставяне на актуална информация относно развитието на процедурите за установяване на неизпълнение на задължения и за предоставяне на своевременен достъп до съответните документи на Комисията относно процедурите за установяване на неизпълнение на задължения и процедурите по „EU Pilot“, свързани с внесени петиции.</w:t>
      </w:r>
    </w:p>
    <w:p w14:paraId="16AB238E" w14:textId="77777777" w:rsidR="0033303B" w:rsidRPr="0033303B" w:rsidRDefault="0033303B" w:rsidP="0033303B">
      <w:pPr>
        <w:spacing w:after="160" w:line="259" w:lineRule="auto"/>
        <w:jc w:val="both"/>
        <w:rPr>
          <w:szCs w:val="24"/>
        </w:rPr>
      </w:pPr>
      <w:r w:rsidRPr="0033303B">
        <w:t xml:space="preserve">Като част от годишния цикъл на структурирания диалог първият заместник-председател Тимерманс – членът на Комисията, отговарящ за междуинституционалните отношения, върховенството на закона, Хартата на основните права и за по-доброто законотворчество, присъства на заседание на комисията на 25 април 2017 г., на което </w:t>
      </w:r>
      <w:r w:rsidRPr="0033303B">
        <w:lastRenderedPageBreak/>
        <w:t>беше проведена задълбочена размяна на мнения. По време на срещата заместник-председателят потвърди, че петициите дават обратна информация на Комисията относно очакванията на гражданите и оставащите предизвикателства. Комисията по петиции повтори искането си Комисията да намери начини за засилване на сътрудничеството с органите на държавите членки.</w:t>
      </w:r>
    </w:p>
    <w:p w14:paraId="3E7FBC8D" w14:textId="77777777" w:rsidR="0033303B" w:rsidRPr="0033303B" w:rsidRDefault="0033303B" w:rsidP="0033303B">
      <w:pPr>
        <w:spacing w:after="160" w:line="259" w:lineRule="auto"/>
        <w:jc w:val="both"/>
        <w:rPr>
          <w:szCs w:val="24"/>
        </w:rPr>
      </w:pPr>
      <w:r w:rsidRPr="0033303B">
        <w:t>На 28 ноември 2017 г. в рамките на съвместно заседание на комисията по петиции и комисията по конституционни въпроси първият заместник-председател Тимерманс представи новото предложение за регламент относно гражданската инициатива.</w:t>
      </w:r>
    </w:p>
    <w:p w14:paraId="45714F61" w14:textId="77777777" w:rsidR="0033303B" w:rsidRPr="0033303B" w:rsidRDefault="0033303B" w:rsidP="0033303B">
      <w:pPr>
        <w:rPr>
          <w:b/>
          <w:szCs w:val="24"/>
        </w:rPr>
      </w:pPr>
    </w:p>
    <w:p w14:paraId="26FF1422" w14:textId="77777777" w:rsidR="0033303B" w:rsidRPr="0033303B" w:rsidRDefault="0033303B" w:rsidP="0033303B">
      <w:pPr>
        <w:spacing w:after="160" w:line="259" w:lineRule="auto"/>
        <w:rPr>
          <w:b/>
          <w:szCs w:val="24"/>
        </w:rPr>
      </w:pPr>
      <w:r w:rsidRPr="0033303B">
        <w:rPr>
          <w:b/>
          <w:szCs w:val="24"/>
        </w:rPr>
        <w:t xml:space="preserve">Отношения със Съвета </w:t>
      </w:r>
    </w:p>
    <w:p w14:paraId="22B4124D" w14:textId="77777777" w:rsidR="0033303B" w:rsidRPr="0033303B" w:rsidRDefault="0033303B" w:rsidP="0033303B">
      <w:pPr>
        <w:spacing w:after="160" w:line="259" w:lineRule="auto"/>
        <w:jc w:val="both"/>
        <w:rPr>
          <w:szCs w:val="24"/>
        </w:rPr>
      </w:pPr>
      <w:r w:rsidRPr="0033303B">
        <w:t xml:space="preserve">Комисията по петиции отбелязва, че Секретариатът на Съвета изпраща представители на нейните заседания. Комисията би приветствала обаче по-активно сътрудничество по отношение на деблокирането на онези петиции, при които е особено важно сътрудничеството на държавите членки. Въпреки това комисията надлежно отбелязва усилията на няколко държави членки да допринасят активно за обсъждането на съответните петиции на нейните заседания. </w:t>
      </w:r>
    </w:p>
    <w:p w14:paraId="712EE56B" w14:textId="77777777" w:rsidR="0033303B" w:rsidRPr="0033303B" w:rsidRDefault="0033303B" w:rsidP="0033303B">
      <w:pPr>
        <w:rPr>
          <w:szCs w:val="24"/>
        </w:rPr>
      </w:pPr>
    </w:p>
    <w:p w14:paraId="2F2424B8" w14:textId="77777777" w:rsidR="0033303B" w:rsidRPr="0033303B" w:rsidRDefault="0033303B" w:rsidP="0033303B">
      <w:pPr>
        <w:spacing w:after="160" w:line="259" w:lineRule="auto"/>
        <w:rPr>
          <w:b/>
          <w:szCs w:val="24"/>
        </w:rPr>
      </w:pPr>
      <w:r w:rsidRPr="0033303B">
        <w:rPr>
          <w:b/>
          <w:szCs w:val="24"/>
        </w:rPr>
        <w:t>Отношения с Европейския омбудсман</w:t>
      </w:r>
    </w:p>
    <w:p w14:paraId="18A18196" w14:textId="77777777" w:rsidR="0033303B" w:rsidRPr="0033303B" w:rsidRDefault="0033303B" w:rsidP="0033303B">
      <w:pPr>
        <w:spacing w:after="160" w:line="259" w:lineRule="auto"/>
        <w:jc w:val="both"/>
        <w:rPr>
          <w:szCs w:val="24"/>
        </w:rPr>
      </w:pPr>
      <w:r w:rsidRPr="0033303B">
        <w:t xml:space="preserve">Комисията по петиции поддържа много добри работни отношения със службата на Европейския омбудсман. Европейският омбудсман г-жа Емили О’Райли представи своя годишен доклад за 2016 г. на заседанието на комисията от 30 май 2017 r. </w:t>
      </w:r>
    </w:p>
    <w:p w14:paraId="06F509B3" w14:textId="77777777" w:rsidR="0033303B" w:rsidRPr="0033303B" w:rsidRDefault="0033303B" w:rsidP="0033303B">
      <w:pPr>
        <w:spacing w:after="160" w:line="259" w:lineRule="auto"/>
        <w:jc w:val="both"/>
        <w:rPr>
          <w:szCs w:val="24"/>
        </w:rPr>
      </w:pPr>
      <w:r w:rsidRPr="0033303B">
        <w:t>На 22 юни 2017 г. Европейският омбудсман произнесе встъпителна реч на тема „</w:t>
      </w:r>
      <w:r w:rsidRPr="0033303B">
        <w:rPr>
          <w:i/>
        </w:rPr>
        <w:t>Възстановяване на доверието на гражданите в европейския проект</w:t>
      </w:r>
      <w:r w:rsidRPr="0033303B">
        <w:t>“.</w:t>
      </w:r>
    </w:p>
    <w:p w14:paraId="0181BFF8" w14:textId="77777777" w:rsidR="0033303B" w:rsidRPr="0033303B" w:rsidRDefault="0033303B" w:rsidP="0033303B">
      <w:pPr>
        <w:spacing w:after="160" w:line="259" w:lineRule="auto"/>
        <w:jc w:val="both"/>
        <w:rPr>
          <w:szCs w:val="24"/>
        </w:rPr>
      </w:pPr>
      <w:r w:rsidRPr="0033303B">
        <w:t>Европейският омбудсман, както и комисията по петиции, е един от членовете на рамката на ЕС за Конвенцията на ООН за правата на хората с увреждания. На редовните заседания относно тази рамка присъстват представители и на комисията по петиции, и на Службата на Европейския омбудсман, и те допринасят за добрите работни отношения по въпросите на хората с увреждания. Представител взе активно участие в обсъждането на тема „</w:t>
      </w:r>
      <w:r w:rsidRPr="0033303B">
        <w:rPr>
          <w:i/>
        </w:rPr>
        <w:t>Международният и европейският контекст</w:t>
      </w:r>
      <w:r w:rsidRPr="0033303B">
        <w:t>:</w:t>
      </w:r>
      <w:r w:rsidRPr="0033303B">
        <w:rPr>
          <w:i/>
          <w:szCs w:val="24"/>
        </w:rPr>
        <w:t xml:space="preserve"> </w:t>
      </w:r>
      <w:r w:rsidRPr="0033303B">
        <w:rPr>
          <w:i/>
        </w:rPr>
        <w:t>КПХУ на ООН и ЕС</w:t>
      </w:r>
      <w:r w:rsidRPr="0033303B">
        <w:t>“ на семинара по въпросите на уврежданията, който се проведе на заседанието на комисията на 12 октомври 2017 г.</w:t>
      </w:r>
    </w:p>
    <w:p w14:paraId="69AE3973" w14:textId="77777777" w:rsidR="0033303B" w:rsidRPr="0033303B" w:rsidRDefault="0033303B" w:rsidP="0033303B">
      <w:pPr>
        <w:rPr>
          <w:b/>
          <w:szCs w:val="24"/>
        </w:rPr>
      </w:pPr>
    </w:p>
    <w:p w14:paraId="5BDEDEFF" w14:textId="77777777" w:rsidR="0033303B" w:rsidRPr="0033303B" w:rsidRDefault="0033303B" w:rsidP="0033303B">
      <w:pPr>
        <w:spacing w:after="160" w:line="259" w:lineRule="auto"/>
        <w:rPr>
          <w:b/>
          <w:szCs w:val="24"/>
        </w:rPr>
      </w:pPr>
      <w:r w:rsidRPr="0033303B">
        <w:rPr>
          <w:b/>
          <w:szCs w:val="24"/>
        </w:rPr>
        <w:t xml:space="preserve">Констативни посещения </w:t>
      </w:r>
    </w:p>
    <w:p w14:paraId="101DC95C" w14:textId="77777777" w:rsidR="0033303B" w:rsidRPr="0033303B" w:rsidRDefault="0033303B" w:rsidP="0033303B">
      <w:pPr>
        <w:spacing w:after="160" w:line="259" w:lineRule="auto"/>
        <w:jc w:val="both"/>
        <w:rPr>
          <w:szCs w:val="24"/>
        </w:rPr>
      </w:pPr>
      <w:r w:rsidRPr="0033303B">
        <w:t>През 2017 г. комисията по петиции проведе четири констативни посещения.</w:t>
      </w:r>
    </w:p>
    <w:p w14:paraId="61C29766" w14:textId="77777777" w:rsidR="0033303B" w:rsidRPr="0033303B" w:rsidRDefault="0033303B" w:rsidP="0033303B">
      <w:pPr>
        <w:spacing w:after="160" w:line="259" w:lineRule="auto"/>
        <w:jc w:val="both"/>
        <w:rPr>
          <w:szCs w:val="24"/>
        </w:rPr>
      </w:pPr>
      <w:r w:rsidRPr="0033303B">
        <w:t>•</w:t>
      </w:r>
      <w:r w:rsidRPr="0033303B">
        <w:tab/>
        <w:t xml:space="preserve">На 20 и 21 февруари 2017 г. делегация на комисията по петиции посети Стокхолм (Швеция), след като получи няколко петиции относно трудностите, с които се сблъскват гражданите на ЕС, желаещи да живеят в Швеция за по-дълъг период от няколко седмици, за да получат личен идентификационен номер. Делегацията се срещна с представители на различните министерства, участващи в процеса на вземане на </w:t>
      </w:r>
      <w:r w:rsidRPr="0033303B">
        <w:lastRenderedPageBreak/>
        <w:t xml:space="preserve">решенията, които са били оспорени от вносители на петиции. </w:t>
      </w:r>
    </w:p>
    <w:p w14:paraId="0137211D" w14:textId="77777777" w:rsidR="0033303B" w:rsidRPr="0033303B" w:rsidRDefault="0033303B" w:rsidP="0033303B">
      <w:pPr>
        <w:spacing w:after="160" w:line="259" w:lineRule="auto"/>
        <w:jc w:val="both"/>
        <w:rPr>
          <w:szCs w:val="24"/>
        </w:rPr>
      </w:pPr>
      <w:r w:rsidRPr="0033303B">
        <w:t>•</w:t>
      </w:r>
      <w:r w:rsidRPr="0033303B">
        <w:tab/>
        <w:t xml:space="preserve">На 22 и 23 май 2017 г. се проведе констативно посещение в Мадрид (Испания) за проучване във връзка с няколко петиции, в които се твърди кражба на бебета след раждането им от болници в страната по време и след периода на диктатурата на Франко. </w:t>
      </w:r>
    </w:p>
    <w:p w14:paraId="3AFE0F15" w14:textId="77777777" w:rsidR="0033303B" w:rsidRPr="0033303B" w:rsidRDefault="0033303B" w:rsidP="0033303B">
      <w:pPr>
        <w:spacing w:after="160" w:line="259" w:lineRule="auto"/>
        <w:jc w:val="both"/>
        <w:rPr>
          <w:szCs w:val="24"/>
        </w:rPr>
      </w:pPr>
      <w:r w:rsidRPr="0033303B">
        <w:t>•</w:t>
      </w:r>
      <w:r w:rsidRPr="0033303B">
        <w:tab/>
        <w:t>От 17 до 19 юли 2017 г. се е състоя констативно посещение в Таранто (Италия), първоначално планирано през 2016 г., но впоследствие отменено. Делегацията посети най-големите стоманодобивни комбинати в Европа, рафинерия и площадката на планираното разширяване на петролния пристан. Целта на мисията беше да се предприемат последващи действия по редица петиции, свързани със замърсяване на въздуха, почвата и водите. Сред петициите, във връзка с които беше проведена констативната мисия, бяха разгледани и много стари петиции, които датират от 2007 г. и 2012 г.</w:t>
      </w:r>
    </w:p>
    <w:p w14:paraId="3F955F4A" w14:textId="77777777" w:rsidR="0033303B" w:rsidRPr="0033303B" w:rsidRDefault="0033303B" w:rsidP="0033303B">
      <w:pPr>
        <w:spacing w:after="160" w:line="259" w:lineRule="auto"/>
        <w:jc w:val="both"/>
        <w:rPr>
          <w:szCs w:val="24"/>
        </w:rPr>
      </w:pPr>
      <w:r w:rsidRPr="0033303B">
        <w:t>•</w:t>
      </w:r>
      <w:r w:rsidRPr="0033303B">
        <w:tab/>
        <w:t>От 20 до 22 септември 2017 г. комисията по петиции направи констативно посещение в Ларнака (Кипър). Целта на посещението беше да се предприемат последващи действия по редица петиции от местни жители по проблеми, свързани с околната среда и здравето, поради изграждането на промишлено пристанище в Ларнака и последиците от неговото функциониране за по-широкия район.</w:t>
      </w:r>
    </w:p>
    <w:p w14:paraId="607563D6" w14:textId="77777777" w:rsidR="0033303B" w:rsidRPr="0033303B" w:rsidRDefault="0033303B" w:rsidP="0033303B">
      <w:pPr>
        <w:spacing w:after="160" w:line="259" w:lineRule="auto"/>
        <w:rPr>
          <w:b/>
          <w:szCs w:val="24"/>
        </w:rPr>
      </w:pPr>
    </w:p>
    <w:p w14:paraId="1283ED4D" w14:textId="77777777" w:rsidR="0033303B" w:rsidRPr="0033303B" w:rsidRDefault="0033303B" w:rsidP="0033303B">
      <w:pPr>
        <w:spacing w:after="160" w:line="259" w:lineRule="auto"/>
        <w:rPr>
          <w:b/>
          <w:szCs w:val="24"/>
        </w:rPr>
      </w:pPr>
      <w:r w:rsidRPr="0033303B">
        <w:rPr>
          <w:b/>
          <w:szCs w:val="24"/>
        </w:rPr>
        <w:t>Публични изслушвания</w:t>
      </w:r>
    </w:p>
    <w:p w14:paraId="6A334D4E" w14:textId="77777777" w:rsidR="0033303B" w:rsidRPr="0033303B" w:rsidRDefault="0033303B" w:rsidP="0033303B">
      <w:pPr>
        <w:spacing w:after="160" w:line="259" w:lineRule="auto"/>
        <w:jc w:val="both"/>
        <w:rPr>
          <w:szCs w:val="24"/>
        </w:rPr>
      </w:pPr>
      <w:r w:rsidRPr="0033303B">
        <w:t>През 2017 г. комисията по петиции организира шест публични изслушвания, някои от които съвместно с други парламентарни комисии. Публичните изслушвания обхванаха широк кръг от въпроси, повдигнати в петиции.</w:t>
      </w:r>
    </w:p>
    <w:p w14:paraId="4D299B3A" w14:textId="77777777" w:rsidR="0033303B" w:rsidRPr="0033303B" w:rsidRDefault="0033303B" w:rsidP="0033303B">
      <w:pPr>
        <w:spacing w:after="160" w:line="259" w:lineRule="auto"/>
        <w:jc w:val="both"/>
        <w:rPr>
          <w:szCs w:val="24"/>
        </w:rPr>
      </w:pPr>
      <w:r w:rsidRPr="0033303B">
        <w:t>•</w:t>
      </w:r>
      <w:r w:rsidRPr="0033303B">
        <w:tab/>
        <w:t>На 4 май 2017 г. комисията по петиции организира публично изслушване на тема „</w:t>
      </w:r>
      <w:r w:rsidRPr="0033303B">
        <w:rPr>
          <w:i/>
        </w:rPr>
        <w:t>Борбата с дискриминацията на граждани на ЕС в държавите членки и за защита на малцинствата</w:t>
      </w:r>
      <w:r w:rsidRPr="0033303B">
        <w:t xml:space="preserve">“. Комисията по петиции получи значителен брой петиции, в които се твърди нарушаване на правото на гражданите на равно третиране и недискриминация, които са закрепени в Хартата на основните права на ЕС. Член 21 от Хартата играе стратегическа роля, тъй като постигането на целта на принципа на равенство пред закона не би било възможно без спазването на допълващия принцип за недискриминация, включен в този член. В този контекст изслушването имаше за цел да задълбочи някои аспекти на дискриминацията, визирани в член 21, като например езика, принадлежността към национално малцинство и сексуалната ориентация. </w:t>
      </w:r>
    </w:p>
    <w:p w14:paraId="5034DD81" w14:textId="77777777" w:rsidR="0033303B" w:rsidRPr="0033303B" w:rsidRDefault="0033303B" w:rsidP="0033303B">
      <w:pPr>
        <w:spacing w:after="160" w:line="259" w:lineRule="auto"/>
        <w:jc w:val="both"/>
        <w:rPr>
          <w:szCs w:val="24"/>
        </w:rPr>
      </w:pPr>
      <w:r w:rsidRPr="0033303B">
        <w:t>•</w:t>
      </w:r>
      <w:r w:rsidRPr="0033303B">
        <w:tab/>
        <w:t>На 11 май 2017 г. комисията проведе съвместно публично изслушване заедно с комисията по граждански свободи, правосъдие и вътрешни работи и с комисията по заетост и социални въпроси на тема „</w:t>
      </w:r>
      <w:r w:rsidRPr="0033303B">
        <w:rPr>
          <w:i/>
        </w:rPr>
        <w:t>Положението и правата на гражданите на ЕС в Обединеното кралство</w:t>
      </w:r>
      <w:r w:rsidRPr="0033303B">
        <w:t>“. По време на изслушването бяха разгледани, наред с другото, огромните опасения на гражданите, изразени в петиции във връзка с правата, произтичащи от гражданството на ЕС, като правото на свободно движение и достъп до пазара на труда, след оттеглянето на Обединеното кралство от Европейския съюз.</w:t>
      </w:r>
    </w:p>
    <w:p w14:paraId="17228B1D" w14:textId="77777777" w:rsidR="0033303B" w:rsidRPr="0033303B" w:rsidRDefault="0033303B" w:rsidP="0033303B">
      <w:pPr>
        <w:spacing w:after="160" w:line="259" w:lineRule="auto"/>
        <w:jc w:val="both"/>
        <w:rPr>
          <w:szCs w:val="24"/>
        </w:rPr>
      </w:pPr>
      <w:r w:rsidRPr="0033303B">
        <w:lastRenderedPageBreak/>
        <w:t>•</w:t>
      </w:r>
      <w:r w:rsidRPr="0033303B">
        <w:tab/>
        <w:t>На 22 юни 2017 г. комисията по петиции организира изслушване на тема „</w:t>
      </w:r>
      <w:r w:rsidRPr="0033303B">
        <w:rPr>
          <w:i/>
        </w:rPr>
        <w:t>Възстановяване на доверието на гражданите в европейския проект</w:t>
      </w:r>
      <w:r w:rsidRPr="0033303B">
        <w:t>“. Целта на изслушването беше да се хвърли светлина върху актуалните нагласи на гражданите на ЕС към европейския проект в контекста след референдума за излизането на Обединеното кралство от ЕС и с оглед на други политически промени в Съюза през последната година. Участниците бяха приканени да предложат идеи за възстановяването и повишаването на доверието у гражданите в европейската интеграция в дългосрочен план.</w:t>
      </w:r>
    </w:p>
    <w:p w14:paraId="233F8492" w14:textId="77777777" w:rsidR="0033303B" w:rsidRPr="0033303B" w:rsidRDefault="0033303B" w:rsidP="0033303B">
      <w:pPr>
        <w:spacing w:after="160" w:line="259" w:lineRule="auto"/>
        <w:jc w:val="both"/>
        <w:rPr>
          <w:szCs w:val="24"/>
        </w:rPr>
      </w:pPr>
      <w:r w:rsidRPr="0033303B">
        <w:t>•</w:t>
      </w:r>
      <w:r w:rsidRPr="0033303B">
        <w:tab/>
        <w:t xml:space="preserve">На 29 юни 2017 г. се проведе съвместно публично изслушване заедно с комисията по граждански свободи, правосъдие и вътрешни работи по въпроса за </w:t>
      </w:r>
      <w:r w:rsidRPr="0033303B">
        <w:rPr>
          <w:i/>
        </w:rPr>
        <w:t>лицата без гражданство</w:t>
      </w:r>
      <w:r w:rsidRPr="0033303B">
        <w:t xml:space="preserve">. </w:t>
      </w:r>
    </w:p>
    <w:p w14:paraId="56CD8EE2" w14:textId="77777777" w:rsidR="0033303B" w:rsidRPr="0033303B" w:rsidRDefault="0033303B" w:rsidP="0033303B">
      <w:pPr>
        <w:spacing w:after="160" w:line="259" w:lineRule="auto"/>
        <w:jc w:val="both"/>
        <w:rPr>
          <w:szCs w:val="24"/>
        </w:rPr>
      </w:pPr>
      <w:r w:rsidRPr="0033303B">
        <w:t>•</w:t>
      </w:r>
      <w:r w:rsidRPr="0033303B">
        <w:tab/>
        <w:t xml:space="preserve">На 20 ноември 2017 г. комисията по петиции участва като асоцииран комитет в публично изслушване, организирано от комисията по околна среда, обществено здраве и безопасност на храните на тема </w:t>
      </w:r>
      <w:r w:rsidRPr="0033303B">
        <w:rPr>
          <w:i/>
        </w:rPr>
        <w:t>Европейската гражданска инициатива</w:t>
      </w:r>
      <w:r w:rsidRPr="0033303B">
        <w:t>:</w:t>
      </w:r>
      <w:r w:rsidRPr="0033303B">
        <w:rPr>
          <w:i/>
          <w:szCs w:val="24"/>
        </w:rPr>
        <w:t xml:space="preserve"> „Забрана на използването на глифозат и защита на хората и околната среда от токсични пестициди“.</w:t>
      </w:r>
      <w:r w:rsidRPr="0033303B">
        <w:t xml:space="preserve"> </w:t>
      </w:r>
    </w:p>
    <w:p w14:paraId="26EF56A2" w14:textId="77777777" w:rsidR="0033303B" w:rsidRPr="0033303B" w:rsidRDefault="0033303B" w:rsidP="0033303B">
      <w:pPr>
        <w:spacing w:after="160" w:line="259" w:lineRule="auto"/>
        <w:jc w:val="both"/>
        <w:rPr>
          <w:szCs w:val="24"/>
        </w:rPr>
      </w:pPr>
      <w:r w:rsidRPr="0033303B">
        <w:t>•</w:t>
      </w:r>
      <w:r w:rsidRPr="0033303B">
        <w:tab/>
        <w:t>На 22 ноември 2017 г. комисията организира публично изслушване на тема „</w:t>
      </w:r>
      <w:r w:rsidRPr="0033303B">
        <w:rPr>
          <w:i/>
        </w:rPr>
        <w:t>Защита на правата на работниците при временна или несигурна заетост, въз основа на получени петиции</w:t>
      </w:r>
      <w:r w:rsidRPr="0033303B">
        <w:t>“. Комисията по петиции получи значителен брой петиции, в които се изразява безпокойството на граждани, наети на временна работа или при несигурни условия. Това изслушване даде възможност за по-добро отразяване на сложността на различните видове заетост и за изясняване на положението на различните категории работници.</w:t>
      </w:r>
    </w:p>
    <w:p w14:paraId="46DB5939" w14:textId="77777777" w:rsidR="0033303B" w:rsidRPr="0033303B" w:rsidRDefault="0033303B" w:rsidP="0033303B">
      <w:pPr>
        <w:rPr>
          <w:szCs w:val="24"/>
        </w:rPr>
      </w:pPr>
    </w:p>
    <w:p w14:paraId="67FAA769" w14:textId="77777777" w:rsidR="0033303B" w:rsidRPr="0033303B" w:rsidRDefault="0033303B" w:rsidP="0033303B">
      <w:pPr>
        <w:spacing w:afterLines="160" w:after="384" w:line="259" w:lineRule="auto"/>
        <w:rPr>
          <w:b/>
          <w:szCs w:val="24"/>
        </w:rPr>
      </w:pPr>
      <w:r w:rsidRPr="0033303B">
        <w:rPr>
          <w:b/>
          <w:szCs w:val="24"/>
        </w:rPr>
        <w:t>Ключови въпроси</w:t>
      </w:r>
    </w:p>
    <w:p w14:paraId="15F560D5" w14:textId="77777777" w:rsidR="0033303B" w:rsidRPr="0033303B" w:rsidRDefault="0033303B" w:rsidP="0033303B">
      <w:pPr>
        <w:pStyle w:val="ListParagraph"/>
        <w:spacing w:afterLines="160" w:after="384" w:line="259" w:lineRule="auto"/>
        <w:ind w:hanging="360"/>
        <w:rPr>
          <w:rFonts w:ascii="Times New Roman" w:hAnsi="Times New Roman"/>
          <w:i/>
          <w:sz w:val="24"/>
          <w:szCs w:val="24"/>
        </w:rPr>
      </w:pPr>
      <w:r w:rsidRPr="0033303B">
        <w:rPr>
          <w:rFonts w:ascii="Wingdings" w:hAnsi="Wingdings"/>
          <w:sz w:val="24"/>
          <w:szCs w:val="24"/>
        </w:rPr>
        <w:t></w:t>
      </w:r>
      <w:r w:rsidRPr="0033303B">
        <w:rPr>
          <w:rFonts w:ascii="Wingdings" w:hAnsi="Wingdings"/>
          <w:sz w:val="24"/>
          <w:szCs w:val="24"/>
        </w:rPr>
        <w:tab/>
      </w:r>
      <w:r w:rsidRPr="0033303B">
        <w:rPr>
          <w:rFonts w:ascii="Times New Roman" w:hAnsi="Times New Roman"/>
          <w:i/>
          <w:sz w:val="24"/>
          <w:szCs w:val="24"/>
        </w:rPr>
        <w:t>Въпроси, свързани с уврежданията</w:t>
      </w:r>
    </w:p>
    <w:p w14:paraId="01907E42" w14:textId="77777777" w:rsidR="0033303B" w:rsidRPr="0033303B" w:rsidRDefault="0033303B" w:rsidP="0033303B">
      <w:pPr>
        <w:spacing w:afterLines="160" w:after="384" w:line="259" w:lineRule="auto"/>
        <w:jc w:val="both"/>
        <w:rPr>
          <w:szCs w:val="24"/>
        </w:rPr>
      </w:pPr>
      <w:r w:rsidRPr="0033303B">
        <w:t>Комисията по петиции има широка роля във връзка със спазването на Конвенцията на ООН за правата на хората с увреждания, в рамките на определянето на политиките и законодателните действия на равнището на ЕС. В рамките на тази отговорност комисията разглежда голям брой петиции по въпроси, свързани с уврежданията. Броят на внесените петиции по въпроси, свързани с уврежданията, е намалял с 0,5 процентни пункта от 0,7% през 2016 г. на 0,2% през 2017 г. Петициите показват, че основните предизвикателства пред хората с увреждания са достъпът до транспорт и застроената среда и дискриминацията, по-специално в областта на заетостта. Комисията по петиции проведе семинар на тема „</w:t>
      </w:r>
      <w:r w:rsidRPr="0033303B">
        <w:rPr>
          <w:i/>
        </w:rPr>
        <w:t>Защита на правата на хората с увреждания</w:t>
      </w:r>
      <w:r w:rsidRPr="0033303B">
        <w:t>“ в рамките на заседанието си от 12 октомври 2017 г. Бяха възложени две проучвания по въпроса за уврежданията, проучването на тема „</w:t>
      </w:r>
      <w:r w:rsidRPr="0033303B">
        <w:rPr>
          <w:i/>
        </w:rPr>
        <w:t>Приобщаващо образование за учащите се с увреждания</w:t>
      </w:r>
      <w:r w:rsidRPr="0033303B">
        <w:t>“ и на тема „</w:t>
      </w:r>
      <w:r w:rsidRPr="0033303B">
        <w:rPr>
          <w:i/>
        </w:rPr>
        <w:t xml:space="preserve">Ролята на защитник на комисията по петиции в контекста на прилагането на Конвенцията на ООН за правата на хората с увреждания – актуално </w:t>
      </w:r>
      <w:r w:rsidRPr="0033303B">
        <w:rPr>
          <w:i/>
        </w:rPr>
        <w:lastRenderedPageBreak/>
        <w:t>състояние за 2017 г.</w:t>
      </w:r>
      <w:r w:rsidRPr="0033303B">
        <w:t>“.</w:t>
      </w:r>
    </w:p>
    <w:p w14:paraId="1F486A44" w14:textId="77777777" w:rsidR="0033303B" w:rsidRPr="0033303B" w:rsidRDefault="0033303B" w:rsidP="0033303B">
      <w:pPr>
        <w:pStyle w:val="ListParagraph"/>
        <w:spacing w:afterLines="160" w:after="384" w:line="259" w:lineRule="auto"/>
        <w:ind w:hanging="360"/>
        <w:rPr>
          <w:rFonts w:ascii="Times New Roman" w:hAnsi="Times New Roman"/>
          <w:i/>
          <w:sz w:val="24"/>
          <w:szCs w:val="24"/>
        </w:rPr>
      </w:pPr>
      <w:r w:rsidRPr="0033303B">
        <w:rPr>
          <w:rFonts w:ascii="Wingdings" w:hAnsi="Wingdings"/>
          <w:sz w:val="24"/>
          <w:szCs w:val="24"/>
        </w:rPr>
        <w:t></w:t>
      </w:r>
      <w:r w:rsidRPr="0033303B">
        <w:rPr>
          <w:rFonts w:ascii="Wingdings" w:hAnsi="Wingdings"/>
          <w:sz w:val="24"/>
          <w:szCs w:val="24"/>
        </w:rPr>
        <w:tab/>
      </w:r>
      <w:r w:rsidRPr="0033303B">
        <w:rPr>
          <w:rFonts w:ascii="Times New Roman" w:hAnsi="Times New Roman"/>
          <w:i/>
          <w:sz w:val="24"/>
          <w:szCs w:val="24"/>
        </w:rPr>
        <w:t>Излизане на Обединеното кралство от ЕС</w:t>
      </w:r>
    </w:p>
    <w:p w14:paraId="382186B3" w14:textId="77777777" w:rsidR="0033303B" w:rsidRPr="0033303B" w:rsidRDefault="0033303B" w:rsidP="0033303B">
      <w:pPr>
        <w:spacing w:afterLines="160" w:after="384" w:line="259" w:lineRule="auto"/>
        <w:jc w:val="both"/>
        <w:rPr>
          <w:szCs w:val="24"/>
        </w:rPr>
      </w:pPr>
      <w:r w:rsidRPr="0033303B">
        <w:t>Комисията по петиции обсъди въпроса за въздействието на излизането на Обединеното кралство от ЕС върху правата на гражданите, който многократно се повдига в петициите. Комисията по петиции взе участие в съвместното публично изслушване от 11 май 2017 г. На заседанието ѝ от 21 юни 2017 г. бяха представени две проучвания, на тема „</w:t>
      </w:r>
      <w:r w:rsidRPr="0033303B">
        <w:rPr>
          <w:i/>
        </w:rPr>
        <w:t>Въздействието на Брекзит във връзка с правото на петиции и относно компетенциите, отговорностите и дейностите на комисията по петициите</w:t>
      </w:r>
      <w:r w:rsidRPr="0033303B">
        <w:t>“ и на тема „</w:t>
      </w:r>
      <w:r w:rsidRPr="0033303B">
        <w:rPr>
          <w:i/>
        </w:rPr>
        <w:t>Приоритетите от първа фаза на преговорите за Брекзит:</w:t>
      </w:r>
      <w:r w:rsidRPr="0033303B">
        <w:rPr>
          <w:i/>
          <w:szCs w:val="24"/>
        </w:rPr>
        <w:t xml:space="preserve"> </w:t>
      </w:r>
      <w:r w:rsidRPr="0033303B">
        <w:rPr>
          <w:i/>
        </w:rPr>
        <w:t>Правата на гражданите</w:t>
      </w:r>
      <w:r w:rsidRPr="0033303B">
        <w:t xml:space="preserve">“. Впоследствие беше обсъден голям брой петиции, свързани с въздействието на референдума върху някои граждански права и върху бъдещото развитие на ЕС. Като продължение на срещата комисията изпрати писмо до правителството на Обединеното кралство, в което изтъкна трудностите, пред които са изправени гражданите на ЕС във връзка с въпроса за постоянното пребиваване, включително информация относно петициите по този въпрос. Комисията по петиции също така е допринесла за различни резолюции на Парламента относно излизането на Обединеното кралство от ЕС. </w:t>
      </w:r>
    </w:p>
    <w:p w14:paraId="793957C1" w14:textId="77777777" w:rsidR="0033303B" w:rsidRPr="0033303B" w:rsidRDefault="0033303B" w:rsidP="0033303B">
      <w:pPr>
        <w:pStyle w:val="ListParagraph"/>
        <w:spacing w:afterLines="160" w:after="384" w:line="259" w:lineRule="auto"/>
        <w:ind w:hanging="360"/>
        <w:rPr>
          <w:rFonts w:ascii="Times New Roman" w:hAnsi="Times New Roman"/>
          <w:i/>
          <w:sz w:val="24"/>
          <w:szCs w:val="24"/>
        </w:rPr>
      </w:pPr>
      <w:r w:rsidRPr="0033303B">
        <w:rPr>
          <w:rFonts w:ascii="Wingdings" w:hAnsi="Wingdings"/>
          <w:sz w:val="24"/>
          <w:szCs w:val="24"/>
        </w:rPr>
        <w:t></w:t>
      </w:r>
      <w:r w:rsidRPr="0033303B">
        <w:rPr>
          <w:rFonts w:ascii="Wingdings" w:hAnsi="Wingdings"/>
          <w:sz w:val="24"/>
          <w:szCs w:val="24"/>
        </w:rPr>
        <w:tab/>
      </w:r>
      <w:r w:rsidRPr="0033303B">
        <w:rPr>
          <w:rFonts w:ascii="Times New Roman" w:hAnsi="Times New Roman"/>
          <w:i/>
          <w:sz w:val="24"/>
          <w:szCs w:val="24"/>
        </w:rPr>
        <w:t>Въпроси, свързани с околната среда</w:t>
      </w:r>
    </w:p>
    <w:p w14:paraId="27E87DA7" w14:textId="77777777" w:rsidR="0033303B" w:rsidRPr="0033303B" w:rsidRDefault="0033303B" w:rsidP="0033303B">
      <w:pPr>
        <w:spacing w:afterLines="160" w:after="384" w:line="259" w:lineRule="auto"/>
        <w:jc w:val="both"/>
        <w:rPr>
          <w:szCs w:val="24"/>
        </w:rPr>
      </w:pPr>
      <w:r w:rsidRPr="0033303B">
        <w:t xml:space="preserve">Въпросите, свързани с околната среда, бяха основната област на безпокойство за вносителите на петиции през 2017 г. Петициите по въпроси, свързани с околната среда, бяха обсъдени най-малко на пет от заседанията на комисията през 2017 г., много често в присъствието на вносителя на петицията. Обсъждани теми бяха въздействието на минните дейности върху околната среда, управлението на отпадъците и замърсяването на водата и въздуха. </w:t>
      </w:r>
    </w:p>
    <w:p w14:paraId="1D2930EF" w14:textId="77777777" w:rsidR="0033303B" w:rsidRPr="0033303B" w:rsidRDefault="0033303B" w:rsidP="0033303B">
      <w:pPr>
        <w:pStyle w:val="ListParagraph"/>
        <w:spacing w:afterLines="160" w:after="384" w:line="259" w:lineRule="auto"/>
        <w:ind w:hanging="360"/>
        <w:jc w:val="both"/>
        <w:rPr>
          <w:rFonts w:ascii="Times New Roman" w:hAnsi="Times New Roman"/>
          <w:i/>
          <w:sz w:val="24"/>
          <w:szCs w:val="24"/>
        </w:rPr>
      </w:pPr>
      <w:r w:rsidRPr="0033303B">
        <w:rPr>
          <w:rFonts w:ascii="Wingdings" w:hAnsi="Wingdings"/>
          <w:sz w:val="24"/>
          <w:szCs w:val="24"/>
        </w:rPr>
        <w:t></w:t>
      </w:r>
      <w:r w:rsidRPr="0033303B">
        <w:rPr>
          <w:rFonts w:ascii="Wingdings" w:hAnsi="Wingdings"/>
          <w:sz w:val="24"/>
          <w:szCs w:val="24"/>
        </w:rPr>
        <w:tab/>
      </w:r>
      <w:r w:rsidRPr="0033303B">
        <w:rPr>
          <w:rFonts w:ascii="Times New Roman" w:hAnsi="Times New Roman"/>
          <w:i/>
          <w:sz w:val="24"/>
          <w:szCs w:val="24"/>
        </w:rPr>
        <w:t>Хуманно отношение към животните</w:t>
      </w:r>
    </w:p>
    <w:p w14:paraId="5046FC51" w14:textId="77777777" w:rsidR="0033303B" w:rsidRPr="0033303B" w:rsidRDefault="0033303B" w:rsidP="0033303B">
      <w:pPr>
        <w:spacing w:afterLines="160" w:after="384" w:line="259" w:lineRule="auto"/>
        <w:jc w:val="both"/>
        <w:rPr>
          <w:szCs w:val="24"/>
        </w:rPr>
      </w:pPr>
      <w:r w:rsidRPr="0033303B">
        <w:t>На 23 март 2017 г. комисията представи проучване на тема „</w:t>
      </w:r>
      <w:r w:rsidRPr="0033303B">
        <w:rPr>
          <w:i/>
        </w:rPr>
        <w:t>Хуманното отношение към животните в Европейския съюз</w:t>
      </w:r>
      <w:r w:rsidRPr="0033303B">
        <w:t>“ и обсъди редица петиции, свързани с хуманното отношение към животните. Като последващо действие беше отправено искане до Комисията да положи усилия за хармонизация в тази област.</w:t>
      </w:r>
    </w:p>
    <w:p w14:paraId="4E4A91CE" w14:textId="77777777" w:rsidR="0033303B" w:rsidRPr="0033303B" w:rsidRDefault="0033303B" w:rsidP="0033303B">
      <w:pPr>
        <w:widowControl/>
        <w:rPr>
          <w:szCs w:val="24"/>
        </w:rPr>
      </w:pPr>
      <w:r w:rsidRPr="0033303B">
        <w:br w:type="page"/>
      </w:r>
    </w:p>
    <w:p w14:paraId="1DC878A2" w14:textId="77777777" w:rsidR="0033303B" w:rsidRPr="0033303B" w:rsidRDefault="0033303B" w:rsidP="0033303B">
      <w:pPr>
        <w:spacing w:afterLines="160" w:after="384" w:line="259" w:lineRule="auto"/>
        <w:jc w:val="both"/>
        <w:rPr>
          <w:szCs w:val="24"/>
        </w:rPr>
      </w:pPr>
    </w:p>
    <w:p w14:paraId="2EC8AECD" w14:textId="77777777" w:rsidR="0033303B" w:rsidRPr="0033303B" w:rsidRDefault="0033303B" w:rsidP="0033303B">
      <w:pPr>
        <w:pStyle w:val="PageHeading"/>
      </w:pPr>
      <w:bookmarkStart w:id="4" w:name="_Toc531612630"/>
      <w:bookmarkStart w:id="5" w:name="ProcPageRR"/>
      <w:bookmarkStart w:id="6" w:name="_Toc532207117"/>
      <w:r w:rsidRPr="0033303B">
        <w:t>ИНФОРМАЦИЯ ОТНОСНО ПРИЕМАНЕТО ВЪВ ВОДЕЩАТА КОМИСИЯ</w:t>
      </w:r>
      <w:bookmarkEnd w:id="4"/>
      <w:bookmarkEnd w:id="6"/>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33303B" w:rsidRPr="0033303B" w14:paraId="5CBECD24" w14:textId="77777777" w:rsidTr="005B076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3E6C10B" w14:textId="77777777" w:rsidR="0033303B" w:rsidRPr="0033303B" w:rsidRDefault="0033303B" w:rsidP="005B076E">
            <w:pPr>
              <w:autoSpaceDE w:val="0"/>
              <w:autoSpaceDN w:val="0"/>
              <w:adjustRightInd w:val="0"/>
              <w:rPr>
                <w:b/>
                <w:bCs/>
                <w:color w:val="000000"/>
                <w:sz w:val="20"/>
              </w:rPr>
            </w:pPr>
            <w:r w:rsidRPr="0033303B">
              <w:rPr>
                <w:b/>
                <w:bCs/>
                <w:color w:val="000000"/>
                <w:sz w:val="20"/>
              </w:rPr>
              <w:t>Дата на приемане</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2688A348" w14:textId="77777777" w:rsidR="0033303B" w:rsidRPr="0033303B" w:rsidRDefault="0033303B" w:rsidP="005B076E">
            <w:pPr>
              <w:autoSpaceDE w:val="0"/>
              <w:autoSpaceDN w:val="0"/>
              <w:adjustRightInd w:val="0"/>
              <w:rPr>
                <w:color w:val="000000"/>
                <w:sz w:val="20"/>
              </w:rPr>
            </w:pPr>
            <w:r w:rsidRPr="0033303B">
              <w:rPr>
                <w:color w:val="000000"/>
                <w:sz w:val="20"/>
              </w:rPr>
              <w:t>21.11.2018</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2ECC44A" w14:textId="77777777" w:rsidR="0033303B" w:rsidRPr="0033303B" w:rsidRDefault="0033303B" w:rsidP="005B076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033417F" w14:textId="77777777" w:rsidR="0033303B" w:rsidRPr="0033303B" w:rsidRDefault="0033303B" w:rsidP="005B076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9646D38" w14:textId="77777777" w:rsidR="0033303B" w:rsidRPr="0033303B" w:rsidRDefault="0033303B" w:rsidP="005B076E">
            <w:pPr>
              <w:autoSpaceDE w:val="0"/>
              <w:autoSpaceDN w:val="0"/>
              <w:adjustRightInd w:val="0"/>
              <w:rPr>
                <w:rFonts w:ascii="sans-serif" w:hAnsi="sans-serif" w:cs="sans-serif"/>
                <w:color w:val="000000"/>
                <w:szCs w:val="24"/>
              </w:rPr>
            </w:pPr>
          </w:p>
        </w:tc>
      </w:tr>
      <w:tr w:rsidR="0033303B" w:rsidRPr="0033303B" w14:paraId="07567814" w14:textId="77777777" w:rsidTr="005B076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ED0C914" w14:textId="77777777" w:rsidR="0033303B" w:rsidRPr="0033303B" w:rsidRDefault="0033303B" w:rsidP="005B076E">
            <w:pPr>
              <w:autoSpaceDE w:val="0"/>
              <w:autoSpaceDN w:val="0"/>
              <w:adjustRightInd w:val="0"/>
              <w:rPr>
                <w:b/>
                <w:bCs/>
                <w:color w:val="000000"/>
                <w:sz w:val="20"/>
              </w:rPr>
            </w:pPr>
            <w:r w:rsidRPr="0033303B">
              <w:rPr>
                <w:b/>
                <w:bCs/>
                <w:color w:val="000000"/>
                <w:sz w:val="20"/>
              </w:rPr>
              <w:t>Резултат от окончателното гласуване</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4ABEC66D" w14:textId="77777777" w:rsidR="0033303B" w:rsidRPr="0033303B" w:rsidRDefault="0033303B" w:rsidP="005B076E">
            <w:pPr>
              <w:autoSpaceDE w:val="0"/>
              <w:autoSpaceDN w:val="0"/>
              <w:adjustRightInd w:val="0"/>
              <w:rPr>
                <w:color w:val="000000"/>
                <w:sz w:val="20"/>
              </w:rPr>
            </w:pPr>
            <w:r w:rsidRPr="0033303B">
              <w:rPr>
                <w:color w:val="000000"/>
                <w:sz w:val="20"/>
              </w:rPr>
              <w:t>+:</w:t>
            </w:r>
          </w:p>
          <w:p w14:paraId="13CF2C5A" w14:textId="77777777" w:rsidR="0033303B" w:rsidRPr="0033303B" w:rsidRDefault="0033303B" w:rsidP="005B076E">
            <w:pPr>
              <w:autoSpaceDE w:val="0"/>
              <w:autoSpaceDN w:val="0"/>
              <w:adjustRightInd w:val="0"/>
              <w:rPr>
                <w:color w:val="000000"/>
                <w:sz w:val="20"/>
              </w:rPr>
            </w:pPr>
            <w:r w:rsidRPr="0033303B">
              <w:rPr>
                <w:color w:val="000000"/>
                <w:sz w:val="20"/>
              </w:rPr>
              <w:t>–:</w:t>
            </w:r>
          </w:p>
          <w:p w14:paraId="0DE529A0" w14:textId="77777777" w:rsidR="0033303B" w:rsidRPr="0033303B" w:rsidRDefault="0033303B" w:rsidP="005B076E">
            <w:pPr>
              <w:autoSpaceDE w:val="0"/>
              <w:autoSpaceDN w:val="0"/>
              <w:adjustRightInd w:val="0"/>
              <w:rPr>
                <w:color w:val="000000"/>
                <w:sz w:val="20"/>
              </w:rPr>
            </w:pPr>
            <w:r w:rsidRPr="0033303B">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B7AAA0E" w14:textId="77777777" w:rsidR="0033303B" w:rsidRPr="0033303B" w:rsidRDefault="0033303B" w:rsidP="005B076E">
            <w:pPr>
              <w:autoSpaceDE w:val="0"/>
              <w:autoSpaceDN w:val="0"/>
              <w:adjustRightInd w:val="0"/>
              <w:rPr>
                <w:color w:val="000000"/>
                <w:sz w:val="20"/>
              </w:rPr>
            </w:pPr>
            <w:r w:rsidRPr="0033303B">
              <w:rPr>
                <w:color w:val="000000"/>
                <w:sz w:val="20"/>
              </w:rPr>
              <w:t>25</w:t>
            </w:r>
          </w:p>
          <w:p w14:paraId="1BDAA724" w14:textId="77777777" w:rsidR="0033303B" w:rsidRPr="0033303B" w:rsidRDefault="0033303B" w:rsidP="005B076E">
            <w:pPr>
              <w:autoSpaceDE w:val="0"/>
              <w:autoSpaceDN w:val="0"/>
              <w:adjustRightInd w:val="0"/>
              <w:rPr>
                <w:color w:val="000000"/>
                <w:sz w:val="20"/>
              </w:rPr>
            </w:pPr>
            <w:r w:rsidRPr="0033303B">
              <w:rPr>
                <w:color w:val="000000"/>
                <w:sz w:val="20"/>
              </w:rPr>
              <w:t>3</w:t>
            </w:r>
          </w:p>
          <w:p w14:paraId="2E4AD191" w14:textId="77777777" w:rsidR="0033303B" w:rsidRPr="0033303B" w:rsidRDefault="0033303B" w:rsidP="005B076E">
            <w:pPr>
              <w:autoSpaceDE w:val="0"/>
              <w:autoSpaceDN w:val="0"/>
              <w:adjustRightInd w:val="0"/>
              <w:rPr>
                <w:color w:val="000000"/>
                <w:sz w:val="20"/>
              </w:rPr>
            </w:pPr>
            <w:r w:rsidRPr="0033303B">
              <w:rPr>
                <w:color w:val="000000"/>
                <w:sz w:val="20"/>
              </w:rPr>
              <w:t>0</w:t>
            </w:r>
          </w:p>
        </w:tc>
      </w:tr>
      <w:tr w:rsidR="0033303B" w:rsidRPr="0033303B" w14:paraId="604969A1" w14:textId="77777777" w:rsidTr="005B076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B4946EC" w14:textId="77777777" w:rsidR="0033303B" w:rsidRPr="0033303B" w:rsidRDefault="0033303B" w:rsidP="005B076E">
            <w:pPr>
              <w:autoSpaceDE w:val="0"/>
              <w:autoSpaceDN w:val="0"/>
              <w:adjustRightInd w:val="0"/>
              <w:rPr>
                <w:b/>
                <w:bCs/>
                <w:color w:val="000000"/>
                <w:sz w:val="20"/>
              </w:rPr>
            </w:pPr>
            <w:r w:rsidRPr="0033303B">
              <w:rPr>
                <w:b/>
                <w:bCs/>
                <w:color w:val="000000"/>
                <w:sz w:val="20"/>
              </w:rPr>
              <w:t>Членове, присъствали на окончателното гласуване</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532934A" w14:textId="77777777" w:rsidR="0033303B" w:rsidRPr="0033303B" w:rsidRDefault="0033303B" w:rsidP="005B076E">
            <w:pPr>
              <w:autoSpaceDE w:val="0"/>
              <w:autoSpaceDN w:val="0"/>
              <w:adjustRightInd w:val="0"/>
              <w:rPr>
                <w:color w:val="000000"/>
                <w:sz w:val="20"/>
              </w:rPr>
            </w:pPr>
            <w:r w:rsidRPr="0033303B">
              <w:rPr>
                <w:color w:val="000000"/>
                <w:sz w:val="20"/>
              </w:rPr>
              <w:t>Margrete Auken, Beatriz Becerra Basterrechea, Andrea Cozzolino, Pál Csáky, Miriam Dalli, Rosa Estaràs Ferragut, Eleonora Evi, Takis Hadjigeorgiou, Peter Jahr, Rikke-Louise Karlsson, Svetoslav Hristov Malinov, Lukas Mandl, Notis Marias, Ana Miranda, Marlene Mizzi, Gabriele Preuß, Eleni Theocharous, Cecilia Wikström</w:t>
            </w:r>
          </w:p>
        </w:tc>
      </w:tr>
      <w:tr w:rsidR="0033303B" w:rsidRPr="0033303B" w14:paraId="11DE5AAE" w14:textId="77777777" w:rsidTr="005B076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7B6626F7" w14:textId="77777777" w:rsidR="0033303B" w:rsidRPr="0033303B" w:rsidRDefault="0033303B" w:rsidP="005B076E">
            <w:pPr>
              <w:autoSpaceDE w:val="0"/>
              <w:autoSpaceDN w:val="0"/>
              <w:adjustRightInd w:val="0"/>
              <w:rPr>
                <w:b/>
                <w:bCs/>
                <w:color w:val="000000"/>
                <w:sz w:val="20"/>
              </w:rPr>
            </w:pPr>
            <w:r w:rsidRPr="0033303B">
              <w:rPr>
                <w:b/>
                <w:bCs/>
                <w:color w:val="000000"/>
                <w:sz w:val="20"/>
              </w:rPr>
              <w:t>Заместници, присъствали на окончателното гласуване</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18F1DE00" w14:textId="77777777" w:rsidR="0033303B" w:rsidRPr="0033303B" w:rsidRDefault="0033303B" w:rsidP="005B076E">
            <w:pPr>
              <w:autoSpaceDE w:val="0"/>
              <w:autoSpaceDN w:val="0"/>
              <w:adjustRightInd w:val="0"/>
              <w:rPr>
                <w:color w:val="000000"/>
                <w:sz w:val="20"/>
              </w:rPr>
            </w:pPr>
            <w:r w:rsidRPr="0033303B">
              <w:rPr>
                <w:color w:val="000000"/>
                <w:sz w:val="20"/>
              </w:rPr>
              <w:t>Urszula Krupa, Kostadinka Kuneva, Demetris Papadakis, Julia Pitera, Igor Šoltes, Ángela Vallina, Rainer Wieland</w:t>
            </w:r>
          </w:p>
        </w:tc>
      </w:tr>
      <w:tr w:rsidR="0033303B" w:rsidRPr="0033303B" w14:paraId="11BF4E3B" w14:textId="77777777" w:rsidTr="005B076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1A496CED" w14:textId="77777777" w:rsidR="0033303B" w:rsidRPr="0033303B" w:rsidRDefault="0033303B" w:rsidP="005B076E">
            <w:pPr>
              <w:autoSpaceDE w:val="0"/>
              <w:autoSpaceDN w:val="0"/>
              <w:adjustRightInd w:val="0"/>
              <w:rPr>
                <w:b/>
                <w:bCs/>
                <w:color w:val="000000"/>
                <w:sz w:val="20"/>
              </w:rPr>
            </w:pPr>
            <w:r w:rsidRPr="0033303B">
              <w:rPr>
                <w:b/>
                <w:bCs/>
                <w:color w:val="000000"/>
                <w:sz w:val="20"/>
              </w:rPr>
              <w:t>Заместници (чл. 200, пар. 2), присъствали на окончателното гласуване</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0DE47DEB" w14:textId="77777777" w:rsidR="0033303B" w:rsidRPr="0033303B" w:rsidRDefault="0033303B" w:rsidP="005B076E">
            <w:pPr>
              <w:autoSpaceDE w:val="0"/>
              <w:autoSpaceDN w:val="0"/>
              <w:adjustRightInd w:val="0"/>
              <w:rPr>
                <w:color w:val="000000"/>
                <w:sz w:val="20"/>
              </w:rPr>
            </w:pPr>
            <w:r w:rsidRPr="0033303B">
              <w:rPr>
                <w:color w:val="000000"/>
                <w:sz w:val="20"/>
              </w:rPr>
              <w:t>Asim Ademov, Rosa D’Amato, Adam Szejnfeld, Mihai Ţurcanu</w:t>
            </w:r>
          </w:p>
        </w:tc>
      </w:tr>
    </w:tbl>
    <w:p w14:paraId="7328E733" w14:textId="77777777" w:rsidR="0033303B" w:rsidRPr="0033303B" w:rsidRDefault="0033303B" w:rsidP="0033303B">
      <w:pPr>
        <w:autoSpaceDE w:val="0"/>
        <w:autoSpaceDN w:val="0"/>
        <w:adjustRightInd w:val="0"/>
        <w:rPr>
          <w:rFonts w:ascii="Arial" w:hAnsi="Arial" w:cs="Arial"/>
          <w:szCs w:val="24"/>
        </w:rPr>
      </w:pPr>
    </w:p>
    <w:bookmarkEnd w:id="5"/>
    <w:p w14:paraId="033A9175" w14:textId="77777777" w:rsidR="0033303B" w:rsidRPr="0033303B" w:rsidRDefault="0033303B" w:rsidP="0033303B">
      <w:r w:rsidRPr="0033303B">
        <w:br w:type="page"/>
      </w:r>
    </w:p>
    <w:p w14:paraId="78EAE7C7" w14:textId="77777777" w:rsidR="0033303B" w:rsidRPr="0033303B" w:rsidRDefault="0033303B" w:rsidP="0033303B">
      <w:pPr>
        <w:pStyle w:val="PageHeading"/>
      </w:pPr>
      <w:bookmarkStart w:id="7" w:name="_Toc531612631"/>
      <w:bookmarkStart w:id="8" w:name="RollCallPageRR"/>
      <w:bookmarkStart w:id="9" w:name="_Toc532207118"/>
      <w:r w:rsidRPr="0033303B">
        <w:lastRenderedPageBreak/>
        <w:t>ПОИМЕННО ОКОНЧАТЕЛНО ГЛАСУВАНЕ ВЪВ ВОДЕЩАТА КОМИСИЯ</w:t>
      </w:r>
      <w:bookmarkEnd w:id="7"/>
      <w:bookmarkEnd w:id="9"/>
    </w:p>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33303B" w:rsidRPr="0033303B" w14:paraId="5259356D" w14:textId="77777777" w:rsidTr="005B076E">
        <w:trPr>
          <w:cantSplit/>
        </w:trPr>
        <w:tc>
          <w:tcPr>
            <w:tcW w:w="1701" w:type="dxa"/>
            <w:shd w:val="pct10" w:color="000000" w:fill="FFFFFF"/>
            <w:vAlign w:val="center"/>
          </w:tcPr>
          <w:p w14:paraId="66CAB8ED" w14:textId="77777777" w:rsidR="0033303B" w:rsidRPr="0033303B" w:rsidRDefault="0033303B" w:rsidP="005B076E">
            <w:pPr>
              <w:spacing w:before="120" w:after="120"/>
              <w:jc w:val="center"/>
              <w:rPr>
                <w:b/>
                <w:sz w:val="20"/>
              </w:rPr>
            </w:pPr>
            <w:r w:rsidRPr="0033303B">
              <w:rPr>
                <w:b/>
                <w:sz w:val="20"/>
              </w:rPr>
              <w:t>25</w:t>
            </w:r>
          </w:p>
        </w:tc>
        <w:tc>
          <w:tcPr>
            <w:tcW w:w="7371" w:type="dxa"/>
            <w:shd w:val="pct10" w:color="000000" w:fill="FFFFFF"/>
          </w:tcPr>
          <w:p w14:paraId="0A2541C7" w14:textId="77777777" w:rsidR="0033303B" w:rsidRPr="0033303B" w:rsidRDefault="0033303B" w:rsidP="005B076E">
            <w:pPr>
              <w:spacing w:before="120" w:after="120"/>
              <w:jc w:val="center"/>
              <w:rPr>
                <w:rFonts w:ascii="Arial" w:hAnsi="Arial" w:cs="Arial"/>
                <w:b/>
                <w:sz w:val="28"/>
                <w:szCs w:val="28"/>
              </w:rPr>
            </w:pPr>
            <w:r w:rsidRPr="0033303B">
              <w:rPr>
                <w:rFonts w:ascii="Arial" w:hAnsi="Arial"/>
                <w:b/>
                <w:sz w:val="28"/>
                <w:szCs w:val="28"/>
              </w:rPr>
              <w:t>+</w:t>
            </w:r>
          </w:p>
        </w:tc>
      </w:tr>
      <w:tr w:rsidR="0033303B" w:rsidRPr="0033303B" w14:paraId="2EADD3F0" w14:textId="77777777" w:rsidTr="005B076E">
        <w:trPr>
          <w:cantSplit/>
        </w:trPr>
        <w:tc>
          <w:tcPr>
            <w:tcW w:w="1701" w:type="dxa"/>
            <w:shd w:val="clear" w:color="auto" w:fill="FFFFFF"/>
            <w:vAlign w:val="center"/>
          </w:tcPr>
          <w:p w14:paraId="43637109" w14:textId="77777777" w:rsidR="0033303B" w:rsidRPr="0033303B" w:rsidRDefault="0033303B" w:rsidP="005B076E">
            <w:pPr>
              <w:spacing w:before="120" w:after="120"/>
              <w:rPr>
                <w:sz w:val="20"/>
              </w:rPr>
            </w:pPr>
            <w:r w:rsidRPr="0033303B">
              <w:rPr>
                <w:sz w:val="16"/>
              </w:rPr>
              <w:t>ALDE</w:t>
            </w:r>
          </w:p>
        </w:tc>
        <w:tc>
          <w:tcPr>
            <w:tcW w:w="7371" w:type="dxa"/>
            <w:shd w:val="clear" w:color="auto" w:fill="FFFFFF"/>
            <w:vAlign w:val="center"/>
          </w:tcPr>
          <w:p w14:paraId="58F44953" w14:textId="77777777" w:rsidR="0033303B" w:rsidRPr="0033303B" w:rsidRDefault="0033303B" w:rsidP="005B076E">
            <w:pPr>
              <w:spacing w:before="120" w:after="120"/>
              <w:rPr>
                <w:sz w:val="20"/>
              </w:rPr>
            </w:pPr>
            <w:r w:rsidRPr="0033303B">
              <w:rPr>
                <w:sz w:val="16"/>
              </w:rPr>
              <w:t>Beatriz Becerra Basterrechea,  Cecilia Wikström</w:t>
            </w:r>
          </w:p>
        </w:tc>
      </w:tr>
      <w:tr w:rsidR="0033303B" w:rsidRPr="0033303B" w14:paraId="664F63F1" w14:textId="77777777" w:rsidTr="005B076E">
        <w:trPr>
          <w:cantSplit/>
        </w:trPr>
        <w:tc>
          <w:tcPr>
            <w:tcW w:w="1701" w:type="dxa"/>
            <w:shd w:val="clear" w:color="auto" w:fill="FFFFFF"/>
            <w:vAlign w:val="center"/>
          </w:tcPr>
          <w:p w14:paraId="5DA86F69" w14:textId="77777777" w:rsidR="0033303B" w:rsidRPr="0033303B" w:rsidRDefault="0033303B" w:rsidP="005B076E">
            <w:pPr>
              <w:spacing w:before="120" w:after="120"/>
              <w:rPr>
                <w:sz w:val="20"/>
              </w:rPr>
            </w:pPr>
            <w:r w:rsidRPr="0033303B">
              <w:rPr>
                <w:sz w:val="16"/>
              </w:rPr>
              <w:t>EFDD</w:t>
            </w:r>
          </w:p>
        </w:tc>
        <w:tc>
          <w:tcPr>
            <w:tcW w:w="7371" w:type="dxa"/>
            <w:shd w:val="clear" w:color="auto" w:fill="FFFFFF"/>
            <w:vAlign w:val="center"/>
          </w:tcPr>
          <w:p w14:paraId="21C6E517" w14:textId="77777777" w:rsidR="0033303B" w:rsidRPr="0033303B" w:rsidRDefault="0033303B" w:rsidP="005B076E">
            <w:pPr>
              <w:spacing w:before="120" w:after="120"/>
              <w:rPr>
                <w:sz w:val="20"/>
              </w:rPr>
            </w:pPr>
            <w:r w:rsidRPr="0033303B">
              <w:rPr>
                <w:sz w:val="16"/>
              </w:rPr>
              <w:t>Eleonora Evi, Rosa D'Amato</w:t>
            </w:r>
          </w:p>
        </w:tc>
      </w:tr>
      <w:tr w:rsidR="0033303B" w:rsidRPr="0033303B" w14:paraId="204A293F" w14:textId="77777777" w:rsidTr="005B076E">
        <w:trPr>
          <w:cantSplit/>
        </w:trPr>
        <w:tc>
          <w:tcPr>
            <w:tcW w:w="1701" w:type="dxa"/>
            <w:shd w:val="clear" w:color="auto" w:fill="FFFFFF"/>
            <w:vAlign w:val="center"/>
          </w:tcPr>
          <w:p w14:paraId="0EBA046C" w14:textId="77777777" w:rsidR="0033303B" w:rsidRPr="0033303B" w:rsidRDefault="0033303B" w:rsidP="005B076E">
            <w:pPr>
              <w:spacing w:before="120" w:after="120"/>
              <w:rPr>
                <w:sz w:val="20"/>
              </w:rPr>
            </w:pPr>
            <w:r w:rsidRPr="0033303B">
              <w:rPr>
                <w:sz w:val="16"/>
              </w:rPr>
              <w:t>GUE/NGL</w:t>
            </w:r>
          </w:p>
        </w:tc>
        <w:tc>
          <w:tcPr>
            <w:tcW w:w="7371" w:type="dxa"/>
            <w:shd w:val="clear" w:color="auto" w:fill="FFFFFF"/>
            <w:vAlign w:val="center"/>
          </w:tcPr>
          <w:p w14:paraId="11485DFB" w14:textId="77777777" w:rsidR="0033303B" w:rsidRPr="0033303B" w:rsidRDefault="0033303B" w:rsidP="005B076E">
            <w:pPr>
              <w:spacing w:before="120" w:after="120"/>
              <w:rPr>
                <w:sz w:val="20"/>
              </w:rPr>
            </w:pPr>
            <w:r w:rsidRPr="0033303B">
              <w:rPr>
                <w:sz w:val="16"/>
                <w:szCs w:val="22"/>
              </w:rPr>
              <w:t>Takis Hadjigeorgiou, Kostadinka Kuneva, Ángela Vallina</w:t>
            </w:r>
          </w:p>
        </w:tc>
      </w:tr>
      <w:tr w:rsidR="0033303B" w:rsidRPr="0033303B" w14:paraId="1BF7EE14" w14:textId="77777777" w:rsidTr="005B076E">
        <w:trPr>
          <w:cantSplit/>
        </w:trPr>
        <w:tc>
          <w:tcPr>
            <w:tcW w:w="1701" w:type="dxa"/>
            <w:shd w:val="clear" w:color="auto" w:fill="FFFFFF"/>
            <w:vAlign w:val="center"/>
          </w:tcPr>
          <w:p w14:paraId="581D1F2A" w14:textId="77777777" w:rsidR="0033303B" w:rsidRPr="0033303B" w:rsidRDefault="0033303B" w:rsidP="005B076E">
            <w:pPr>
              <w:spacing w:before="120" w:after="120"/>
              <w:rPr>
                <w:sz w:val="20"/>
              </w:rPr>
            </w:pPr>
            <w:r w:rsidRPr="0033303B">
              <w:rPr>
                <w:sz w:val="16"/>
              </w:rPr>
              <w:t>NI</w:t>
            </w:r>
          </w:p>
        </w:tc>
        <w:tc>
          <w:tcPr>
            <w:tcW w:w="7371" w:type="dxa"/>
            <w:shd w:val="clear" w:color="auto" w:fill="FFFFFF"/>
            <w:vAlign w:val="center"/>
          </w:tcPr>
          <w:p w14:paraId="704180D2" w14:textId="77777777" w:rsidR="0033303B" w:rsidRPr="0033303B" w:rsidRDefault="0033303B" w:rsidP="005B076E">
            <w:pPr>
              <w:spacing w:before="120" w:after="120"/>
              <w:rPr>
                <w:sz w:val="20"/>
              </w:rPr>
            </w:pPr>
            <w:r w:rsidRPr="0033303B">
              <w:rPr>
                <w:sz w:val="16"/>
                <w:szCs w:val="22"/>
              </w:rPr>
              <w:t>Rikke-Louise Karlsson</w:t>
            </w:r>
          </w:p>
        </w:tc>
      </w:tr>
      <w:tr w:rsidR="0033303B" w:rsidRPr="0033303B" w14:paraId="0991F9E1" w14:textId="77777777" w:rsidTr="005B076E">
        <w:trPr>
          <w:cantSplit/>
        </w:trPr>
        <w:tc>
          <w:tcPr>
            <w:tcW w:w="1701" w:type="dxa"/>
            <w:shd w:val="clear" w:color="auto" w:fill="FFFFFF"/>
            <w:vAlign w:val="center"/>
          </w:tcPr>
          <w:p w14:paraId="11753D6D" w14:textId="77777777" w:rsidR="0033303B" w:rsidRPr="0033303B" w:rsidRDefault="0033303B" w:rsidP="005B076E">
            <w:pPr>
              <w:spacing w:before="120" w:after="120"/>
              <w:rPr>
                <w:sz w:val="20"/>
              </w:rPr>
            </w:pPr>
            <w:r w:rsidRPr="0033303B">
              <w:rPr>
                <w:sz w:val="16"/>
              </w:rPr>
              <w:t>PPE</w:t>
            </w:r>
          </w:p>
        </w:tc>
        <w:tc>
          <w:tcPr>
            <w:tcW w:w="7371" w:type="dxa"/>
            <w:shd w:val="clear" w:color="auto" w:fill="FFFFFF"/>
            <w:vAlign w:val="center"/>
          </w:tcPr>
          <w:p w14:paraId="59C22F00" w14:textId="77777777" w:rsidR="0033303B" w:rsidRPr="0033303B" w:rsidRDefault="0033303B" w:rsidP="005B076E">
            <w:pPr>
              <w:spacing w:before="120" w:after="120"/>
              <w:rPr>
                <w:sz w:val="20"/>
              </w:rPr>
            </w:pPr>
            <w:r w:rsidRPr="0033303B">
              <w:rPr>
                <w:sz w:val="16"/>
              </w:rPr>
              <w:t xml:space="preserve">Asim Ademov. </w:t>
            </w:r>
            <w:r w:rsidRPr="0033303B">
              <w:rPr>
                <w:sz w:val="16"/>
                <w:szCs w:val="22"/>
              </w:rPr>
              <w:t>Pál Csáky,</w:t>
            </w:r>
            <w:r w:rsidRPr="0033303B">
              <w:t xml:space="preserve"> </w:t>
            </w:r>
            <w:r w:rsidRPr="0033303B">
              <w:rPr>
                <w:sz w:val="16"/>
              </w:rPr>
              <w:t>Rosa Estaràs Ferragut,</w:t>
            </w:r>
            <w:r w:rsidRPr="0033303B">
              <w:t xml:space="preserve"> </w:t>
            </w:r>
            <w:r w:rsidRPr="0033303B">
              <w:rPr>
                <w:sz w:val="16"/>
              </w:rPr>
              <w:t>Peter Jahr; Svetoslav Hristov Malinov, Lukas Mandl Adam Szejnfeld, Mihai Ţurcanu, Rainer Wieland</w:t>
            </w:r>
          </w:p>
        </w:tc>
      </w:tr>
      <w:tr w:rsidR="0033303B" w:rsidRPr="0033303B" w14:paraId="0E225716" w14:textId="77777777" w:rsidTr="005B076E">
        <w:trPr>
          <w:cantSplit/>
        </w:trPr>
        <w:tc>
          <w:tcPr>
            <w:tcW w:w="1701" w:type="dxa"/>
            <w:shd w:val="clear" w:color="auto" w:fill="FFFFFF"/>
            <w:vAlign w:val="center"/>
          </w:tcPr>
          <w:p w14:paraId="402BEF46" w14:textId="77777777" w:rsidR="0033303B" w:rsidRPr="0033303B" w:rsidRDefault="0033303B" w:rsidP="005B076E">
            <w:pPr>
              <w:spacing w:before="120" w:after="120"/>
              <w:rPr>
                <w:sz w:val="20"/>
              </w:rPr>
            </w:pPr>
            <w:r w:rsidRPr="0033303B">
              <w:rPr>
                <w:sz w:val="16"/>
              </w:rPr>
              <w:t>S&amp;D</w:t>
            </w:r>
          </w:p>
        </w:tc>
        <w:tc>
          <w:tcPr>
            <w:tcW w:w="7371" w:type="dxa"/>
            <w:shd w:val="clear" w:color="auto" w:fill="FFFFFF"/>
            <w:vAlign w:val="center"/>
          </w:tcPr>
          <w:p w14:paraId="708735A8" w14:textId="77777777" w:rsidR="0033303B" w:rsidRPr="0033303B" w:rsidRDefault="0033303B" w:rsidP="005B076E">
            <w:pPr>
              <w:spacing w:before="120" w:after="120"/>
              <w:rPr>
                <w:sz w:val="20"/>
              </w:rPr>
            </w:pPr>
            <w:r w:rsidRPr="0033303B">
              <w:rPr>
                <w:sz w:val="16"/>
                <w:szCs w:val="22"/>
              </w:rPr>
              <w:t>Andrea Cozzolino, Miriam Dalli, Marlene Mizzi,</w:t>
            </w:r>
            <w:r w:rsidRPr="0033303B">
              <w:rPr>
                <w:sz w:val="16"/>
              </w:rPr>
              <w:t xml:space="preserve"> Demetris Papadakis,</w:t>
            </w:r>
            <w:r w:rsidRPr="0033303B">
              <w:rPr>
                <w:sz w:val="16"/>
                <w:szCs w:val="22"/>
              </w:rPr>
              <w:t xml:space="preserve"> Gabriele Preuß</w:t>
            </w:r>
          </w:p>
        </w:tc>
      </w:tr>
      <w:tr w:rsidR="0033303B" w:rsidRPr="0033303B" w14:paraId="0FDC47E7" w14:textId="77777777" w:rsidTr="005B076E">
        <w:trPr>
          <w:cantSplit/>
        </w:trPr>
        <w:tc>
          <w:tcPr>
            <w:tcW w:w="1701" w:type="dxa"/>
            <w:shd w:val="clear" w:color="auto" w:fill="FFFFFF"/>
            <w:vAlign w:val="center"/>
          </w:tcPr>
          <w:p w14:paraId="56738D94" w14:textId="77777777" w:rsidR="0033303B" w:rsidRPr="0033303B" w:rsidRDefault="0033303B" w:rsidP="005B076E">
            <w:pPr>
              <w:spacing w:before="120" w:after="120"/>
              <w:rPr>
                <w:sz w:val="20"/>
              </w:rPr>
            </w:pPr>
            <w:r w:rsidRPr="0033303B">
              <w:rPr>
                <w:sz w:val="16"/>
              </w:rPr>
              <w:t>VERTS/ALE</w:t>
            </w:r>
          </w:p>
        </w:tc>
        <w:tc>
          <w:tcPr>
            <w:tcW w:w="7371" w:type="dxa"/>
            <w:shd w:val="clear" w:color="auto" w:fill="FFFFFF"/>
            <w:vAlign w:val="center"/>
          </w:tcPr>
          <w:p w14:paraId="2A0B5583" w14:textId="77777777" w:rsidR="0033303B" w:rsidRPr="0033303B" w:rsidRDefault="0033303B" w:rsidP="005B076E">
            <w:pPr>
              <w:spacing w:before="120" w:after="120"/>
              <w:rPr>
                <w:sz w:val="20"/>
              </w:rPr>
            </w:pPr>
            <w:r w:rsidRPr="0033303B">
              <w:rPr>
                <w:sz w:val="16"/>
              </w:rPr>
              <w:t>Margrete Auken, Ana Miranda, Igor Šoltes</w:t>
            </w:r>
          </w:p>
        </w:tc>
      </w:tr>
    </w:tbl>
    <w:p w14:paraId="10BF1D12" w14:textId="77777777" w:rsidR="0033303B" w:rsidRPr="0033303B" w:rsidRDefault="0033303B" w:rsidP="0033303B"/>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33303B" w:rsidRPr="0033303B" w14:paraId="39058366" w14:textId="77777777" w:rsidTr="005B076E">
        <w:trPr>
          <w:cantSplit/>
        </w:trPr>
        <w:tc>
          <w:tcPr>
            <w:tcW w:w="1701" w:type="dxa"/>
            <w:shd w:val="pct10" w:color="000000" w:fill="FFFFFF"/>
            <w:vAlign w:val="center"/>
          </w:tcPr>
          <w:p w14:paraId="0ECAFF34" w14:textId="77777777" w:rsidR="0033303B" w:rsidRPr="0033303B" w:rsidRDefault="0033303B" w:rsidP="005B076E">
            <w:pPr>
              <w:spacing w:before="120" w:after="120"/>
              <w:jc w:val="center"/>
              <w:rPr>
                <w:b/>
                <w:sz w:val="20"/>
              </w:rPr>
            </w:pPr>
            <w:r w:rsidRPr="0033303B">
              <w:rPr>
                <w:b/>
                <w:sz w:val="20"/>
              </w:rPr>
              <w:t>3</w:t>
            </w:r>
          </w:p>
        </w:tc>
        <w:tc>
          <w:tcPr>
            <w:tcW w:w="7371" w:type="dxa"/>
            <w:shd w:val="pct10" w:color="000000" w:fill="FFFFFF"/>
          </w:tcPr>
          <w:p w14:paraId="1CAD2231" w14:textId="77777777" w:rsidR="0033303B" w:rsidRPr="0033303B" w:rsidRDefault="0033303B" w:rsidP="005B076E">
            <w:pPr>
              <w:spacing w:before="120" w:after="120"/>
              <w:jc w:val="center"/>
              <w:rPr>
                <w:sz w:val="28"/>
                <w:szCs w:val="28"/>
              </w:rPr>
            </w:pPr>
            <w:r w:rsidRPr="0033303B">
              <w:rPr>
                <w:rFonts w:ascii="Arial" w:hAnsi="Arial"/>
                <w:b/>
                <w:sz w:val="28"/>
                <w:szCs w:val="28"/>
              </w:rPr>
              <w:t>-</w:t>
            </w:r>
          </w:p>
        </w:tc>
      </w:tr>
      <w:tr w:rsidR="0033303B" w:rsidRPr="0033303B" w14:paraId="25C29F80" w14:textId="77777777" w:rsidTr="005B076E">
        <w:trPr>
          <w:cantSplit/>
        </w:trPr>
        <w:tc>
          <w:tcPr>
            <w:tcW w:w="1701" w:type="dxa"/>
            <w:shd w:val="clear" w:color="auto" w:fill="FFFFFF"/>
          </w:tcPr>
          <w:p w14:paraId="238EB27A" w14:textId="77777777" w:rsidR="0033303B" w:rsidRPr="0033303B" w:rsidRDefault="0033303B" w:rsidP="005B076E">
            <w:pPr>
              <w:spacing w:before="120" w:after="120"/>
              <w:rPr>
                <w:sz w:val="20"/>
              </w:rPr>
            </w:pPr>
            <w:r w:rsidRPr="0033303B">
              <w:rPr>
                <w:sz w:val="20"/>
              </w:rPr>
              <w:t>ECR</w:t>
            </w:r>
          </w:p>
        </w:tc>
        <w:tc>
          <w:tcPr>
            <w:tcW w:w="7371" w:type="dxa"/>
            <w:shd w:val="clear" w:color="auto" w:fill="FFFFFF"/>
          </w:tcPr>
          <w:p w14:paraId="3461C4AB" w14:textId="77777777" w:rsidR="0033303B" w:rsidRPr="0033303B" w:rsidRDefault="0033303B" w:rsidP="005B076E">
            <w:pPr>
              <w:spacing w:before="120" w:after="120"/>
              <w:rPr>
                <w:sz w:val="20"/>
              </w:rPr>
            </w:pPr>
            <w:r w:rsidRPr="0033303B">
              <w:rPr>
                <w:sz w:val="16"/>
                <w:szCs w:val="22"/>
              </w:rPr>
              <w:t>Urszula Krupa, Notis Marias, Eleni Theocharous</w:t>
            </w:r>
          </w:p>
        </w:tc>
      </w:tr>
    </w:tbl>
    <w:p w14:paraId="366DC100" w14:textId="77777777" w:rsidR="0033303B" w:rsidRPr="0033303B" w:rsidRDefault="0033303B" w:rsidP="0033303B"/>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33303B" w:rsidRPr="0033303B" w14:paraId="12BFF052" w14:textId="77777777" w:rsidTr="005B076E">
        <w:trPr>
          <w:cantSplit/>
        </w:trPr>
        <w:tc>
          <w:tcPr>
            <w:tcW w:w="1701" w:type="dxa"/>
            <w:shd w:val="pct10" w:color="000000" w:fill="FFFFFF"/>
            <w:vAlign w:val="center"/>
          </w:tcPr>
          <w:p w14:paraId="2B91EC20" w14:textId="77777777" w:rsidR="0033303B" w:rsidRPr="0033303B" w:rsidRDefault="0033303B" w:rsidP="005B076E">
            <w:pPr>
              <w:spacing w:before="120" w:after="120"/>
              <w:jc w:val="center"/>
              <w:rPr>
                <w:b/>
                <w:sz w:val="20"/>
              </w:rPr>
            </w:pPr>
            <w:r w:rsidRPr="0033303B">
              <w:rPr>
                <w:b/>
                <w:sz w:val="20"/>
              </w:rPr>
              <w:t>0</w:t>
            </w:r>
          </w:p>
        </w:tc>
        <w:tc>
          <w:tcPr>
            <w:tcW w:w="7371" w:type="dxa"/>
            <w:shd w:val="pct10" w:color="000000" w:fill="FFFFFF"/>
          </w:tcPr>
          <w:p w14:paraId="181C5A46" w14:textId="77777777" w:rsidR="0033303B" w:rsidRPr="0033303B" w:rsidRDefault="0033303B" w:rsidP="005B076E">
            <w:pPr>
              <w:spacing w:before="120" w:after="120"/>
              <w:jc w:val="center"/>
              <w:rPr>
                <w:sz w:val="28"/>
                <w:szCs w:val="28"/>
              </w:rPr>
            </w:pPr>
            <w:r w:rsidRPr="0033303B">
              <w:rPr>
                <w:rFonts w:ascii="Arial" w:hAnsi="Arial"/>
                <w:b/>
                <w:sz w:val="28"/>
                <w:szCs w:val="28"/>
              </w:rPr>
              <w:t>0</w:t>
            </w:r>
          </w:p>
        </w:tc>
      </w:tr>
      <w:tr w:rsidR="0033303B" w:rsidRPr="0033303B" w14:paraId="50C5FE6D" w14:textId="77777777" w:rsidTr="005B076E">
        <w:trPr>
          <w:cantSplit/>
        </w:trPr>
        <w:tc>
          <w:tcPr>
            <w:tcW w:w="1701" w:type="dxa"/>
            <w:shd w:val="clear" w:color="auto" w:fill="FFFFFF"/>
          </w:tcPr>
          <w:p w14:paraId="687338CD" w14:textId="77777777" w:rsidR="0033303B" w:rsidRPr="0033303B" w:rsidRDefault="0033303B" w:rsidP="005B076E">
            <w:pPr>
              <w:spacing w:before="120" w:after="120"/>
              <w:rPr>
                <w:sz w:val="20"/>
              </w:rPr>
            </w:pPr>
          </w:p>
        </w:tc>
        <w:tc>
          <w:tcPr>
            <w:tcW w:w="7371" w:type="dxa"/>
            <w:shd w:val="clear" w:color="auto" w:fill="FFFFFF"/>
          </w:tcPr>
          <w:p w14:paraId="27570776" w14:textId="77777777" w:rsidR="0033303B" w:rsidRPr="0033303B" w:rsidRDefault="0033303B" w:rsidP="005B076E">
            <w:pPr>
              <w:spacing w:before="120" w:after="120"/>
              <w:rPr>
                <w:sz w:val="20"/>
              </w:rPr>
            </w:pPr>
          </w:p>
        </w:tc>
      </w:tr>
    </w:tbl>
    <w:p w14:paraId="56BE7D27" w14:textId="77777777" w:rsidR="0033303B" w:rsidRPr="0033303B" w:rsidRDefault="0033303B" w:rsidP="0033303B">
      <w:pPr>
        <w:pStyle w:val="Normal12"/>
      </w:pPr>
    </w:p>
    <w:p w14:paraId="64D42E09" w14:textId="77777777" w:rsidR="0033303B" w:rsidRPr="0033303B" w:rsidRDefault="0033303B" w:rsidP="0033303B">
      <w:r w:rsidRPr="0033303B">
        <w:t>Легенда на използваните знаци:</w:t>
      </w:r>
    </w:p>
    <w:p w14:paraId="3AF70C8D" w14:textId="77777777" w:rsidR="0033303B" w:rsidRPr="0033303B" w:rsidRDefault="0033303B" w:rsidP="0033303B">
      <w:pPr>
        <w:pStyle w:val="NormalTabs"/>
      </w:pPr>
      <w:r w:rsidRPr="0033303B">
        <w:t>+</w:t>
      </w:r>
      <w:r w:rsidRPr="0033303B">
        <w:tab/>
        <w:t>:</w:t>
      </w:r>
      <w:r w:rsidRPr="0033303B">
        <w:tab/>
        <w:t>„за“</w:t>
      </w:r>
    </w:p>
    <w:p w14:paraId="32A94BAC" w14:textId="77777777" w:rsidR="0033303B" w:rsidRPr="0033303B" w:rsidRDefault="0033303B" w:rsidP="0033303B">
      <w:pPr>
        <w:pStyle w:val="NormalTabs"/>
      </w:pPr>
      <w:r w:rsidRPr="0033303B">
        <w:t>-</w:t>
      </w:r>
      <w:r w:rsidRPr="0033303B">
        <w:tab/>
        <w:t>:</w:t>
      </w:r>
      <w:r w:rsidRPr="0033303B">
        <w:tab/>
        <w:t>„против“</w:t>
      </w:r>
    </w:p>
    <w:p w14:paraId="23C8E625" w14:textId="77777777" w:rsidR="0033303B" w:rsidRPr="0033303B" w:rsidRDefault="0033303B" w:rsidP="0033303B">
      <w:pPr>
        <w:pStyle w:val="NormalTabs"/>
      </w:pPr>
      <w:r w:rsidRPr="0033303B">
        <w:t>0</w:t>
      </w:r>
      <w:r w:rsidRPr="0033303B">
        <w:tab/>
        <w:t>:</w:t>
      </w:r>
      <w:r w:rsidRPr="0033303B">
        <w:tab/>
        <w:t>„въздържал се“</w:t>
      </w:r>
    </w:p>
    <w:p w14:paraId="6D31D90E" w14:textId="77777777" w:rsidR="0033303B" w:rsidRPr="0033303B" w:rsidRDefault="0033303B" w:rsidP="0033303B"/>
    <w:bookmarkEnd w:id="8"/>
    <w:p w14:paraId="2C60D018" w14:textId="77777777" w:rsidR="0033303B" w:rsidRPr="0033303B" w:rsidRDefault="0033303B" w:rsidP="0033303B"/>
    <w:p w14:paraId="3B32DE94" w14:textId="7D9AE685" w:rsidR="0033303B" w:rsidRPr="0033303B" w:rsidRDefault="0033303B" w:rsidP="00711633">
      <w:pPr>
        <w:pStyle w:val="Normal12Hanging"/>
      </w:pPr>
    </w:p>
    <w:p w14:paraId="3A8A7DDE" w14:textId="77777777" w:rsidR="0033303B" w:rsidRPr="0033303B" w:rsidRDefault="0033303B" w:rsidP="00711633">
      <w:pPr>
        <w:pStyle w:val="Normal12Hanging"/>
      </w:pPr>
    </w:p>
    <w:sectPr w:rsidR="0033303B" w:rsidRPr="0033303B" w:rsidSect="0033303B">
      <w:footerReference w:type="even" r:id="rId26"/>
      <w:footerReference w:type="default" r:id="rId27"/>
      <w:footerReference w:type="first" r:id="rId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DD20F" w14:textId="77777777" w:rsidR="007C4C38" w:rsidRPr="0033303B" w:rsidRDefault="007C4C38">
      <w:r w:rsidRPr="0033303B">
        <w:separator/>
      </w:r>
    </w:p>
  </w:endnote>
  <w:endnote w:type="continuationSeparator" w:id="0">
    <w:p w14:paraId="10B88764" w14:textId="77777777" w:rsidR="007C4C38" w:rsidRPr="0033303B" w:rsidRDefault="007C4C38">
      <w:r w:rsidRPr="003330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142A" w14:textId="7001E9FF" w:rsidR="0033303B" w:rsidRPr="0033303B" w:rsidRDefault="0033303B" w:rsidP="0033303B">
    <w:pPr>
      <w:pStyle w:val="Footer"/>
    </w:pPr>
    <w:r w:rsidRPr="0033303B">
      <w:t>PE</w:t>
    </w:r>
    <w:r w:rsidRPr="0033303B">
      <w:rPr>
        <w:rStyle w:val="HideTWBExt"/>
        <w:noProof w:val="0"/>
      </w:rPr>
      <w:t>&lt;NoPE&gt;</w:t>
    </w:r>
    <w:r w:rsidRPr="0033303B">
      <w:t>623.694</w:t>
    </w:r>
    <w:r w:rsidRPr="0033303B">
      <w:rPr>
        <w:rStyle w:val="HideTWBExt"/>
        <w:noProof w:val="0"/>
      </w:rPr>
      <w:t>&lt;/NoPE&gt;&lt;Version&gt;</w:t>
    </w:r>
    <w:r w:rsidRPr="0033303B">
      <w:t>v02-00</w:t>
    </w:r>
    <w:r w:rsidRPr="0033303B">
      <w:rPr>
        <w:rStyle w:val="HideTWBExt"/>
        <w:noProof w:val="0"/>
      </w:rPr>
      <w:t>&lt;/Version&gt;</w:t>
    </w:r>
    <w:r w:rsidRPr="0033303B">
      <w:tab/>
    </w:r>
    <w:r w:rsidRPr="0033303B">
      <w:fldChar w:fldCharType="begin"/>
    </w:r>
    <w:r w:rsidRPr="0033303B">
      <w:instrText xml:space="preserve"> PAGE  \* MERGEFORMAT </w:instrText>
    </w:r>
    <w:r w:rsidRPr="0033303B">
      <w:fldChar w:fldCharType="separate"/>
    </w:r>
    <w:r w:rsidR="00891D3D">
      <w:rPr>
        <w:noProof/>
      </w:rPr>
      <w:t>4</w:t>
    </w:r>
    <w:r w:rsidRPr="0033303B">
      <w:fldChar w:fldCharType="end"/>
    </w:r>
    <w:r w:rsidRPr="0033303B">
      <w:t>/</w:t>
    </w:r>
    <w:fldSimple w:instr=" NUMPAGES  \* MERGEFORMAT ">
      <w:r w:rsidR="00891D3D">
        <w:rPr>
          <w:noProof/>
        </w:rPr>
        <w:t>29</w:t>
      </w:r>
    </w:fldSimple>
    <w:r w:rsidRPr="0033303B">
      <w:tab/>
    </w:r>
    <w:r w:rsidRPr="0033303B">
      <w:rPr>
        <w:rStyle w:val="HideTWBExt"/>
        <w:noProof w:val="0"/>
      </w:rPr>
      <w:t>&lt;PathFdR&gt;</w:t>
    </w:r>
    <w:r w:rsidRPr="0033303B">
      <w:t>RR\1170378BG.docx</w:t>
    </w:r>
    <w:r w:rsidRPr="0033303B">
      <w:rPr>
        <w:rStyle w:val="HideTWBExt"/>
        <w:noProof w:val="0"/>
      </w:rPr>
      <w:t>&lt;/PathFdR&gt;</w:t>
    </w:r>
  </w:p>
  <w:p w14:paraId="20601E2C" w14:textId="0461EA13" w:rsidR="0033303B" w:rsidRPr="0033303B" w:rsidRDefault="0033303B" w:rsidP="0033303B">
    <w:pPr>
      <w:pStyle w:val="Footer2"/>
    </w:pPr>
    <w:r w:rsidRPr="0033303B">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E967" w14:textId="05A75A20" w:rsidR="0033303B" w:rsidRPr="0033303B" w:rsidRDefault="0033303B" w:rsidP="0033303B">
    <w:pPr>
      <w:pStyle w:val="Footer"/>
    </w:pPr>
    <w:r w:rsidRPr="0033303B">
      <w:rPr>
        <w:rStyle w:val="HideTWBExt"/>
        <w:noProof w:val="0"/>
      </w:rPr>
      <w:t>&lt;PathFdR&gt;</w:t>
    </w:r>
    <w:r w:rsidRPr="0033303B">
      <w:t>RR\1170378BG.docx</w:t>
    </w:r>
    <w:r w:rsidRPr="0033303B">
      <w:rPr>
        <w:rStyle w:val="HideTWBExt"/>
        <w:noProof w:val="0"/>
      </w:rPr>
      <w:t>&lt;/PathFdR&gt;</w:t>
    </w:r>
    <w:r w:rsidRPr="0033303B">
      <w:tab/>
    </w:r>
    <w:r w:rsidRPr="0033303B">
      <w:fldChar w:fldCharType="begin"/>
    </w:r>
    <w:r w:rsidRPr="0033303B">
      <w:instrText xml:space="preserve"> PAGE  \* MERGEFORMAT </w:instrText>
    </w:r>
    <w:r w:rsidRPr="0033303B">
      <w:fldChar w:fldCharType="separate"/>
    </w:r>
    <w:r w:rsidR="00891D3D">
      <w:rPr>
        <w:noProof/>
      </w:rPr>
      <w:t>3</w:t>
    </w:r>
    <w:r w:rsidRPr="0033303B">
      <w:fldChar w:fldCharType="end"/>
    </w:r>
    <w:r w:rsidRPr="0033303B">
      <w:t>/</w:t>
    </w:r>
    <w:fldSimple w:instr=" NUMPAGES  \* MERGEFORMAT ">
      <w:r w:rsidR="00891D3D">
        <w:rPr>
          <w:noProof/>
        </w:rPr>
        <w:t>29</w:t>
      </w:r>
    </w:fldSimple>
    <w:r w:rsidRPr="0033303B">
      <w:tab/>
      <w:t>PE</w:t>
    </w:r>
    <w:r w:rsidRPr="0033303B">
      <w:rPr>
        <w:rStyle w:val="HideTWBExt"/>
        <w:noProof w:val="0"/>
      </w:rPr>
      <w:t>&lt;NoPE&gt;</w:t>
    </w:r>
    <w:r w:rsidRPr="0033303B">
      <w:t>623.694</w:t>
    </w:r>
    <w:r w:rsidRPr="0033303B">
      <w:rPr>
        <w:rStyle w:val="HideTWBExt"/>
        <w:noProof w:val="0"/>
      </w:rPr>
      <w:t>&lt;/NoPE&gt;&lt;Version&gt;</w:t>
    </w:r>
    <w:r w:rsidRPr="0033303B">
      <w:t>v02-00</w:t>
    </w:r>
    <w:r w:rsidRPr="0033303B">
      <w:rPr>
        <w:rStyle w:val="HideTWBExt"/>
        <w:noProof w:val="0"/>
      </w:rPr>
      <w:t>&lt;/Version&gt;</w:t>
    </w:r>
  </w:p>
  <w:p w14:paraId="09E91C61" w14:textId="4DF071E1" w:rsidR="0033303B" w:rsidRPr="0033303B" w:rsidRDefault="0033303B" w:rsidP="0033303B">
    <w:pPr>
      <w:pStyle w:val="Footer2"/>
    </w:pPr>
    <w:r w:rsidRPr="0033303B">
      <w:tab/>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CA2C" w14:textId="77777777" w:rsidR="0033303B" w:rsidRPr="0033303B" w:rsidRDefault="0033303B" w:rsidP="0033303B">
    <w:pPr>
      <w:pStyle w:val="Footer"/>
    </w:pPr>
    <w:r w:rsidRPr="0033303B">
      <w:rPr>
        <w:rStyle w:val="HideTWBExt"/>
        <w:noProof w:val="0"/>
      </w:rPr>
      <w:t>&lt;PathFdR&gt;</w:t>
    </w:r>
    <w:r w:rsidRPr="0033303B">
      <w:t>RR\1170378BG.docx</w:t>
    </w:r>
    <w:r w:rsidRPr="0033303B">
      <w:rPr>
        <w:rStyle w:val="HideTWBExt"/>
        <w:noProof w:val="0"/>
      </w:rPr>
      <w:t>&lt;/PathFdR&gt;</w:t>
    </w:r>
    <w:r w:rsidRPr="0033303B">
      <w:tab/>
    </w:r>
    <w:r w:rsidRPr="0033303B">
      <w:tab/>
      <w:t>PE</w:t>
    </w:r>
    <w:r w:rsidRPr="0033303B">
      <w:rPr>
        <w:rStyle w:val="HideTWBExt"/>
        <w:noProof w:val="0"/>
      </w:rPr>
      <w:t>&lt;NoPE&gt;</w:t>
    </w:r>
    <w:r w:rsidRPr="0033303B">
      <w:t>623.694</w:t>
    </w:r>
    <w:r w:rsidRPr="0033303B">
      <w:rPr>
        <w:rStyle w:val="HideTWBExt"/>
        <w:noProof w:val="0"/>
      </w:rPr>
      <w:t>&lt;/NoPE&gt;&lt;Version&gt;</w:t>
    </w:r>
    <w:r w:rsidRPr="0033303B">
      <w:t>v02-00</w:t>
    </w:r>
    <w:r w:rsidRPr="0033303B">
      <w:rPr>
        <w:rStyle w:val="HideTWBExt"/>
        <w:noProof w:val="0"/>
      </w:rPr>
      <w:t>&lt;/Version&gt;</w:t>
    </w:r>
  </w:p>
  <w:p w14:paraId="570B3DBD" w14:textId="27EB7179" w:rsidR="0033303B" w:rsidRPr="0033303B" w:rsidRDefault="0033303B" w:rsidP="0033303B">
    <w:pPr>
      <w:pStyle w:val="Footer2"/>
      <w:tabs>
        <w:tab w:val="center" w:pos="4535"/>
        <w:tab w:val="right" w:pos="9921"/>
      </w:tabs>
    </w:pPr>
    <w:r w:rsidRPr="0033303B">
      <w:t>BG</w:t>
    </w:r>
    <w:r w:rsidRPr="0033303B">
      <w:tab/>
    </w:r>
    <w:r w:rsidRPr="0033303B">
      <w:rPr>
        <w:b w:val="0"/>
        <w:i/>
        <w:color w:val="C0C0C0"/>
        <w:sz w:val="22"/>
      </w:rPr>
      <w:t>Единство в многообразието</w:t>
    </w:r>
    <w:r w:rsidRPr="0033303B">
      <w:tab/>
      <w:t>BG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D893" w14:textId="08FDE428" w:rsidR="0033303B" w:rsidRDefault="0033303B" w:rsidP="0033303B">
    <w:pPr>
      <w:pStyle w:val="Footer"/>
    </w:pPr>
    <w:r>
      <w:t>PE</w:t>
    </w:r>
    <w:r w:rsidRPr="0033303B">
      <w:rPr>
        <w:rStyle w:val="HideTWBExt"/>
      </w:rPr>
      <w:t>&lt;NoPE&gt;</w:t>
    </w:r>
    <w:r>
      <w:t>623.694</w:t>
    </w:r>
    <w:r w:rsidRPr="0033303B">
      <w:rPr>
        <w:rStyle w:val="HideTWBExt"/>
      </w:rPr>
      <w:t>&lt;/NoPE&gt;&lt;Version&gt;</w:t>
    </w:r>
    <w:r>
      <w:t>v02-00</w:t>
    </w:r>
    <w:r w:rsidRPr="0033303B">
      <w:rPr>
        <w:rStyle w:val="HideTWBExt"/>
      </w:rPr>
      <w:t>&lt;/Version&gt;</w:t>
    </w:r>
    <w:r>
      <w:tab/>
    </w:r>
    <w:r>
      <w:fldChar w:fldCharType="begin"/>
    </w:r>
    <w:r>
      <w:instrText xml:space="preserve"> PAGE  \* MERGEFORMAT </w:instrText>
    </w:r>
    <w:r>
      <w:fldChar w:fldCharType="separate"/>
    </w:r>
    <w:r w:rsidR="00891D3D">
      <w:rPr>
        <w:noProof/>
      </w:rPr>
      <w:t>28</w:t>
    </w:r>
    <w:r>
      <w:fldChar w:fldCharType="end"/>
    </w:r>
    <w:r>
      <w:t>/</w:t>
    </w:r>
    <w:fldSimple w:instr=" NUMPAGES  \* MERGEFORMAT ">
      <w:r w:rsidR="00891D3D">
        <w:rPr>
          <w:noProof/>
        </w:rPr>
        <w:t>28</w:t>
      </w:r>
    </w:fldSimple>
    <w:r>
      <w:tab/>
    </w:r>
    <w:r w:rsidRPr="0033303B">
      <w:rPr>
        <w:rStyle w:val="HideTWBExt"/>
      </w:rPr>
      <w:t>&lt;PathFdR&gt;</w:t>
    </w:r>
    <w:r>
      <w:t>RR\1170378BG.docx</w:t>
    </w:r>
    <w:r w:rsidRPr="0033303B">
      <w:rPr>
        <w:rStyle w:val="HideTWBExt"/>
      </w:rPr>
      <w:t>&lt;/PathFdR&gt;</w:t>
    </w:r>
  </w:p>
  <w:p w14:paraId="0EDD58CC" w14:textId="596B9D23" w:rsidR="00DA5A5D" w:rsidRPr="00010705" w:rsidRDefault="0033303B" w:rsidP="0033303B">
    <w:pPr>
      <w:pStyle w:val="Footer2"/>
    </w:pPr>
    <w: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234C" w14:textId="6BA302CD" w:rsidR="0033303B" w:rsidRDefault="0033303B" w:rsidP="0033303B">
    <w:pPr>
      <w:pStyle w:val="Footer"/>
    </w:pPr>
    <w:r w:rsidRPr="0033303B">
      <w:rPr>
        <w:rStyle w:val="HideTWBExt"/>
      </w:rPr>
      <w:t>&lt;PathFdR&gt;</w:t>
    </w:r>
    <w:r>
      <w:t>RR\1170378BG.docx</w:t>
    </w:r>
    <w:r w:rsidRPr="0033303B">
      <w:rPr>
        <w:rStyle w:val="HideTWBExt"/>
      </w:rPr>
      <w:t>&lt;/PathFdR&gt;</w:t>
    </w:r>
    <w:r>
      <w:tab/>
    </w:r>
    <w:r>
      <w:fldChar w:fldCharType="begin"/>
    </w:r>
    <w:r>
      <w:instrText xml:space="preserve"> PAGE  \* MERGEFORMAT </w:instrText>
    </w:r>
    <w:r>
      <w:fldChar w:fldCharType="separate"/>
    </w:r>
    <w:r w:rsidR="00891D3D">
      <w:rPr>
        <w:noProof/>
      </w:rPr>
      <w:t>29</w:t>
    </w:r>
    <w:r>
      <w:fldChar w:fldCharType="end"/>
    </w:r>
    <w:r>
      <w:t>/</w:t>
    </w:r>
    <w:fldSimple w:instr=" NUMPAGES  \* MERGEFORMAT ">
      <w:r w:rsidR="00891D3D">
        <w:rPr>
          <w:noProof/>
        </w:rPr>
        <w:t>29</w:t>
      </w:r>
    </w:fldSimple>
    <w:r>
      <w:tab/>
      <w:t>PE</w:t>
    </w:r>
    <w:r w:rsidRPr="0033303B">
      <w:rPr>
        <w:rStyle w:val="HideTWBExt"/>
      </w:rPr>
      <w:t>&lt;NoPE&gt;</w:t>
    </w:r>
    <w:r>
      <w:t>623.694</w:t>
    </w:r>
    <w:r w:rsidRPr="0033303B">
      <w:rPr>
        <w:rStyle w:val="HideTWBExt"/>
      </w:rPr>
      <w:t>&lt;/NoPE&gt;&lt;Version&gt;</w:t>
    </w:r>
    <w:r>
      <w:t>v02-00</w:t>
    </w:r>
    <w:r w:rsidRPr="0033303B">
      <w:rPr>
        <w:rStyle w:val="HideTWBExt"/>
      </w:rPr>
      <w:t>&lt;/Version&gt;</w:t>
    </w:r>
  </w:p>
  <w:p w14:paraId="24936CE4" w14:textId="03B05900" w:rsidR="00DA5A5D" w:rsidRPr="00010705" w:rsidRDefault="0033303B" w:rsidP="0033303B">
    <w:pPr>
      <w:pStyle w:val="Footer2"/>
    </w:pPr>
    <w:r>
      <w:tab/>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AFB4" w14:textId="6358F79E" w:rsidR="000F79E5" w:rsidRPr="00010705" w:rsidRDefault="000F79E5" w:rsidP="000F79E5">
    <w:pPr>
      <w:pStyle w:val="Footer"/>
    </w:pPr>
    <w:r w:rsidRPr="00010705">
      <w:rPr>
        <w:rStyle w:val="HideTWBExt"/>
        <w:noProof w:val="0"/>
      </w:rPr>
      <w:t>&lt;PathFdR&gt;</w:t>
    </w:r>
    <w:r w:rsidR="00010705" w:rsidRPr="00010705">
      <w:t>RR\1170378BG.docx</w:t>
    </w:r>
    <w:r w:rsidRPr="00010705">
      <w:rPr>
        <w:rStyle w:val="HideTWBExt"/>
        <w:noProof w:val="0"/>
      </w:rPr>
      <w:t>&lt;/PathFdR&gt;</w:t>
    </w:r>
    <w:r w:rsidRPr="00010705">
      <w:tab/>
    </w:r>
    <w:r w:rsidRPr="00010705">
      <w:tab/>
      <w:t>PE</w:t>
    </w:r>
    <w:r w:rsidRPr="00010705">
      <w:rPr>
        <w:rStyle w:val="HideTWBExt"/>
        <w:noProof w:val="0"/>
      </w:rPr>
      <w:t>&lt;NoPE&gt;</w:t>
    </w:r>
    <w:r w:rsidRPr="00010705">
      <w:t>623.694</w:t>
    </w:r>
    <w:r w:rsidRPr="00010705">
      <w:rPr>
        <w:rStyle w:val="HideTWBExt"/>
        <w:noProof w:val="0"/>
      </w:rPr>
      <w:t>&lt;/NoPE&gt;&lt;Version&gt;</w:t>
    </w:r>
    <w:r w:rsidRPr="00010705">
      <w:t>v01-00</w:t>
    </w:r>
    <w:r w:rsidRPr="00010705">
      <w:rPr>
        <w:rStyle w:val="HideTWBExt"/>
        <w:noProof w:val="0"/>
      </w:rPr>
      <w:t>&lt;/Version&gt;</w:t>
    </w:r>
  </w:p>
  <w:p w14:paraId="3CB8B68B" w14:textId="22E74A9B" w:rsidR="007C4C38" w:rsidRPr="00010705" w:rsidRDefault="000F79E5" w:rsidP="000F79E5">
    <w:pPr>
      <w:pStyle w:val="Footer2"/>
      <w:tabs>
        <w:tab w:val="center" w:pos="4535"/>
      </w:tabs>
    </w:pPr>
    <w:r w:rsidRPr="00010705">
      <w:t>BG</w:t>
    </w:r>
    <w:r w:rsidRPr="00010705">
      <w:tab/>
    </w:r>
    <w:r w:rsidRPr="00010705">
      <w:rPr>
        <w:b w:val="0"/>
        <w:i/>
        <w:color w:val="C0C0C0"/>
        <w:sz w:val="22"/>
      </w:rPr>
      <w:t>Единство в многообразието</w:t>
    </w:r>
    <w:r w:rsidRPr="00010705">
      <w:tab/>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7F49A" w14:textId="77777777" w:rsidR="007C4C38" w:rsidRPr="0033303B" w:rsidRDefault="007C4C38">
      <w:r w:rsidRPr="0033303B">
        <w:separator/>
      </w:r>
    </w:p>
  </w:footnote>
  <w:footnote w:type="continuationSeparator" w:id="0">
    <w:p w14:paraId="171F7B8D" w14:textId="77777777" w:rsidR="007C4C38" w:rsidRPr="0033303B" w:rsidRDefault="007C4C38">
      <w:r w:rsidRPr="0033303B">
        <w:continuationSeparator/>
      </w:r>
    </w:p>
  </w:footnote>
  <w:footnote w:id="1">
    <w:p w14:paraId="67198217" w14:textId="323DD4E7" w:rsidR="007C4C38" w:rsidRPr="0033303B" w:rsidRDefault="007C4C38">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ОВ C 18, 19.1.2017 г., стр. 10.</w:t>
      </w:r>
    </w:p>
  </w:footnote>
  <w:footnote w:id="2">
    <w:p w14:paraId="6BE7BAC0" w14:textId="0198D0F5" w:rsidR="007C4C38" w:rsidRPr="0033303B" w:rsidRDefault="007C4C38">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ОВ C 369, 11.10.2018 г, стр. 105.</w:t>
      </w:r>
    </w:p>
  </w:footnote>
  <w:footnote w:id="3">
    <w:p w14:paraId="07C4DC4B" w14:textId="5066C6C2" w:rsidR="007C4C38" w:rsidRPr="0033303B" w:rsidRDefault="007C4C38">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ОВ C 356, 4.10.2018 г, стр. 77</w:t>
      </w:r>
      <w:r w:rsidRPr="0033303B">
        <w:rPr>
          <w:rFonts w:ascii="Times New Roman" w:hAnsi="Times New Roman"/>
          <w:color w:val="000000"/>
        </w:rPr>
        <w:t>.</w:t>
      </w:r>
    </w:p>
  </w:footnote>
  <w:footnote w:id="4">
    <w:p w14:paraId="7176DEE9" w14:textId="1B3DE1E6" w:rsidR="007C4C38" w:rsidRPr="0033303B" w:rsidRDefault="007C4C38" w:rsidP="00517B97">
      <w:pPr>
        <w:pStyle w:val="FootnoteText"/>
        <w:ind w:left="720" w:hanging="720"/>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ОВ C 369, 11.10.2018 г, стр. 11.</w:t>
      </w:r>
    </w:p>
  </w:footnote>
  <w:footnote w:id="5">
    <w:p w14:paraId="440D9410" w14:textId="361320E1" w:rsidR="007C4C38" w:rsidRPr="0033303B" w:rsidRDefault="007C4C38" w:rsidP="001001AE">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ОВ C 263, 25.7.2018 г., стр. 98</w:t>
      </w:r>
      <w:r w:rsidRPr="0033303B">
        <w:rPr>
          <w:rFonts w:ascii="Times New Roman" w:hAnsi="Times New Roman"/>
          <w:b/>
          <w:i/>
        </w:rPr>
        <w:t>.</w:t>
      </w:r>
    </w:p>
  </w:footnote>
  <w:footnote w:id="6">
    <w:p w14:paraId="2DEE5A84" w14:textId="50B58053"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24 януари 2017 г.</w:t>
      </w:r>
    </w:p>
  </w:footnote>
  <w:footnote w:id="7">
    <w:p w14:paraId="2C134795" w14:textId="19174396"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24 януари 2017 г.</w:t>
      </w:r>
    </w:p>
  </w:footnote>
  <w:footnote w:id="8">
    <w:p w14:paraId="7AADF07F" w14:textId="2D5DD53E"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25 април 2017 г.</w:t>
      </w:r>
    </w:p>
  </w:footnote>
  <w:footnote w:id="9">
    <w:p w14:paraId="7DF04260" w14:textId="2D662726"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Становища, приети на 24 януари 2017 г.</w:t>
      </w:r>
    </w:p>
  </w:footnote>
  <w:footnote w:id="10">
    <w:p w14:paraId="052F6207" w14:textId="5F8BEED3"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22 март 2017 г.</w:t>
      </w:r>
    </w:p>
  </w:footnote>
  <w:footnote w:id="11">
    <w:p w14:paraId="05D0517B" w14:textId="42F073C0"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7 септември 2017 r.</w:t>
      </w:r>
    </w:p>
  </w:footnote>
  <w:footnote w:id="12">
    <w:p w14:paraId="23D2923C" w14:textId="14A18FFB"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7 септември 2017 r.</w:t>
      </w:r>
    </w:p>
  </w:footnote>
  <w:footnote w:id="13">
    <w:p w14:paraId="6040C443" w14:textId="1D754250"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22 ноември 2017 г.</w:t>
      </w:r>
    </w:p>
  </w:footnote>
  <w:footnote w:id="14">
    <w:p w14:paraId="2FB62E95" w14:textId="21319670" w:rsidR="007C4C38" w:rsidRPr="0033303B" w:rsidRDefault="007C4C38" w:rsidP="00711633">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Становище, прието на 7 септември 2017 r.</w:t>
      </w:r>
    </w:p>
  </w:footnote>
  <w:footnote w:id="15">
    <w:p w14:paraId="03A1C8DC" w14:textId="16E13388" w:rsidR="007C4C38" w:rsidRPr="0033303B" w:rsidRDefault="007C4C38" w:rsidP="001001AE">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Специален доклад на Евробарометър № 468: Отношение на европейските граждани към околната среда, ноември 2017 г.:</w:t>
      </w:r>
    </w:p>
    <w:p w14:paraId="7964BE90" w14:textId="291AC91B" w:rsidR="007C4C38" w:rsidRPr="0033303B" w:rsidRDefault="007C4C38" w:rsidP="001001AE">
      <w:pPr>
        <w:pStyle w:val="FootnoteText"/>
        <w:rPr>
          <w:rFonts w:ascii="Times New Roman" w:hAnsi="Times New Roman"/>
        </w:rPr>
      </w:pPr>
      <w:r w:rsidRPr="0033303B">
        <w:rPr>
          <w:rFonts w:ascii="Times New Roman" w:hAnsi="Times New Roman"/>
        </w:rPr>
        <w:t>http://ec.europa.eu/commfrontoffice/publicopinion/index.cfm/Survey/getSurveyDetail/instruments/SPECIAL/surveyKy/2156</w:t>
      </w:r>
    </w:p>
  </w:footnote>
  <w:footnote w:id="16">
    <w:p w14:paraId="3B21ECD3" w14:textId="77777777" w:rsidR="0033303B" w:rsidRPr="0033303B" w:rsidRDefault="0033303B" w:rsidP="0033303B">
      <w:pPr>
        <w:pStyle w:val="FootnoteText"/>
        <w:rPr>
          <w:rFonts w:ascii="Times New Roman" w:hAnsi="Times New Roman"/>
        </w:rPr>
      </w:pPr>
      <w:r w:rsidRPr="0033303B">
        <w:rPr>
          <w:rStyle w:val="FootnoteReference"/>
          <w:rFonts w:ascii="Times New Roman" w:hAnsi="Times New Roman"/>
        </w:rPr>
        <w:footnoteRef/>
      </w:r>
      <w:r w:rsidRPr="0033303B">
        <w:rPr>
          <w:rFonts w:ascii="Times New Roman" w:hAnsi="Times New Roman"/>
        </w:rPr>
        <w:t xml:space="preserve">  OВ L 65, 11.3.2011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F142" w14:textId="77777777" w:rsidR="00891D3D" w:rsidRDefault="00891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F825" w14:textId="77777777" w:rsidR="00891D3D" w:rsidRDefault="00891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4E97" w14:textId="77777777" w:rsidR="00891D3D" w:rsidRDefault="0089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424752"/>
    <w:multiLevelType w:val="hybridMultilevel"/>
    <w:tmpl w:val="D506D25E"/>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3E450F"/>
    <w:multiLevelType w:val="hybridMultilevel"/>
    <w:tmpl w:val="483A52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85562"/>
    <w:multiLevelType w:val="hybridMultilevel"/>
    <w:tmpl w:val="C71E771E"/>
    <w:lvl w:ilvl="0" w:tplc="08090015">
      <w:start w:val="1"/>
      <w:numFmt w:val="upperLetter"/>
      <w:lvlText w:val="%1."/>
      <w:lvlJc w:val="left"/>
      <w:pPr>
        <w:ind w:left="149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8B3639"/>
    <w:multiLevelType w:val="hybridMultilevel"/>
    <w:tmpl w:val="B726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A554F"/>
    <w:multiLevelType w:val="hybridMultilevel"/>
    <w:tmpl w:val="2194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65E19"/>
    <w:multiLevelType w:val="hybridMultilevel"/>
    <w:tmpl w:val="4B242D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8222C3"/>
    <w:multiLevelType w:val="hybridMultilevel"/>
    <w:tmpl w:val="217C1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4"/>
  </w:num>
  <w:num w:numId="45">
    <w:abstractNumId w:val="13"/>
  </w:num>
  <w:num w:numId="46">
    <w:abstractNumId w:val="11"/>
  </w:num>
  <w:num w:numId="47">
    <w:abstractNumId w:val="16"/>
  </w:num>
  <w:num w:numId="48">
    <w:abstractNumId w:val="1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DOCDT" w:val="27/11/2018"/>
    <w:docVar w:name="LastEditedSection" w:val=" 1"/>
    <w:docVar w:name="strSubDir" w:val="1170"/>
    <w:docVar w:name="TXTLANGUE" w:val="BG"/>
    <w:docVar w:name="TXTLANGUEMIN" w:val="bg"/>
    <w:docVar w:name="TXTNRINI" w:val="2014/2018"/>
    <w:docVar w:name="TXTNRPE" w:val="623.694"/>
    <w:docVar w:name="TXTPEorAP" w:val="PE"/>
    <w:docVar w:name="TXTROUTE" w:val="RR\1170378BG.docx"/>
    <w:docVar w:name="TXTVERSION" w:val="02-00"/>
    <w:docVar w:name="TXTYEAR" w:val="2017"/>
  </w:docVars>
  <w:rsids>
    <w:rsidRoot w:val="00C019DA"/>
    <w:rsid w:val="00010705"/>
    <w:rsid w:val="0002001E"/>
    <w:rsid w:val="00030B03"/>
    <w:rsid w:val="00045426"/>
    <w:rsid w:val="00045B8C"/>
    <w:rsid w:val="00066B64"/>
    <w:rsid w:val="000808AE"/>
    <w:rsid w:val="000B267A"/>
    <w:rsid w:val="000F4A6C"/>
    <w:rsid w:val="000F63CD"/>
    <w:rsid w:val="000F79E5"/>
    <w:rsid w:val="001001AE"/>
    <w:rsid w:val="001317F9"/>
    <w:rsid w:val="00133D84"/>
    <w:rsid w:val="00145023"/>
    <w:rsid w:val="001543B1"/>
    <w:rsid w:val="00162763"/>
    <w:rsid w:val="00191AC9"/>
    <w:rsid w:val="001B07D7"/>
    <w:rsid w:val="001C2F32"/>
    <w:rsid w:val="00223B2A"/>
    <w:rsid w:val="00234051"/>
    <w:rsid w:val="002631AC"/>
    <w:rsid w:val="00270E13"/>
    <w:rsid w:val="002B7DDC"/>
    <w:rsid w:val="002E5BA3"/>
    <w:rsid w:val="002E7F11"/>
    <w:rsid w:val="002F7B63"/>
    <w:rsid w:val="00330A3A"/>
    <w:rsid w:val="0033303B"/>
    <w:rsid w:val="00362518"/>
    <w:rsid w:val="00365C4D"/>
    <w:rsid w:val="00394FDB"/>
    <w:rsid w:val="00395531"/>
    <w:rsid w:val="003A5DF1"/>
    <w:rsid w:val="003D6371"/>
    <w:rsid w:val="003F0833"/>
    <w:rsid w:val="003F6D94"/>
    <w:rsid w:val="003F7984"/>
    <w:rsid w:val="004078A7"/>
    <w:rsid w:val="00433523"/>
    <w:rsid w:val="00443169"/>
    <w:rsid w:val="00485943"/>
    <w:rsid w:val="004C3BC5"/>
    <w:rsid w:val="004F166A"/>
    <w:rsid w:val="004F4FE7"/>
    <w:rsid w:val="004F6891"/>
    <w:rsid w:val="005107D9"/>
    <w:rsid w:val="005153DA"/>
    <w:rsid w:val="00517B97"/>
    <w:rsid w:val="00541A61"/>
    <w:rsid w:val="00550329"/>
    <w:rsid w:val="00565466"/>
    <w:rsid w:val="00593DD3"/>
    <w:rsid w:val="005B68F2"/>
    <w:rsid w:val="005F0575"/>
    <w:rsid w:val="005F28FB"/>
    <w:rsid w:val="00606EEC"/>
    <w:rsid w:val="00632372"/>
    <w:rsid w:val="006833F0"/>
    <w:rsid w:val="0069586C"/>
    <w:rsid w:val="006A64B5"/>
    <w:rsid w:val="006C4CC0"/>
    <w:rsid w:val="00711633"/>
    <w:rsid w:val="00717132"/>
    <w:rsid w:val="007218D0"/>
    <w:rsid w:val="007400A3"/>
    <w:rsid w:val="00763780"/>
    <w:rsid w:val="007B036B"/>
    <w:rsid w:val="007C43AA"/>
    <w:rsid w:val="007C4C38"/>
    <w:rsid w:val="007D1134"/>
    <w:rsid w:val="007F1DDC"/>
    <w:rsid w:val="007F42C2"/>
    <w:rsid w:val="00803EF1"/>
    <w:rsid w:val="008145A5"/>
    <w:rsid w:val="00823CE9"/>
    <w:rsid w:val="00847771"/>
    <w:rsid w:val="008563AF"/>
    <w:rsid w:val="00873F52"/>
    <w:rsid w:val="00891D3D"/>
    <w:rsid w:val="008A4934"/>
    <w:rsid w:val="008C36FA"/>
    <w:rsid w:val="008C4B29"/>
    <w:rsid w:val="008D281A"/>
    <w:rsid w:val="00913A41"/>
    <w:rsid w:val="00952839"/>
    <w:rsid w:val="009625AE"/>
    <w:rsid w:val="009766DB"/>
    <w:rsid w:val="00986B30"/>
    <w:rsid w:val="00994BA7"/>
    <w:rsid w:val="009A239D"/>
    <w:rsid w:val="009D4839"/>
    <w:rsid w:val="009E0072"/>
    <w:rsid w:val="009E5796"/>
    <w:rsid w:val="009F74C4"/>
    <w:rsid w:val="00A035CB"/>
    <w:rsid w:val="00A3513C"/>
    <w:rsid w:val="00A40EE0"/>
    <w:rsid w:val="00A43F94"/>
    <w:rsid w:val="00A550B7"/>
    <w:rsid w:val="00A63348"/>
    <w:rsid w:val="00B27167"/>
    <w:rsid w:val="00B50D7D"/>
    <w:rsid w:val="00B926A4"/>
    <w:rsid w:val="00B96427"/>
    <w:rsid w:val="00BC2564"/>
    <w:rsid w:val="00BF0B82"/>
    <w:rsid w:val="00BF60DF"/>
    <w:rsid w:val="00C019DA"/>
    <w:rsid w:val="00C364D2"/>
    <w:rsid w:val="00C610B4"/>
    <w:rsid w:val="00C67491"/>
    <w:rsid w:val="00C77427"/>
    <w:rsid w:val="00CA38F9"/>
    <w:rsid w:val="00CB5762"/>
    <w:rsid w:val="00CC2DDB"/>
    <w:rsid w:val="00CF52E8"/>
    <w:rsid w:val="00D1338A"/>
    <w:rsid w:val="00D22671"/>
    <w:rsid w:val="00D2769E"/>
    <w:rsid w:val="00D325BF"/>
    <w:rsid w:val="00D63F13"/>
    <w:rsid w:val="00D902EC"/>
    <w:rsid w:val="00D95135"/>
    <w:rsid w:val="00DA5A5D"/>
    <w:rsid w:val="00DF5831"/>
    <w:rsid w:val="00DF6DE8"/>
    <w:rsid w:val="00E44078"/>
    <w:rsid w:val="00E467F1"/>
    <w:rsid w:val="00E75DFF"/>
    <w:rsid w:val="00E76B26"/>
    <w:rsid w:val="00E812A6"/>
    <w:rsid w:val="00E81C62"/>
    <w:rsid w:val="00E85823"/>
    <w:rsid w:val="00EA3F69"/>
    <w:rsid w:val="00EA41AE"/>
    <w:rsid w:val="00EB586A"/>
    <w:rsid w:val="00EC592E"/>
    <w:rsid w:val="00EF40BE"/>
    <w:rsid w:val="00F307C3"/>
    <w:rsid w:val="00F40988"/>
    <w:rsid w:val="00F74D78"/>
    <w:rsid w:val="00F93E8A"/>
    <w:rsid w:val="00FB50DE"/>
    <w:rsid w:val="00FD4C2C"/>
    <w:rsid w:val="00FE0B61"/>
    <w:rsid w:val="00FE4F18"/>
    <w:rsid w:val="00FF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B9933"/>
  <w15:chartTrackingRefBased/>
  <w15:docId w15:val="{23893532-9375-4433-B20D-CC200C4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link w:val="FooterChar"/>
    <w:uiPriority w:val="99"/>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qFormat/>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Hanging">
    <w:name w:val="Normal12Hanging"/>
    <w:basedOn w:val="Normal12"/>
    <w:link w:val="Normal12HangingChar"/>
    <w:pPr>
      <w:ind w:left="567" w:hanging="567"/>
    </w:pPr>
  </w:style>
  <w:style w:type="paragraph" w:customStyle="1" w:styleId="EPName">
    <w:name w:val="EPName"/>
    <w:basedOn w:val="Normal"/>
    <w:rsid w:val="00A63348"/>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6833F0"/>
    <w:pPr>
      <w:tabs>
        <w:tab w:val="left" w:pos="567"/>
      </w:tabs>
    </w:pPr>
  </w:style>
  <w:style w:type="paragraph" w:customStyle="1" w:styleId="RefProc">
    <w:name w:val="RefProc"/>
    <w:basedOn w:val="Normal"/>
    <w:rsid w:val="002E7F11"/>
    <w:pPr>
      <w:spacing w:before="240" w:after="240"/>
      <w:jc w:val="right"/>
    </w:pPr>
    <w:rPr>
      <w:rFonts w:ascii="Arial" w:hAnsi="Arial"/>
      <w:b/>
      <w:cap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link w:val="HeaderChar"/>
    <w:uiPriority w:val="99"/>
    <w:pPr>
      <w:tabs>
        <w:tab w:val="center" w:pos="4153"/>
        <w:tab w:val="right" w:pos="8306"/>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uiPriority w:val="39"/>
    <w:rsid w:val="0056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565466"/>
    <w:pPr>
      <w:jc w:val="center"/>
    </w:pPr>
    <w:rPr>
      <w:rFonts w:ascii="Arial" w:hAnsi="Arial" w:cs="Arial"/>
      <w:i/>
      <w:sz w:val="22"/>
      <w:szCs w:val="22"/>
    </w:rPr>
  </w:style>
  <w:style w:type="paragraph" w:customStyle="1" w:styleId="LineTop">
    <w:name w:val="LineTop"/>
    <w:basedOn w:val="Normal"/>
    <w:next w:val="ZCommittee"/>
    <w:rsid w:val="00565466"/>
    <w:pPr>
      <w:pBdr>
        <w:top w:val="single" w:sz="4" w:space="1" w:color="auto"/>
      </w:pBdr>
      <w:jc w:val="center"/>
    </w:pPr>
    <w:rPr>
      <w:rFonts w:ascii="Arial" w:hAnsi="Arial"/>
      <w:sz w:val="16"/>
      <w:szCs w:val="16"/>
    </w:rPr>
  </w:style>
  <w:style w:type="paragraph" w:customStyle="1" w:styleId="LineBottom">
    <w:name w:val="LineBottom"/>
    <w:basedOn w:val="Normal"/>
    <w:next w:val="Normal"/>
    <w:rsid w:val="00565466"/>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A63348"/>
    <w:pPr>
      <w:spacing w:after="80"/>
    </w:pPr>
    <w:rPr>
      <w:rFonts w:ascii="Arial" w:hAnsi="Arial" w:cs="Arial"/>
      <w:sz w:val="20"/>
      <w:szCs w:val="22"/>
    </w:rPr>
  </w:style>
  <w:style w:type="paragraph" w:customStyle="1" w:styleId="EPLogo">
    <w:name w:val="EPLogo"/>
    <w:basedOn w:val="Normal"/>
    <w:qFormat/>
    <w:rsid w:val="00A63348"/>
    <w:pPr>
      <w:jc w:val="right"/>
    </w:pPr>
  </w:style>
  <w:style w:type="paragraph" w:styleId="FootnoteText">
    <w:name w:val="footnote text"/>
    <w:basedOn w:val="Normal"/>
    <w:link w:val="FootnoteTextChar"/>
    <w:unhideWhenUsed/>
    <w:rsid w:val="00711633"/>
    <w:pPr>
      <w:widowControl/>
    </w:pPr>
    <w:rPr>
      <w:rFonts w:ascii="Calibri" w:eastAsia="Calibri" w:hAnsi="Calibri"/>
      <w:sz w:val="20"/>
      <w:lang w:eastAsia="en-US"/>
    </w:rPr>
  </w:style>
  <w:style w:type="character" w:customStyle="1" w:styleId="FootnoteTextChar">
    <w:name w:val="Footnote Text Char"/>
    <w:basedOn w:val="DefaultParagraphFont"/>
    <w:link w:val="FootnoteText"/>
    <w:rsid w:val="00711633"/>
    <w:rPr>
      <w:rFonts w:ascii="Calibri" w:eastAsia="Calibri" w:hAnsi="Calibri"/>
      <w:lang w:eastAsia="en-US"/>
    </w:rPr>
  </w:style>
  <w:style w:type="paragraph" w:styleId="ListParagraph">
    <w:name w:val="List Paragraph"/>
    <w:basedOn w:val="Normal"/>
    <w:uiPriority w:val="34"/>
    <w:qFormat/>
    <w:rsid w:val="00711633"/>
    <w:pPr>
      <w:widowControl/>
      <w:spacing w:after="160" w:line="256" w:lineRule="auto"/>
      <w:ind w:left="720"/>
      <w:contextualSpacing/>
    </w:pPr>
    <w:rPr>
      <w:rFonts w:ascii="Calibri" w:eastAsia="Calibri" w:hAnsi="Calibri"/>
      <w:sz w:val="22"/>
      <w:szCs w:val="22"/>
      <w:lang w:eastAsia="en-US"/>
    </w:rPr>
  </w:style>
  <w:style w:type="character" w:styleId="FootnoteReference">
    <w:name w:val="footnote reference"/>
    <w:unhideWhenUsed/>
    <w:rsid w:val="00711633"/>
    <w:rPr>
      <w:vertAlign w:val="superscript"/>
    </w:rPr>
  </w:style>
  <w:style w:type="table" w:customStyle="1" w:styleId="TableGrid1">
    <w:name w:val="Table Grid1"/>
    <w:basedOn w:val="TableNormal"/>
    <w:next w:val="TableGrid"/>
    <w:uiPriority w:val="39"/>
    <w:rsid w:val="00711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11633"/>
    <w:pPr>
      <w:widowControl/>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711633"/>
    <w:rPr>
      <w:rFonts w:ascii="Segoe UI" w:eastAsia="Calibri" w:hAnsi="Segoe UI" w:cs="Segoe UI"/>
      <w:sz w:val="18"/>
      <w:szCs w:val="18"/>
      <w:lang w:eastAsia="en-US"/>
    </w:rPr>
  </w:style>
  <w:style w:type="paragraph" w:styleId="NoSpacing">
    <w:name w:val="No Spacing"/>
    <w:uiPriority w:val="1"/>
    <w:qFormat/>
    <w:rsid w:val="00711633"/>
    <w:rPr>
      <w:rFonts w:ascii="Calibri" w:eastAsia="Calibri" w:hAnsi="Calibri"/>
      <w:sz w:val="22"/>
      <w:szCs w:val="22"/>
      <w:lang w:eastAsia="en-US"/>
    </w:rPr>
  </w:style>
  <w:style w:type="character" w:customStyle="1" w:styleId="HeaderChar">
    <w:name w:val="Header Char"/>
    <w:link w:val="Header"/>
    <w:uiPriority w:val="99"/>
    <w:rsid w:val="00711633"/>
    <w:rPr>
      <w:sz w:val="24"/>
    </w:rPr>
  </w:style>
  <w:style w:type="character" w:customStyle="1" w:styleId="FooterChar">
    <w:name w:val="Footer Char"/>
    <w:link w:val="Footer"/>
    <w:uiPriority w:val="99"/>
    <w:rsid w:val="00711633"/>
    <w:rPr>
      <w:sz w:val="22"/>
    </w:rPr>
  </w:style>
  <w:style w:type="character" w:styleId="CommentReference">
    <w:name w:val="annotation reference"/>
    <w:uiPriority w:val="99"/>
    <w:unhideWhenUsed/>
    <w:rsid w:val="00711633"/>
    <w:rPr>
      <w:sz w:val="16"/>
      <w:szCs w:val="16"/>
    </w:rPr>
  </w:style>
  <w:style w:type="paragraph" w:styleId="CommentText">
    <w:name w:val="annotation text"/>
    <w:basedOn w:val="Normal"/>
    <w:link w:val="CommentTextChar"/>
    <w:uiPriority w:val="99"/>
    <w:unhideWhenUsed/>
    <w:rsid w:val="00711633"/>
    <w:pPr>
      <w:widowControl/>
      <w:spacing w:after="160"/>
    </w:pPr>
    <w:rPr>
      <w:rFonts w:ascii="Calibri" w:eastAsia="Calibri" w:hAnsi="Calibri"/>
      <w:sz w:val="20"/>
      <w:lang w:eastAsia="en-US"/>
    </w:rPr>
  </w:style>
  <w:style w:type="character" w:customStyle="1" w:styleId="CommentTextChar">
    <w:name w:val="Comment Text Char"/>
    <w:basedOn w:val="DefaultParagraphFont"/>
    <w:link w:val="CommentText"/>
    <w:uiPriority w:val="99"/>
    <w:rsid w:val="00711633"/>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711633"/>
    <w:rPr>
      <w:b/>
      <w:bCs/>
    </w:rPr>
  </w:style>
  <w:style w:type="character" w:customStyle="1" w:styleId="CommentSubjectChar">
    <w:name w:val="Comment Subject Char"/>
    <w:basedOn w:val="CommentTextChar"/>
    <w:link w:val="CommentSubject"/>
    <w:uiPriority w:val="99"/>
    <w:rsid w:val="00711633"/>
    <w:rPr>
      <w:rFonts w:ascii="Calibri" w:eastAsia="Calibri" w:hAnsi="Calibri"/>
      <w:b/>
      <w:bCs/>
      <w:lang w:eastAsia="en-US"/>
    </w:rPr>
  </w:style>
  <w:style w:type="character" w:customStyle="1" w:styleId="Heading3Char">
    <w:name w:val="Heading 3 Char"/>
    <w:link w:val="Heading3"/>
    <w:uiPriority w:val="9"/>
    <w:rsid w:val="00711633"/>
    <w:rPr>
      <w:rFonts w:ascii="Arial" w:hAnsi="Arial"/>
      <w:sz w:val="24"/>
    </w:rPr>
  </w:style>
  <w:style w:type="character" w:styleId="Hyperlink">
    <w:name w:val="Hyperlink"/>
    <w:basedOn w:val="DefaultParagraphFont"/>
    <w:rsid w:val="007218D0"/>
    <w:rPr>
      <w:color w:val="0563C1" w:themeColor="hyperlink"/>
      <w:u w:val="single"/>
    </w:rPr>
  </w:style>
  <w:style w:type="character" w:styleId="FollowedHyperlink">
    <w:name w:val="FollowedHyperlink"/>
    <w:basedOn w:val="DefaultParagraphFont"/>
    <w:rsid w:val="007218D0"/>
    <w:rPr>
      <w:color w:val="954F72" w:themeColor="followedHyperlink"/>
      <w:u w:val="single"/>
    </w:rPr>
  </w:style>
  <w:style w:type="character" w:customStyle="1" w:styleId="Normal12HangingChar">
    <w:name w:val="Normal12Hanging Char"/>
    <w:basedOn w:val="DefaultParagraphFont"/>
    <w:link w:val="Normal12Hanging"/>
    <w:rsid w:val="00045426"/>
    <w:rPr>
      <w:sz w:val="24"/>
    </w:rPr>
  </w:style>
  <w:style w:type="character" w:customStyle="1" w:styleId="SupBoldItalic">
    <w:name w:val="SupBoldItalic"/>
    <w:rsid w:val="00A550B7"/>
    <w:rPr>
      <w:b/>
      <w:i/>
      <w:color w:val="000000"/>
      <w:vertAlign w:val="superscript"/>
    </w:rPr>
  </w:style>
  <w:style w:type="character" w:customStyle="1" w:styleId="Sup">
    <w:name w:val="Sup"/>
    <w:rsid w:val="001001AE"/>
    <w:rPr>
      <w:color w:val="000000"/>
      <w:vertAlign w:val="superscript"/>
    </w:rPr>
  </w:style>
  <w:style w:type="paragraph" w:customStyle="1" w:styleId="NormalTabs">
    <w:name w:val="NormalTabs"/>
    <w:basedOn w:val="Normal"/>
    <w:qFormat/>
    <w:rsid w:val="00133D84"/>
    <w:pPr>
      <w:tabs>
        <w:tab w:val="center" w:pos="284"/>
        <w:tab w:val="left" w:pos="426"/>
      </w:tabs>
    </w:pPr>
    <w:rPr>
      <w:snapToGrid w:val="0"/>
      <w:lang w:eastAsia="en-US"/>
    </w:rPr>
  </w:style>
  <w:style w:type="paragraph" w:styleId="Revision">
    <w:name w:val="Revision"/>
    <w:hidden/>
    <w:uiPriority w:val="99"/>
    <w:semiHidden/>
    <w:rsid w:val="00EC592E"/>
    <w:rPr>
      <w:sz w:val="24"/>
    </w:rPr>
  </w:style>
  <w:style w:type="character" w:styleId="Emphasis">
    <w:name w:val="Emphasis"/>
    <w:basedOn w:val="DefaultParagraphFont"/>
    <w:uiPriority w:val="20"/>
    <w:qFormat/>
    <w:rsid w:val="00B50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123">
      <w:bodyDiv w:val="1"/>
      <w:marLeft w:val="0"/>
      <w:marRight w:val="0"/>
      <w:marTop w:val="0"/>
      <w:marBottom w:val="0"/>
      <w:divBdr>
        <w:top w:val="none" w:sz="0" w:space="0" w:color="auto"/>
        <w:left w:val="none" w:sz="0" w:space="0" w:color="auto"/>
        <w:bottom w:val="none" w:sz="0" w:space="0" w:color="auto"/>
        <w:right w:val="none" w:sz="0" w:space="0" w:color="auto"/>
      </w:divBdr>
    </w:div>
    <w:div w:id="120343897">
      <w:bodyDiv w:val="1"/>
      <w:marLeft w:val="0"/>
      <w:marRight w:val="0"/>
      <w:marTop w:val="0"/>
      <w:marBottom w:val="0"/>
      <w:divBdr>
        <w:top w:val="none" w:sz="0" w:space="0" w:color="auto"/>
        <w:left w:val="none" w:sz="0" w:space="0" w:color="auto"/>
        <w:bottom w:val="none" w:sz="0" w:space="0" w:color="auto"/>
        <w:right w:val="none" w:sz="0" w:space="0" w:color="auto"/>
      </w:divBdr>
    </w:div>
    <w:div w:id="317150846">
      <w:bodyDiv w:val="1"/>
      <w:marLeft w:val="0"/>
      <w:marRight w:val="0"/>
      <w:marTop w:val="0"/>
      <w:marBottom w:val="0"/>
      <w:divBdr>
        <w:top w:val="none" w:sz="0" w:space="0" w:color="auto"/>
        <w:left w:val="none" w:sz="0" w:space="0" w:color="auto"/>
        <w:bottom w:val="none" w:sz="0" w:space="0" w:color="auto"/>
        <w:right w:val="none" w:sz="0" w:space="0" w:color="auto"/>
      </w:divBdr>
    </w:div>
    <w:div w:id="1032271542">
      <w:bodyDiv w:val="1"/>
      <w:marLeft w:val="0"/>
      <w:marRight w:val="0"/>
      <w:marTop w:val="0"/>
      <w:marBottom w:val="0"/>
      <w:divBdr>
        <w:top w:val="none" w:sz="0" w:space="0" w:color="auto"/>
        <w:left w:val="none" w:sz="0" w:space="0" w:color="auto"/>
        <w:bottom w:val="none" w:sz="0" w:space="0" w:color="auto"/>
        <w:right w:val="none" w:sz="0" w:space="0" w:color="auto"/>
      </w:divBdr>
    </w:div>
    <w:div w:id="1258253942">
      <w:bodyDiv w:val="1"/>
      <w:marLeft w:val="0"/>
      <w:marRight w:val="0"/>
      <w:marTop w:val="0"/>
      <w:marBottom w:val="0"/>
      <w:divBdr>
        <w:top w:val="none" w:sz="0" w:space="0" w:color="auto"/>
        <w:left w:val="none" w:sz="0" w:space="0" w:color="auto"/>
        <w:bottom w:val="none" w:sz="0" w:space="0" w:color="auto"/>
        <w:right w:val="none" w:sz="0" w:space="0" w:color="auto"/>
      </w:divBdr>
    </w:div>
    <w:div w:id="1321157005">
      <w:bodyDiv w:val="1"/>
      <w:marLeft w:val="0"/>
      <w:marRight w:val="0"/>
      <w:marTop w:val="0"/>
      <w:marBottom w:val="0"/>
      <w:divBdr>
        <w:top w:val="none" w:sz="0" w:space="0" w:color="auto"/>
        <w:left w:val="none" w:sz="0" w:space="0" w:color="auto"/>
        <w:bottom w:val="none" w:sz="0" w:space="0" w:color="auto"/>
        <w:right w:val="none" w:sz="0" w:space="0" w:color="auto"/>
      </w:divBdr>
    </w:div>
    <w:div w:id="1436436022">
      <w:bodyDiv w:val="1"/>
      <w:marLeft w:val="0"/>
      <w:marRight w:val="0"/>
      <w:marTop w:val="0"/>
      <w:marBottom w:val="0"/>
      <w:divBdr>
        <w:top w:val="none" w:sz="0" w:space="0" w:color="auto"/>
        <w:left w:val="none" w:sz="0" w:space="0" w:color="auto"/>
        <w:bottom w:val="none" w:sz="0" w:space="0" w:color="auto"/>
        <w:right w:val="none" w:sz="0" w:space="0" w:color="auto"/>
      </w:divBdr>
    </w:div>
    <w:div w:id="1471442807">
      <w:bodyDiv w:val="1"/>
      <w:marLeft w:val="0"/>
      <w:marRight w:val="0"/>
      <w:marTop w:val="0"/>
      <w:marBottom w:val="0"/>
      <w:divBdr>
        <w:top w:val="none" w:sz="0" w:space="0" w:color="auto"/>
        <w:left w:val="none" w:sz="0" w:space="0" w:color="auto"/>
        <w:bottom w:val="none" w:sz="0" w:space="0" w:color="auto"/>
        <w:right w:val="none" w:sz="0" w:space="0" w:color="auto"/>
      </w:divBdr>
    </w:div>
    <w:div w:id="1491212364">
      <w:bodyDiv w:val="1"/>
      <w:marLeft w:val="0"/>
      <w:marRight w:val="0"/>
      <w:marTop w:val="0"/>
      <w:marBottom w:val="0"/>
      <w:divBdr>
        <w:top w:val="none" w:sz="0" w:space="0" w:color="auto"/>
        <w:left w:val="none" w:sz="0" w:space="0" w:color="auto"/>
        <w:bottom w:val="none" w:sz="0" w:space="0" w:color="auto"/>
        <w:right w:val="none" w:sz="0" w:space="0" w:color="auto"/>
      </w:divBdr>
    </w:div>
    <w:div w:id="1565337819">
      <w:bodyDiv w:val="1"/>
      <w:marLeft w:val="0"/>
      <w:marRight w:val="0"/>
      <w:marTop w:val="0"/>
      <w:marBottom w:val="0"/>
      <w:divBdr>
        <w:top w:val="none" w:sz="0" w:space="0" w:color="auto"/>
        <w:left w:val="none" w:sz="0" w:space="0" w:color="auto"/>
        <w:bottom w:val="none" w:sz="0" w:space="0" w:color="auto"/>
        <w:right w:val="none" w:sz="0" w:space="0" w:color="auto"/>
      </w:divBdr>
    </w:div>
    <w:div w:id="1850757157">
      <w:bodyDiv w:val="1"/>
      <w:marLeft w:val="0"/>
      <w:marRight w:val="0"/>
      <w:marTop w:val="0"/>
      <w:marBottom w:val="0"/>
      <w:divBdr>
        <w:top w:val="none" w:sz="0" w:space="0" w:color="auto"/>
        <w:left w:val="none" w:sz="0" w:space="0" w:color="auto"/>
        <w:bottom w:val="none" w:sz="0" w:space="0" w:color="auto"/>
        <w:right w:val="none" w:sz="0" w:space="0" w:color="auto"/>
      </w:divBdr>
    </w:div>
    <w:div w:id="1887138486">
      <w:bodyDiv w:val="1"/>
      <w:marLeft w:val="0"/>
      <w:marRight w:val="0"/>
      <w:marTop w:val="0"/>
      <w:marBottom w:val="0"/>
      <w:divBdr>
        <w:top w:val="none" w:sz="0" w:space="0" w:color="auto"/>
        <w:left w:val="none" w:sz="0" w:space="0" w:color="auto"/>
        <w:bottom w:val="none" w:sz="0" w:space="0" w:color="auto"/>
        <w:right w:val="none" w:sz="0" w:space="0" w:color="auto"/>
      </w:divBdr>
    </w:div>
    <w:div w:id="1950504352">
      <w:bodyDiv w:val="1"/>
      <w:marLeft w:val="0"/>
      <w:marRight w:val="0"/>
      <w:marTop w:val="0"/>
      <w:marBottom w:val="0"/>
      <w:divBdr>
        <w:top w:val="none" w:sz="0" w:space="0" w:color="auto"/>
        <w:left w:val="none" w:sz="0" w:space="0" w:color="auto"/>
        <w:bottom w:val="none" w:sz="0" w:space="0" w:color="auto"/>
        <w:right w:val="none" w:sz="0" w:space="0" w:color="auto"/>
      </w:divBdr>
    </w:div>
    <w:div w:id="20250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footer" Target="footer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n-GB"/>
              <a:t>Peti</a:t>
            </a:r>
            <a:r>
              <a:rPr lang="en-GB" baseline="0"/>
              <a:t> portal users that have supported any petition</a:t>
            </a:r>
            <a:endParaRPr lang="en-GB"/>
          </a:p>
        </c:rich>
      </c:tx>
      <c:layout/>
      <c:overlay val="0"/>
      <c:spPr>
        <a:noFill/>
        <a:ln>
          <a:noFill/>
        </a:ln>
        <a:effectLst/>
      </c:spPr>
    </c:title>
    <c:autoTitleDeleted val="0"/>
    <c:plotArea>
      <c:layout/>
      <c:lineChart>
        <c:grouping val="standard"/>
        <c:varyColors val="0"/>
        <c:ser>
          <c:idx val="0"/>
          <c:order val="0"/>
          <c:spPr>
            <a:ln w="28528" cap="rnd">
              <a:solidFill>
                <a:schemeClr val="accent1"/>
              </a:solidFill>
              <a:round/>
            </a:ln>
            <a:effectLst/>
          </c:spPr>
          <c:marker>
            <c:symbol val="none"/>
          </c:marker>
          <c:cat>
            <c:numRef>
              <c:f>Sheet1!$F$64:$H$64</c:f>
              <c:numCache>
                <c:formatCode>General</c:formatCode>
                <c:ptCount val="3"/>
                <c:pt idx="0">
                  <c:v>2015</c:v>
                </c:pt>
                <c:pt idx="1">
                  <c:v>2016</c:v>
                </c:pt>
                <c:pt idx="2">
                  <c:v>2017</c:v>
                </c:pt>
              </c:numCache>
            </c:numRef>
          </c:cat>
          <c:val>
            <c:numRef>
              <c:f>Sheet1!$F$65:$H$65</c:f>
              <c:numCache>
                <c:formatCode>General</c:formatCode>
                <c:ptCount val="3"/>
                <c:pt idx="0">
                  <c:v>902</c:v>
                </c:pt>
                <c:pt idx="1">
                  <c:v>6132</c:v>
                </c:pt>
                <c:pt idx="2">
                  <c:v>15540</c:v>
                </c:pt>
              </c:numCache>
            </c:numRef>
          </c:val>
          <c:smooth val="0"/>
          <c:extLst>
            <c:ext xmlns:c16="http://schemas.microsoft.com/office/drawing/2014/chart" uri="{C3380CC4-5D6E-409C-BE32-E72D297353CC}">
              <c16:uniqueId val="{00000000-B262-4E82-9B80-3CFBEACE9822}"/>
            </c:ext>
          </c:extLst>
        </c:ser>
        <c:dLbls>
          <c:showLegendKey val="0"/>
          <c:showVal val="0"/>
          <c:showCatName val="0"/>
          <c:showSerName val="0"/>
          <c:showPercent val="0"/>
          <c:showBubbleSize val="0"/>
        </c:dLbls>
        <c:smooth val="0"/>
        <c:axId val="554710824"/>
        <c:axId val="554711216"/>
      </c:lineChart>
      <c:catAx>
        <c:axId val="554710824"/>
        <c:scaling>
          <c:orientation val="minMax"/>
        </c:scaling>
        <c:delete val="0"/>
        <c:axPos val="b"/>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554711216"/>
        <c:crosses val="autoZero"/>
        <c:auto val="1"/>
        <c:lblAlgn val="ctr"/>
        <c:lblOffset val="100"/>
        <c:noMultiLvlLbl val="0"/>
      </c:catAx>
      <c:valAx>
        <c:axId val="554711216"/>
        <c:scaling>
          <c:orientation val="minMax"/>
        </c:scaling>
        <c:delete val="0"/>
        <c:axPos val="l"/>
        <c:majorGridlines>
          <c:spPr>
            <a:ln w="950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554710824"/>
        <c:crosses val="autoZero"/>
        <c:crossBetween val="between"/>
      </c:valAx>
      <c:spPr>
        <a:noFill/>
        <a:ln w="25358">
          <a:noFill/>
        </a:ln>
      </c:spPr>
    </c:plotArea>
    <c:plotVisOnly val="1"/>
    <c:dispBlanksAs val="gap"/>
    <c:showDLblsOverMax val="0"/>
  </c:chart>
  <c:spPr>
    <a:solidFill>
      <a:schemeClr val="bg1"/>
    </a:solidFill>
    <a:ln w="950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Petition</a:t>
            </a:r>
            <a:r>
              <a:rPr lang="en-GB" baseline="0"/>
              <a:t> themes in 2017</a:t>
            </a:r>
            <a:endParaRPr lang="en-GB"/>
          </a:p>
        </c:rich>
      </c:tx>
      <c:layout>
        <c:manualLayout>
          <c:xMode val="edge"/>
          <c:yMode val="edge"/>
          <c:x val="0.16634415391472296"/>
          <c:y val="2.52525252525252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Pie!$B$2</c:f>
              <c:strCache>
                <c:ptCount val="1"/>
                <c:pt idx="0">
                  <c:v>Number of petitions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54-4C42-A677-E2FB0E06E0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54-4C42-A677-E2FB0E06E0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54-4C42-A677-E2FB0E06E0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54-4C42-A677-E2FB0E06E07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C54-4C42-A677-E2FB0E06E07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C54-4C42-A677-E2FB0E06E07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C54-4C42-A677-E2FB0E06E07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C54-4C42-A677-E2FB0E06E07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C54-4C42-A677-E2FB0E06E07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C54-4C42-A677-E2FB0E06E07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C54-4C42-A677-E2FB0E06E07C}"/>
              </c:ext>
            </c:extLst>
          </c:dPt>
          <c:cat>
            <c:strRef>
              <c:f>Pie!$A$3:$A$12</c:f>
              <c:strCache>
                <c:ptCount val="10"/>
                <c:pt idx="0">
                  <c:v>Environment</c:v>
                </c:pt>
                <c:pt idx="1">
                  <c:v>Fundamental Rights</c:v>
                </c:pt>
                <c:pt idx="2">
                  <c:v>Justice</c:v>
                </c:pt>
                <c:pt idx="3">
                  <c:v>Internal Market</c:v>
                </c:pt>
                <c:pt idx="4">
                  <c:v>Social Affairs</c:v>
                </c:pt>
                <c:pt idx="5">
                  <c:v>Employment</c:v>
                </c:pt>
                <c:pt idx="6">
                  <c:v>Health</c:v>
                </c:pt>
                <c:pt idx="7">
                  <c:v>Transport</c:v>
                </c:pt>
                <c:pt idx="8">
                  <c:v>Education &amp; Culture</c:v>
                </c:pt>
                <c:pt idx="9">
                  <c:v>Property &amp; Restitution</c:v>
                </c:pt>
              </c:strCache>
            </c:strRef>
          </c:cat>
          <c:val>
            <c:numRef>
              <c:f>Pie!$B$3:$B$12</c:f>
              <c:numCache>
                <c:formatCode>General</c:formatCode>
                <c:ptCount val="10"/>
                <c:pt idx="0">
                  <c:v>199</c:v>
                </c:pt>
                <c:pt idx="1">
                  <c:v>167</c:v>
                </c:pt>
                <c:pt idx="2">
                  <c:v>148</c:v>
                </c:pt>
                <c:pt idx="3">
                  <c:v>110</c:v>
                </c:pt>
                <c:pt idx="4">
                  <c:v>95</c:v>
                </c:pt>
                <c:pt idx="5">
                  <c:v>94</c:v>
                </c:pt>
                <c:pt idx="6">
                  <c:v>84</c:v>
                </c:pt>
                <c:pt idx="7">
                  <c:v>57</c:v>
                </c:pt>
                <c:pt idx="8">
                  <c:v>47</c:v>
                </c:pt>
                <c:pt idx="9">
                  <c:v>28</c:v>
                </c:pt>
              </c:numCache>
            </c:numRef>
          </c:val>
          <c:extLst>
            <c:ext xmlns:c16="http://schemas.microsoft.com/office/drawing/2014/chart" uri="{C3380CC4-5D6E-409C-BE32-E72D297353CC}">
              <c16:uniqueId val="{00000016-0C54-4C42-A677-E2FB0E06E07C}"/>
            </c:ext>
          </c:extLst>
        </c:ser>
        <c:ser>
          <c:idx val="1"/>
          <c:order val="1"/>
          <c:tx>
            <c:strRef>
              <c:f>Pie!$C$2</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8-0C54-4C42-A677-E2FB0E06E0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A-0C54-4C42-A677-E2FB0E06E0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C-0C54-4C42-A677-E2FB0E06E0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E-0C54-4C42-A677-E2FB0E06E07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0-0C54-4C42-A677-E2FB0E06E07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2-0C54-4C42-A677-E2FB0E06E07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4-0C54-4C42-A677-E2FB0E06E07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6-0C54-4C42-A677-E2FB0E06E07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8-0C54-4C42-A677-E2FB0E06E07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A-0C54-4C42-A677-E2FB0E06E07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C-0C54-4C42-A677-E2FB0E06E07C}"/>
              </c:ext>
            </c:extLst>
          </c:dPt>
          <c:cat>
            <c:strRef>
              <c:f>Pie!$A$3:$A$12</c:f>
              <c:strCache>
                <c:ptCount val="10"/>
                <c:pt idx="0">
                  <c:v>Environment</c:v>
                </c:pt>
                <c:pt idx="1">
                  <c:v>Fundamental Rights</c:v>
                </c:pt>
                <c:pt idx="2">
                  <c:v>Justice</c:v>
                </c:pt>
                <c:pt idx="3">
                  <c:v>Internal Market</c:v>
                </c:pt>
                <c:pt idx="4">
                  <c:v>Social Affairs</c:v>
                </c:pt>
                <c:pt idx="5">
                  <c:v>Employment</c:v>
                </c:pt>
                <c:pt idx="6">
                  <c:v>Health</c:v>
                </c:pt>
                <c:pt idx="7">
                  <c:v>Transport</c:v>
                </c:pt>
                <c:pt idx="8">
                  <c:v>Education &amp; Culture</c:v>
                </c:pt>
                <c:pt idx="9">
                  <c:v>Property &amp; Restitution</c:v>
                </c:pt>
              </c:strCache>
            </c:strRef>
          </c:cat>
          <c:val>
            <c:numRef>
              <c:f>Pie!$C$3:$C$12</c:f>
              <c:numCache>
                <c:formatCode>#,##0.0;\-#,##0.0;0</c:formatCode>
                <c:ptCount val="10"/>
                <c:pt idx="0">
                  <c:v>10</c:v>
                </c:pt>
                <c:pt idx="1">
                  <c:v>8.391959798994975</c:v>
                </c:pt>
                <c:pt idx="2">
                  <c:v>7.4371859296482414</c:v>
                </c:pt>
                <c:pt idx="3">
                  <c:v>5.5276381909547743</c:v>
                </c:pt>
                <c:pt idx="4">
                  <c:v>4.7738693467336679</c:v>
                </c:pt>
                <c:pt idx="5">
                  <c:v>4.7236180904522609</c:v>
                </c:pt>
                <c:pt idx="6">
                  <c:v>4.2211055276381906</c:v>
                </c:pt>
                <c:pt idx="7">
                  <c:v>2.8643216080402012</c:v>
                </c:pt>
                <c:pt idx="8">
                  <c:v>2.3618090452261304</c:v>
                </c:pt>
                <c:pt idx="9">
                  <c:v>1.4070351758793971</c:v>
                </c:pt>
              </c:numCache>
            </c:numRef>
          </c:val>
          <c:extLst>
            <c:ext xmlns:c16="http://schemas.microsoft.com/office/drawing/2014/chart" uri="{C3380CC4-5D6E-409C-BE32-E72D297353CC}">
              <c16:uniqueId val="{0000002D-0C54-4C42-A677-E2FB0E06E07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5" b="0" i="0" u="none" strike="noStrike" kern="1200" spc="0" baseline="0">
                <a:solidFill>
                  <a:schemeClr val="tx1">
                    <a:lumMod val="65000"/>
                    <a:lumOff val="35000"/>
                  </a:schemeClr>
                </a:solidFill>
                <a:latin typeface="+mn-lt"/>
                <a:ea typeface="+mn-ea"/>
                <a:cs typeface="+mn-cs"/>
              </a:defRPr>
            </a:pPr>
            <a:r>
              <a:rPr lang="en-GB"/>
              <a:t>Format</a:t>
            </a:r>
            <a:r>
              <a:rPr lang="en-GB" baseline="0"/>
              <a:t> of petitions in 2016</a:t>
            </a:r>
            <a:endParaRPr lang="en-GB"/>
          </a:p>
        </c:rich>
      </c:tx>
      <c:layout/>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85">
                <a:solidFill>
                  <a:schemeClr val="lt1"/>
                </a:solidFill>
              </a:ln>
              <a:effectLst/>
              <a:sp3d contourW="25400">
                <a:contourClr>
                  <a:schemeClr val="lt1"/>
                </a:contourClr>
              </a:sp3d>
            </c:spPr>
            <c:extLst>
              <c:ext xmlns:c16="http://schemas.microsoft.com/office/drawing/2014/chart" uri="{C3380CC4-5D6E-409C-BE32-E72D297353CC}">
                <c16:uniqueId val="{00000001-DAAE-4686-A79D-850ACB895DC3}"/>
              </c:ext>
            </c:extLst>
          </c:dPt>
          <c:dPt>
            <c:idx val="1"/>
            <c:bubble3D val="0"/>
            <c:spPr>
              <a:solidFill>
                <a:schemeClr val="accent2"/>
              </a:solidFill>
              <a:ln w="25485">
                <a:solidFill>
                  <a:schemeClr val="lt1"/>
                </a:solidFill>
              </a:ln>
              <a:effectLst/>
              <a:sp3d contourW="25400">
                <a:contourClr>
                  <a:schemeClr val="lt1"/>
                </a:contourClr>
              </a:sp3d>
            </c:spPr>
            <c:extLst>
              <c:ext xmlns:c16="http://schemas.microsoft.com/office/drawing/2014/chart" uri="{C3380CC4-5D6E-409C-BE32-E72D297353CC}">
                <c16:uniqueId val="{00000003-DAAE-4686-A79D-850ACB895DC3}"/>
              </c:ext>
            </c:extLst>
          </c:dPt>
          <c:cat>
            <c:strRef>
              <c:f>Pie!$B$59:$B$60</c:f>
              <c:strCache>
                <c:ptCount val="2"/>
                <c:pt idx="0">
                  <c:v>Petitions portal</c:v>
                </c:pt>
                <c:pt idx="1">
                  <c:v>Letter</c:v>
                </c:pt>
              </c:strCache>
            </c:strRef>
          </c:cat>
          <c:val>
            <c:numRef>
              <c:f>Pie!$C$59:$C$60</c:f>
              <c:numCache>
                <c:formatCode>General</c:formatCode>
                <c:ptCount val="2"/>
                <c:pt idx="0">
                  <c:v>68</c:v>
                </c:pt>
                <c:pt idx="1">
                  <c:v>32</c:v>
                </c:pt>
              </c:numCache>
            </c:numRef>
          </c:val>
          <c:extLst>
            <c:ext xmlns:c16="http://schemas.microsoft.com/office/drawing/2014/chart" uri="{C3380CC4-5D6E-409C-BE32-E72D297353CC}">
              <c16:uniqueId val="{00000004-DAAE-4686-A79D-850ACB895DC3}"/>
            </c:ext>
          </c:extLst>
        </c:ser>
        <c:dLbls>
          <c:showLegendKey val="0"/>
          <c:showVal val="0"/>
          <c:showCatName val="0"/>
          <c:showSerName val="0"/>
          <c:showPercent val="0"/>
          <c:showBubbleSize val="0"/>
          <c:showLeaderLines val="1"/>
        </c:dLbls>
      </c:pie3DChart>
      <c:spPr>
        <a:noFill/>
        <a:ln w="25485">
          <a:noFill/>
        </a:ln>
      </c:spPr>
    </c:plotArea>
    <c:legend>
      <c:legendPos val="b"/>
      <c:layout/>
      <c:overlay val="0"/>
      <c:spPr>
        <a:noFill/>
        <a:ln>
          <a:noFill/>
        </a:ln>
        <a:effectLst/>
      </c:spPr>
      <c:txPr>
        <a:bodyPr rot="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5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Petitions</a:t>
            </a:r>
            <a:r>
              <a:rPr lang="en-GB" baseline="0"/>
              <a:t> by country in 2017</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3B-45EB-AB17-6387621A31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3B-45EB-AB17-6387621A31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3B-45EB-AB17-6387621A31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3B-45EB-AB17-6387621A31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3B-45EB-AB17-6387621A31A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A3B-45EB-AB17-6387621A31A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A3B-45EB-AB17-6387621A31A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A3B-45EB-AB17-6387621A31A4}"/>
              </c:ext>
            </c:extLst>
          </c:dPt>
          <c:cat>
            <c:strRef>
              <c:f>Statistics!$C$8:$C$15</c:f>
              <c:strCache>
                <c:ptCount val="8"/>
                <c:pt idx="0">
                  <c:v>Spain</c:v>
                </c:pt>
                <c:pt idx="1">
                  <c:v>Italy</c:v>
                </c:pt>
                <c:pt idx="2">
                  <c:v>Germany</c:v>
                </c:pt>
                <c:pt idx="3">
                  <c:v>Romania</c:v>
                </c:pt>
                <c:pt idx="4">
                  <c:v>United Kingdom</c:v>
                </c:pt>
                <c:pt idx="5">
                  <c:v>Greece</c:v>
                </c:pt>
                <c:pt idx="6">
                  <c:v>Poland</c:v>
                </c:pt>
                <c:pt idx="7">
                  <c:v>France</c:v>
                </c:pt>
              </c:strCache>
            </c:strRef>
          </c:cat>
          <c:val>
            <c:numRef>
              <c:f>Statistics!$D$8:$D$15</c:f>
              <c:numCache>
                <c:formatCode>#,##0</c:formatCode>
                <c:ptCount val="8"/>
                <c:pt idx="0">
                  <c:v>211</c:v>
                </c:pt>
                <c:pt idx="1">
                  <c:v>176</c:v>
                </c:pt>
                <c:pt idx="2">
                  <c:v>170</c:v>
                </c:pt>
                <c:pt idx="3">
                  <c:v>82</c:v>
                </c:pt>
                <c:pt idx="4">
                  <c:v>73</c:v>
                </c:pt>
                <c:pt idx="5">
                  <c:v>59</c:v>
                </c:pt>
                <c:pt idx="6">
                  <c:v>47</c:v>
                </c:pt>
                <c:pt idx="7">
                  <c:v>43</c:v>
                </c:pt>
              </c:numCache>
            </c:numRef>
          </c:val>
          <c:extLst>
            <c:ext xmlns:c16="http://schemas.microsoft.com/office/drawing/2014/chart" uri="{C3380CC4-5D6E-409C-BE32-E72D297353CC}">
              <c16:uniqueId val="{00000010-3A3B-45EB-AB17-6387621A31A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2-3A3B-45EB-AB17-6387621A31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3A3B-45EB-AB17-6387621A31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3A3B-45EB-AB17-6387621A31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3A3B-45EB-AB17-6387621A31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3A3B-45EB-AB17-6387621A31A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3A3B-45EB-AB17-6387621A31A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3A3B-45EB-AB17-6387621A31A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3A3B-45EB-AB17-6387621A31A4}"/>
              </c:ext>
            </c:extLst>
          </c:dPt>
          <c:cat>
            <c:strRef>
              <c:f>Statistics!$C$8:$C$15</c:f>
              <c:strCache>
                <c:ptCount val="8"/>
                <c:pt idx="0">
                  <c:v>Spain</c:v>
                </c:pt>
                <c:pt idx="1">
                  <c:v>Italy</c:v>
                </c:pt>
                <c:pt idx="2">
                  <c:v>Germany</c:v>
                </c:pt>
                <c:pt idx="3">
                  <c:v>Romania</c:v>
                </c:pt>
                <c:pt idx="4">
                  <c:v>United Kingdom</c:v>
                </c:pt>
                <c:pt idx="5">
                  <c:v>Greece</c:v>
                </c:pt>
                <c:pt idx="6">
                  <c:v>Poland</c:v>
                </c:pt>
                <c:pt idx="7">
                  <c:v>France</c:v>
                </c:pt>
              </c:strCache>
            </c:strRef>
          </c:cat>
          <c:val>
            <c:numRef>
              <c:f>Statistics!$E$8:$E$15</c:f>
              <c:numCache>
                <c:formatCode>#,##0.0;\-#,##0.0;0</c:formatCode>
                <c:ptCount val="8"/>
                <c:pt idx="0">
                  <c:v>13.379835129993658</c:v>
                </c:pt>
                <c:pt idx="1">
                  <c:v>11.160431198478124</c:v>
                </c:pt>
                <c:pt idx="2">
                  <c:v>10.77996195307546</c:v>
                </c:pt>
                <c:pt idx="3">
                  <c:v>5.1997463538363986</c:v>
                </c:pt>
                <c:pt idx="4">
                  <c:v>4.6290424857324037</c:v>
                </c:pt>
                <c:pt idx="5">
                  <c:v>3.741280913126189</c:v>
                </c:pt>
                <c:pt idx="6">
                  <c:v>2.9803424223208625</c:v>
                </c:pt>
                <c:pt idx="7">
                  <c:v>2.7266962587190871</c:v>
                </c:pt>
              </c:numCache>
            </c:numRef>
          </c:val>
          <c:extLst>
            <c:ext xmlns:c16="http://schemas.microsoft.com/office/drawing/2014/chart" uri="{C3380CC4-5D6E-409C-BE32-E72D297353CC}">
              <c16:uniqueId val="{00000021-3A3B-45EB-AB17-6387621A31A4}"/>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23-3A3B-45EB-AB17-6387621A31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5-3A3B-45EB-AB17-6387621A31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7-3A3B-45EB-AB17-6387621A31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9-3A3B-45EB-AB17-6387621A31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B-3A3B-45EB-AB17-6387621A31A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D-3A3B-45EB-AB17-6387621A31A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F-3A3B-45EB-AB17-6387621A31A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1-3A3B-45EB-AB17-6387621A31A4}"/>
              </c:ext>
            </c:extLst>
          </c:dPt>
          <c:cat>
            <c:strRef>
              <c:f>Statistics!$C$8:$C$15</c:f>
              <c:strCache>
                <c:ptCount val="8"/>
                <c:pt idx="0">
                  <c:v>Spain</c:v>
                </c:pt>
                <c:pt idx="1">
                  <c:v>Italy</c:v>
                </c:pt>
                <c:pt idx="2">
                  <c:v>Germany</c:v>
                </c:pt>
                <c:pt idx="3">
                  <c:v>Romania</c:v>
                </c:pt>
                <c:pt idx="4">
                  <c:v>United Kingdom</c:v>
                </c:pt>
                <c:pt idx="5">
                  <c:v>Greece</c:v>
                </c:pt>
                <c:pt idx="6">
                  <c:v>Poland</c:v>
                </c:pt>
                <c:pt idx="7">
                  <c:v>France</c:v>
                </c:pt>
              </c:strCache>
            </c:strRef>
          </c:cat>
          <c:val>
            <c:numRef>
              <c:f>Statistics!$F$8:$F$15</c:f>
              <c:numCache>
                <c:formatCode>General</c:formatCode>
                <c:ptCount val="8"/>
              </c:numCache>
            </c:numRef>
          </c:val>
          <c:extLst>
            <c:ext xmlns:c16="http://schemas.microsoft.com/office/drawing/2014/chart" uri="{C3380CC4-5D6E-409C-BE32-E72D297353CC}">
              <c16:uniqueId val="{00000032-3A3B-45EB-AB17-6387621A31A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Petitions by country in 2016</a:t>
            </a:r>
          </a:p>
        </c:rich>
      </c:tx>
      <c:layout>
        <c:manualLayout>
          <c:xMode val="edge"/>
          <c:yMode val="edge"/>
          <c:x val="0.1685925734692999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Sheet1!$E$8</c:f>
              <c:strCache>
                <c:ptCount val="1"/>
                <c:pt idx="0">
                  <c:v>Petitions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3A-463D-BEA2-BF4D8509B2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3A-463D-BEA2-BF4D8509B2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3A-463D-BEA2-BF4D8509B2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3A-463D-BEA2-BF4D8509B2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3A-463D-BEA2-BF4D8509B2D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E3A-463D-BEA2-BF4D8509B2D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E3A-463D-BEA2-BF4D8509B2D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E3A-463D-BEA2-BF4D8509B2D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E3A-463D-BEA2-BF4D8509B2D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E3A-463D-BEA2-BF4D8509B2D1}"/>
              </c:ext>
            </c:extLst>
          </c:dPt>
          <c:cat>
            <c:strRef>
              <c:f>Sheet1!$D$9:$D$18</c:f>
              <c:strCache>
                <c:ptCount val="10"/>
                <c:pt idx="0">
                  <c:v> Italy</c:v>
                </c:pt>
                <c:pt idx="1">
                  <c:v>Germany</c:v>
                </c:pt>
                <c:pt idx="2">
                  <c:v>Spain</c:v>
                </c:pt>
                <c:pt idx="3">
                  <c:v>United Kingdom</c:v>
                </c:pt>
                <c:pt idx="4">
                  <c:v>Romania</c:v>
                </c:pt>
                <c:pt idx="5">
                  <c:v>Poland</c:v>
                </c:pt>
                <c:pt idx="6">
                  <c:v>France</c:v>
                </c:pt>
                <c:pt idx="7">
                  <c:v>Greece</c:v>
                </c:pt>
                <c:pt idx="8">
                  <c:v>Other EU Countries</c:v>
                </c:pt>
                <c:pt idx="9">
                  <c:v>Other Countries</c:v>
                </c:pt>
              </c:strCache>
            </c:strRef>
          </c:cat>
          <c:val>
            <c:numRef>
              <c:f>Sheet1!$E$9:$E$18</c:f>
              <c:numCache>
                <c:formatCode>General</c:formatCode>
                <c:ptCount val="10"/>
                <c:pt idx="0">
                  <c:v>329</c:v>
                </c:pt>
                <c:pt idx="1">
                  <c:v>209</c:v>
                </c:pt>
                <c:pt idx="2">
                  <c:v>157</c:v>
                </c:pt>
                <c:pt idx="3">
                  <c:v>142</c:v>
                </c:pt>
                <c:pt idx="4">
                  <c:v>91</c:v>
                </c:pt>
                <c:pt idx="5">
                  <c:v>66</c:v>
                </c:pt>
                <c:pt idx="6">
                  <c:v>60</c:v>
                </c:pt>
                <c:pt idx="7">
                  <c:v>54</c:v>
                </c:pt>
                <c:pt idx="8">
                  <c:v>236</c:v>
                </c:pt>
                <c:pt idx="9">
                  <c:v>82</c:v>
                </c:pt>
              </c:numCache>
            </c:numRef>
          </c:val>
          <c:extLst>
            <c:ext xmlns:c16="http://schemas.microsoft.com/office/drawing/2014/chart" uri="{C3380CC4-5D6E-409C-BE32-E72D297353CC}">
              <c16:uniqueId val="{00000014-DE3A-463D-BEA2-BF4D8509B2D1}"/>
            </c:ext>
          </c:extLst>
        </c:ser>
        <c:ser>
          <c:idx val="1"/>
          <c:order val="1"/>
          <c:tx>
            <c:strRef>
              <c:f>Sheet1!$F$8</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6-DE3A-463D-BEA2-BF4D8509B2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8-DE3A-463D-BEA2-BF4D8509B2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A-DE3A-463D-BEA2-BF4D8509B2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C-DE3A-463D-BEA2-BF4D8509B2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E-DE3A-463D-BEA2-BF4D8509B2D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0-DE3A-463D-BEA2-BF4D8509B2D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2-DE3A-463D-BEA2-BF4D8509B2D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4-DE3A-463D-BEA2-BF4D8509B2D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6-DE3A-463D-BEA2-BF4D8509B2D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8-DE3A-463D-BEA2-BF4D8509B2D1}"/>
              </c:ext>
            </c:extLst>
          </c:dPt>
          <c:cat>
            <c:strRef>
              <c:f>Sheet1!$D$9:$D$18</c:f>
              <c:strCache>
                <c:ptCount val="10"/>
                <c:pt idx="0">
                  <c:v> Italy</c:v>
                </c:pt>
                <c:pt idx="1">
                  <c:v>Germany</c:v>
                </c:pt>
                <c:pt idx="2">
                  <c:v>Spain</c:v>
                </c:pt>
                <c:pt idx="3">
                  <c:v>United Kingdom</c:v>
                </c:pt>
                <c:pt idx="4">
                  <c:v>Romania</c:v>
                </c:pt>
                <c:pt idx="5">
                  <c:v>Poland</c:v>
                </c:pt>
                <c:pt idx="6">
                  <c:v>France</c:v>
                </c:pt>
                <c:pt idx="7">
                  <c:v>Greece</c:v>
                </c:pt>
                <c:pt idx="8">
                  <c:v>Other EU Countries</c:v>
                </c:pt>
                <c:pt idx="9">
                  <c:v>Other Countries</c:v>
                </c:pt>
              </c:strCache>
            </c:strRef>
          </c:cat>
          <c:val>
            <c:numRef>
              <c:f>Sheet1!$F$9:$F$18</c:f>
              <c:numCache>
                <c:formatCode>General</c:formatCode>
                <c:ptCount val="10"/>
                <c:pt idx="0">
                  <c:v>17.100000000000001</c:v>
                </c:pt>
                <c:pt idx="1">
                  <c:v>10.9</c:v>
                </c:pt>
                <c:pt idx="2">
                  <c:v>8.1999999999999993</c:v>
                </c:pt>
                <c:pt idx="3">
                  <c:v>7.4</c:v>
                </c:pt>
                <c:pt idx="4">
                  <c:v>4.7</c:v>
                </c:pt>
                <c:pt idx="5">
                  <c:v>3.4</c:v>
                </c:pt>
                <c:pt idx="6">
                  <c:v>3.1</c:v>
                </c:pt>
                <c:pt idx="7">
                  <c:v>2.8</c:v>
                </c:pt>
                <c:pt idx="8">
                  <c:v>12.4</c:v>
                </c:pt>
                <c:pt idx="9">
                  <c:v>4.3</c:v>
                </c:pt>
              </c:numCache>
            </c:numRef>
          </c:val>
          <c:extLst>
            <c:ext xmlns:c16="http://schemas.microsoft.com/office/drawing/2014/chart" uri="{C3380CC4-5D6E-409C-BE32-E72D297353CC}">
              <c16:uniqueId val="{00000029-DE3A-463D-BEA2-BF4D8509B2D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Languages</a:t>
            </a:r>
            <a:r>
              <a:rPr lang="en-US" baseline="0"/>
              <a:t> </a:t>
            </a:r>
            <a:r>
              <a:rPr lang="en-US"/>
              <a:t>of petitions in 2016</a:t>
            </a:r>
          </a:p>
        </c:rich>
      </c:tx>
      <c:layout>
        <c:manualLayout>
          <c:xMode val="edge"/>
          <c:yMode val="edge"/>
          <c:x val="7.3022222222222224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270096237970253"/>
          <c:y val="0.17171296296296298"/>
          <c:w val="0.50126509186351709"/>
          <c:h val="0.52215113735783025"/>
        </c:manualLayout>
      </c:layout>
      <c:pieChart>
        <c:varyColors val="1"/>
        <c:ser>
          <c:idx val="0"/>
          <c:order val="0"/>
          <c:tx>
            <c:strRef>
              <c:f>Summary!$D$35</c:f>
              <c:strCache>
                <c:ptCount val="1"/>
                <c:pt idx="0">
                  <c:v>Number of petitions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89-4400-8139-6F6CFE1B87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89-4400-8139-6F6CFE1B87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89-4400-8139-6F6CFE1B87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89-4400-8139-6F6CFE1B87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89-4400-8139-6F6CFE1B87F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989-4400-8139-6F6CFE1B87F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989-4400-8139-6F6CFE1B87F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989-4400-8139-6F6CFE1B87F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989-4400-8139-6F6CFE1B87F9}"/>
              </c:ext>
            </c:extLst>
          </c:dPt>
          <c:cat>
            <c:strRef>
              <c:f>Summary!$C$36:$C$44</c:f>
              <c:strCache>
                <c:ptCount val="9"/>
                <c:pt idx="0">
                  <c:v>English</c:v>
                </c:pt>
                <c:pt idx="1">
                  <c:v>Italian</c:v>
                </c:pt>
                <c:pt idx="2">
                  <c:v>German</c:v>
                </c:pt>
                <c:pt idx="3">
                  <c:v>Spanish</c:v>
                </c:pt>
                <c:pt idx="4">
                  <c:v>French</c:v>
                </c:pt>
                <c:pt idx="5">
                  <c:v>Romanian</c:v>
                </c:pt>
                <c:pt idx="6">
                  <c:v>Polish</c:v>
                </c:pt>
                <c:pt idx="7">
                  <c:v>Greek</c:v>
                </c:pt>
                <c:pt idx="8">
                  <c:v>Other</c:v>
                </c:pt>
              </c:strCache>
            </c:strRef>
          </c:cat>
          <c:val>
            <c:numRef>
              <c:f>Summary!$D$36:$D$44</c:f>
              <c:numCache>
                <c:formatCode>General</c:formatCode>
                <c:ptCount val="9"/>
                <c:pt idx="0">
                  <c:v>371</c:v>
                </c:pt>
                <c:pt idx="1">
                  <c:v>360</c:v>
                </c:pt>
                <c:pt idx="2">
                  <c:v>296</c:v>
                </c:pt>
                <c:pt idx="3">
                  <c:v>172</c:v>
                </c:pt>
                <c:pt idx="4">
                  <c:v>87</c:v>
                </c:pt>
                <c:pt idx="5">
                  <c:v>71</c:v>
                </c:pt>
                <c:pt idx="6">
                  <c:v>62</c:v>
                </c:pt>
                <c:pt idx="7">
                  <c:v>39</c:v>
                </c:pt>
                <c:pt idx="8">
                  <c:v>111</c:v>
                </c:pt>
              </c:numCache>
            </c:numRef>
          </c:val>
          <c:extLst>
            <c:ext xmlns:c16="http://schemas.microsoft.com/office/drawing/2014/chart" uri="{C3380CC4-5D6E-409C-BE32-E72D297353CC}">
              <c16:uniqueId val="{00000012-5989-4400-8139-6F6CFE1B87F9}"/>
            </c:ext>
          </c:extLst>
        </c:ser>
        <c:ser>
          <c:idx val="1"/>
          <c:order val="1"/>
          <c:tx>
            <c:strRef>
              <c:f>Summary!$E$35</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4-5989-4400-8139-6F6CFE1B87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6-5989-4400-8139-6F6CFE1B87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8-5989-4400-8139-6F6CFE1B87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A-5989-4400-8139-6F6CFE1B87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C-5989-4400-8139-6F6CFE1B87F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E-5989-4400-8139-6F6CFE1B87F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0-5989-4400-8139-6F6CFE1B87F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2-5989-4400-8139-6F6CFE1B87F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4-5989-4400-8139-6F6CFE1B87F9}"/>
              </c:ext>
            </c:extLst>
          </c:dPt>
          <c:cat>
            <c:strRef>
              <c:f>Summary!$C$36:$C$44</c:f>
              <c:strCache>
                <c:ptCount val="9"/>
                <c:pt idx="0">
                  <c:v>English</c:v>
                </c:pt>
                <c:pt idx="1">
                  <c:v>Italian</c:v>
                </c:pt>
                <c:pt idx="2">
                  <c:v>German</c:v>
                </c:pt>
                <c:pt idx="3">
                  <c:v>Spanish</c:v>
                </c:pt>
                <c:pt idx="4">
                  <c:v>French</c:v>
                </c:pt>
                <c:pt idx="5">
                  <c:v>Romanian</c:v>
                </c:pt>
                <c:pt idx="6">
                  <c:v>Polish</c:v>
                </c:pt>
                <c:pt idx="7">
                  <c:v>Greek</c:v>
                </c:pt>
                <c:pt idx="8">
                  <c:v>Other</c:v>
                </c:pt>
              </c:strCache>
            </c:strRef>
          </c:cat>
          <c:val>
            <c:numRef>
              <c:f>Summary!$E$36:$E$44</c:f>
              <c:numCache>
                <c:formatCode>General</c:formatCode>
                <c:ptCount val="9"/>
                <c:pt idx="0">
                  <c:v>23.6</c:v>
                </c:pt>
                <c:pt idx="1">
                  <c:v>22.9</c:v>
                </c:pt>
                <c:pt idx="2">
                  <c:v>18.899999999999999</c:v>
                </c:pt>
                <c:pt idx="3">
                  <c:v>11</c:v>
                </c:pt>
                <c:pt idx="4">
                  <c:v>5.5</c:v>
                </c:pt>
                <c:pt idx="5">
                  <c:v>4.5</c:v>
                </c:pt>
                <c:pt idx="6">
                  <c:v>4</c:v>
                </c:pt>
                <c:pt idx="7">
                  <c:v>2.5</c:v>
                </c:pt>
                <c:pt idx="8">
                  <c:v>7.1</c:v>
                </c:pt>
              </c:numCache>
            </c:numRef>
          </c:val>
          <c:extLst>
            <c:ext xmlns:c16="http://schemas.microsoft.com/office/drawing/2014/chart" uri="{C3380CC4-5D6E-409C-BE32-E72D297353CC}">
              <c16:uniqueId val="{00000025-5989-4400-8139-6F6CFE1B87F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Languages</a:t>
            </a:r>
            <a:r>
              <a:rPr lang="en-GB" baseline="0"/>
              <a:t> of petitions in 2017</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Pie!$C$2</c:f>
              <c:strCache>
                <c:ptCount val="1"/>
                <c:pt idx="0">
                  <c:v>Number of petitions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D0-4EA8-A60E-AAEF8BF0D6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D0-4EA8-A60E-AAEF8BF0D6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D0-4EA8-A60E-AAEF8BF0D6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D0-4EA8-A60E-AAEF8BF0D6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6D0-4EA8-A60E-AAEF8BF0D6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6D0-4EA8-A60E-AAEF8BF0D63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6D0-4EA8-A60E-AAEF8BF0D63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6D0-4EA8-A60E-AAEF8BF0D634}"/>
              </c:ext>
            </c:extLst>
          </c:dPt>
          <c:cat>
            <c:strRef>
              <c:f>Pie!$B$3:$B$10</c:f>
              <c:strCache>
                <c:ptCount val="8"/>
                <c:pt idx="0">
                  <c:v>English</c:v>
                </c:pt>
                <c:pt idx="1">
                  <c:v>German</c:v>
                </c:pt>
                <c:pt idx="2">
                  <c:v>Italian</c:v>
                </c:pt>
                <c:pt idx="3">
                  <c:v>Spanish</c:v>
                </c:pt>
                <c:pt idx="4">
                  <c:v>French</c:v>
                </c:pt>
                <c:pt idx="5">
                  <c:v>Romanian</c:v>
                </c:pt>
                <c:pt idx="6">
                  <c:v>Greek</c:v>
                </c:pt>
                <c:pt idx="7">
                  <c:v>Others</c:v>
                </c:pt>
              </c:strCache>
            </c:strRef>
          </c:cat>
          <c:val>
            <c:numRef>
              <c:f>Pie!$C$3:$C$10</c:f>
              <c:numCache>
                <c:formatCode>General</c:formatCode>
                <c:ptCount val="8"/>
                <c:pt idx="0">
                  <c:v>271</c:v>
                </c:pt>
                <c:pt idx="1">
                  <c:v>262</c:v>
                </c:pt>
                <c:pt idx="2">
                  <c:v>217</c:v>
                </c:pt>
                <c:pt idx="3">
                  <c:v>201</c:v>
                </c:pt>
                <c:pt idx="4">
                  <c:v>54</c:v>
                </c:pt>
                <c:pt idx="5">
                  <c:v>52</c:v>
                </c:pt>
                <c:pt idx="6">
                  <c:v>51</c:v>
                </c:pt>
                <c:pt idx="7">
                  <c:v>163</c:v>
                </c:pt>
              </c:numCache>
            </c:numRef>
          </c:val>
          <c:extLst>
            <c:ext xmlns:c16="http://schemas.microsoft.com/office/drawing/2014/chart" uri="{C3380CC4-5D6E-409C-BE32-E72D297353CC}">
              <c16:uniqueId val="{00000010-96D0-4EA8-A60E-AAEF8BF0D634}"/>
            </c:ext>
          </c:extLst>
        </c:ser>
        <c:ser>
          <c:idx val="1"/>
          <c:order val="1"/>
          <c:tx>
            <c:strRef>
              <c:f>Pie!$D$2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96D0-4EA8-A60E-AAEF8BF0D6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96D0-4EA8-A60E-AAEF8BF0D6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96D0-4EA8-A60E-AAEF8BF0D6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96D0-4EA8-A60E-AAEF8BF0D6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96D0-4EA8-A60E-AAEF8BF0D6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96D0-4EA8-A60E-AAEF8BF0D63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96D0-4EA8-A60E-AAEF8BF0D63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96D0-4EA8-A60E-AAEF8BF0D634}"/>
              </c:ext>
            </c:extLst>
          </c:dPt>
          <c:cat>
            <c:strRef>
              <c:f>Pie!$B$3:$B$10</c:f>
              <c:strCache>
                <c:ptCount val="8"/>
                <c:pt idx="0">
                  <c:v>English</c:v>
                </c:pt>
                <c:pt idx="1">
                  <c:v>German</c:v>
                </c:pt>
                <c:pt idx="2">
                  <c:v>Italian</c:v>
                </c:pt>
                <c:pt idx="3">
                  <c:v>Spanish</c:v>
                </c:pt>
                <c:pt idx="4">
                  <c:v>French</c:v>
                </c:pt>
                <c:pt idx="5">
                  <c:v>Romanian</c:v>
                </c:pt>
                <c:pt idx="6">
                  <c:v>Greek</c:v>
                </c:pt>
                <c:pt idx="7">
                  <c:v>Others</c:v>
                </c:pt>
              </c:strCache>
            </c:strRef>
          </c:cat>
          <c:val>
            <c:numRef>
              <c:f>Pie!$D$3:$D$10</c:f>
              <c:numCache>
                <c:formatCode>#,##0.0</c:formatCode>
                <c:ptCount val="8"/>
                <c:pt idx="0">
                  <c:v>21.32179386309992</c:v>
                </c:pt>
                <c:pt idx="1">
                  <c:v>20.61369000786782</c:v>
                </c:pt>
                <c:pt idx="2">
                  <c:v>17.073170731707318</c:v>
                </c:pt>
                <c:pt idx="3">
                  <c:v>15.814319433516916</c:v>
                </c:pt>
                <c:pt idx="4">
                  <c:v>4.2486231313926046</c:v>
                </c:pt>
                <c:pt idx="5">
                  <c:v>4.0912667191188037</c:v>
                </c:pt>
                <c:pt idx="6">
                  <c:v>4.0125885129819041</c:v>
                </c:pt>
                <c:pt idx="7">
                  <c:v>12.824547600314713</c:v>
                </c:pt>
              </c:numCache>
            </c:numRef>
          </c:val>
          <c:extLst>
            <c:ext xmlns:c16="http://schemas.microsoft.com/office/drawing/2014/chart" uri="{C3380CC4-5D6E-409C-BE32-E72D297353CC}">
              <c16:uniqueId val="{00000021-96D0-4EA8-A60E-AAEF8BF0D63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Prime</a:t>
            </a:r>
            <a:r>
              <a:rPr lang="en-GB" baseline="0"/>
              <a:t> petitioner nationality in 2016</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Pie!$D$20</c:f>
              <c:strCache>
                <c:ptCount val="1"/>
                <c:pt idx="0">
                  <c:v>Number of petitions</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DD-447C-A810-376F4D00DD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DD-447C-A810-376F4D00DD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DD-447C-A810-376F4D00DD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DD-447C-A810-376F4D00DD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3DD-447C-A810-376F4D00DD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3DD-447C-A810-376F4D00DD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3DD-447C-A810-376F4D00DD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3DD-447C-A810-376F4D00DD1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3DD-447C-A810-376F4D00DD1B}"/>
              </c:ext>
            </c:extLst>
          </c:dPt>
          <c:cat>
            <c:strRef>
              <c:f>Pie!$C$21:$C$29</c:f>
              <c:strCache>
                <c:ptCount val="9"/>
                <c:pt idx="0">
                  <c:v>Italy</c:v>
                </c:pt>
                <c:pt idx="1">
                  <c:v>Germany</c:v>
                </c:pt>
                <c:pt idx="2">
                  <c:v>Spain</c:v>
                </c:pt>
                <c:pt idx="3">
                  <c:v>United Kingdom</c:v>
                </c:pt>
                <c:pt idx="4">
                  <c:v>Romania</c:v>
                </c:pt>
                <c:pt idx="5">
                  <c:v>Poland</c:v>
                </c:pt>
                <c:pt idx="6">
                  <c:v>France</c:v>
                </c:pt>
                <c:pt idx="7">
                  <c:v>Greece</c:v>
                </c:pt>
                <c:pt idx="8">
                  <c:v>Others</c:v>
                </c:pt>
              </c:strCache>
            </c:strRef>
          </c:cat>
          <c:val>
            <c:numRef>
              <c:f>Pie!$D$21:$D$29</c:f>
              <c:numCache>
                <c:formatCode>General</c:formatCode>
                <c:ptCount val="9"/>
                <c:pt idx="0">
                  <c:v>376</c:v>
                </c:pt>
                <c:pt idx="1">
                  <c:v>298</c:v>
                </c:pt>
                <c:pt idx="2">
                  <c:v>180</c:v>
                </c:pt>
                <c:pt idx="3">
                  <c:v>138</c:v>
                </c:pt>
                <c:pt idx="4">
                  <c:v>97</c:v>
                </c:pt>
                <c:pt idx="5">
                  <c:v>77</c:v>
                </c:pt>
                <c:pt idx="6">
                  <c:v>71</c:v>
                </c:pt>
                <c:pt idx="7">
                  <c:v>66</c:v>
                </c:pt>
                <c:pt idx="8">
                  <c:v>270</c:v>
                </c:pt>
              </c:numCache>
            </c:numRef>
          </c:val>
          <c:extLst>
            <c:ext xmlns:c16="http://schemas.microsoft.com/office/drawing/2014/chart" uri="{C3380CC4-5D6E-409C-BE32-E72D297353CC}">
              <c16:uniqueId val="{00000012-03DD-447C-A810-376F4D00DD1B}"/>
            </c:ext>
          </c:extLst>
        </c:ser>
        <c:ser>
          <c:idx val="1"/>
          <c:order val="1"/>
          <c:tx>
            <c:strRef>
              <c:f>Pie!$E$20</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4-03DD-447C-A810-376F4D00DD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6-03DD-447C-A810-376F4D00DD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8-03DD-447C-A810-376F4D00DD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A-03DD-447C-A810-376F4D00DD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C-03DD-447C-A810-376F4D00DD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E-03DD-447C-A810-376F4D00DD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0-03DD-447C-A810-376F4D00DD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2-03DD-447C-A810-376F4D00DD1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4-03DD-447C-A810-376F4D00DD1B}"/>
              </c:ext>
            </c:extLst>
          </c:dPt>
          <c:cat>
            <c:strRef>
              <c:f>Pie!$C$21:$C$29</c:f>
              <c:strCache>
                <c:ptCount val="9"/>
                <c:pt idx="0">
                  <c:v>Italy</c:v>
                </c:pt>
                <c:pt idx="1">
                  <c:v>Germany</c:v>
                </c:pt>
                <c:pt idx="2">
                  <c:v>Spain</c:v>
                </c:pt>
                <c:pt idx="3">
                  <c:v>United Kingdom</c:v>
                </c:pt>
                <c:pt idx="4">
                  <c:v>Romania</c:v>
                </c:pt>
                <c:pt idx="5">
                  <c:v>Poland</c:v>
                </c:pt>
                <c:pt idx="6">
                  <c:v>France</c:v>
                </c:pt>
                <c:pt idx="7">
                  <c:v>Greece</c:v>
                </c:pt>
                <c:pt idx="8">
                  <c:v>Others</c:v>
                </c:pt>
              </c:strCache>
            </c:strRef>
          </c:cat>
          <c:val>
            <c:numRef>
              <c:f>Pie!$E$21:$E$29</c:f>
              <c:numCache>
                <c:formatCode>General</c:formatCode>
                <c:ptCount val="9"/>
                <c:pt idx="0">
                  <c:v>23.9</c:v>
                </c:pt>
                <c:pt idx="1">
                  <c:v>18.899999999999999</c:v>
                </c:pt>
                <c:pt idx="2">
                  <c:v>11.4</c:v>
                </c:pt>
                <c:pt idx="3">
                  <c:v>8.8000000000000007</c:v>
                </c:pt>
                <c:pt idx="4">
                  <c:v>6.2</c:v>
                </c:pt>
                <c:pt idx="5">
                  <c:v>4.9000000000000004</c:v>
                </c:pt>
                <c:pt idx="6">
                  <c:v>4.5</c:v>
                </c:pt>
                <c:pt idx="7">
                  <c:v>4.2</c:v>
                </c:pt>
                <c:pt idx="8">
                  <c:v>17.2</c:v>
                </c:pt>
              </c:numCache>
            </c:numRef>
          </c:val>
          <c:extLst>
            <c:ext xmlns:c16="http://schemas.microsoft.com/office/drawing/2014/chart" uri="{C3380CC4-5D6E-409C-BE32-E72D297353CC}">
              <c16:uniqueId val="{00000025-03DD-447C-A810-376F4D00DD1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Prime</a:t>
            </a:r>
            <a:r>
              <a:rPr lang="en-GB" baseline="0"/>
              <a:t> petitioner nationality in 2017</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Pie!$C$2</c:f>
              <c:strCache>
                <c:ptCount val="1"/>
                <c:pt idx="0">
                  <c:v>Number of petitions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4C-4C83-96B4-A9E7D4B2B2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4C-4C83-96B4-A9E7D4B2B2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4C-4C83-96B4-A9E7D4B2B2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4C-4C83-96B4-A9E7D4B2B2E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D4C-4C83-96B4-A9E7D4B2B2E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D4C-4C83-96B4-A9E7D4B2B2E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D4C-4C83-96B4-A9E7D4B2B2E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D4C-4C83-96B4-A9E7D4B2B2EA}"/>
              </c:ext>
            </c:extLst>
          </c:dPt>
          <c:cat>
            <c:strRef>
              <c:f>Pie!$B$3:$B$10</c:f>
              <c:strCache>
                <c:ptCount val="8"/>
                <c:pt idx="0">
                  <c:v>Germany</c:v>
                </c:pt>
                <c:pt idx="1">
                  <c:v>Italy</c:v>
                </c:pt>
                <c:pt idx="2">
                  <c:v>Spain</c:v>
                </c:pt>
                <c:pt idx="3">
                  <c:v>Romania</c:v>
                </c:pt>
                <c:pt idx="4">
                  <c:v>United Kingdom</c:v>
                </c:pt>
                <c:pt idx="5">
                  <c:v>Poland</c:v>
                </c:pt>
                <c:pt idx="6">
                  <c:v>Greece</c:v>
                </c:pt>
                <c:pt idx="7">
                  <c:v>Others</c:v>
                </c:pt>
              </c:strCache>
            </c:strRef>
          </c:cat>
          <c:val>
            <c:numRef>
              <c:f>Pie!$C$3:$C$10</c:f>
              <c:numCache>
                <c:formatCode>General</c:formatCode>
                <c:ptCount val="8"/>
                <c:pt idx="0">
                  <c:v>264</c:v>
                </c:pt>
                <c:pt idx="1">
                  <c:v>236</c:v>
                </c:pt>
                <c:pt idx="2">
                  <c:v>229</c:v>
                </c:pt>
                <c:pt idx="3">
                  <c:v>87</c:v>
                </c:pt>
                <c:pt idx="4">
                  <c:v>75</c:v>
                </c:pt>
                <c:pt idx="5">
                  <c:v>53</c:v>
                </c:pt>
                <c:pt idx="6">
                  <c:v>52</c:v>
                </c:pt>
                <c:pt idx="7">
                  <c:v>282</c:v>
                </c:pt>
              </c:numCache>
            </c:numRef>
          </c:val>
          <c:extLst>
            <c:ext xmlns:c16="http://schemas.microsoft.com/office/drawing/2014/chart" uri="{C3380CC4-5D6E-409C-BE32-E72D297353CC}">
              <c16:uniqueId val="{00000010-DD4C-4C83-96B4-A9E7D4B2B2EA}"/>
            </c:ext>
          </c:extLst>
        </c:ser>
        <c:ser>
          <c:idx val="1"/>
          <c:order val="1"/>
          <c:tx>
            <c:strRef>
              <c:f>Pie!$D$2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DD4C-4C83-96B4-A9E7D4B2B2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DD4C-4C83-96B4-A9E7D4B2B2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DD4C-4C83-96B4-A9E7D4B2B2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DD4C-4C83-96B4-A9E7D4B2B2E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DD4C-4C83-96B4-A9E7D4B2B2E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DD4C-4C83-96B4-A9E7D4B2B2E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DD4C-4C83-96B4-A9E7D4B2B2E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DD4C-4C83-96B4-A9E7D4B2B2EA}"/>
              </c:ext>
            </c:extLst>
          </c:dPt>
          <c:cat>
            <c:strRef>
              <c:f>Pie!$B$3:$B$10</c:f>
              <c:strCache>
                <c:ptCount val="8"/>
                <c:pt idx="0">
                  <c:v>Germany</c:v>
                </c:pt>
                <c:pt idx="1">
                  <c:v>Italy</c:v>
                </c:pt>
                <c:pt idx="2">
                  <c:v>Spain</c:v>
                </c:pt>
                <c:pt idx="3">
                  <c:v>Romania</c:v>
                </c:pt>
                <c:pt idx="4">
                  <c:v>United Kingdom</c:v>
                </c:pt>
                <c:pt idx="5">
                  <c:v>Poland</c:v>
                </c:pt>
                <c:pt idx="6">
                  <c:v>Greece</c:v>
                </c:pt>
                <c:pt idx="7">
                  <c:v>Others</c:v>
                </c:pt>
              </c:strCache>
            </c:strRef>
          </c:cat>
          <c:val>
            <c:numRef>
              <c:f>Pie!$D$3:$D$10</c:f>
              <c:numCache>
                <c:formatCode>General</c:formatCode>
                <c:ptCount val="8"/>
                <c:pt idx="0">
                  <c:v>20.657276995305164</c:v>
                </c:pt>
                <c:pt idx="1">
                  <c:v>18.466353677621282</c:v>
                </c:pt>
                <c:pt idx="2">
                  <c:v>17.918622848200314</c:v>
                </c:pt>
                <c:pt idx="3">
                  <c:v>6.807511737089202</c:v>
                </c:pt>
                <c:pt idx="4">
                  <c:v>5.868544600938967</c:v>
                </c:pt>
                <c:pt idx="5">
                  <c:v>4.1471048513302033</c:v>
                </c:pt>
                <c:pt idx="6">
                  <c:v>4.0688575899843507</c:v>
                </c:pt>
                <c:pt idx="7">
                  <c:v>22.065727699530516</c:v>
                </c:pt>
              </c:numCache>
            </c:numRef>
          </c:val>
          <c:extLst>
            <c:ext xmlns:c16="http://schemas.microsoft.com/office/drawing/2014/chart" uri="{C3380CC4-5D6E-409C-BE32-E72D297353CC}">
              <c16:uniqueId val="{00000021-DD4C-4C83-96B4-A9E7D4B2B2E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Petition</a:t>
            </a:r>
            <a:r>
              <a:rPr lang="en-GB" baseline="0"/>
              <a:t> themes in 2016</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Pie!$C$23</c:f>
              <c:strCache>
                <c:ptCount val="1"/>
                <c:pt idx="0">
                  <c:v>Number of petitions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99-494F-B7F6-1DAB2401A9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99-494F-B7F6-1DAB2401A9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99-494F-B7F6-1DAB2401A9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99-494F-B7F6-1DAB2401A9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799-494F-B7F6-1DAB2401A97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799-494F-B7F6-1DAB2401A97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799-494F-B7F6-1DAB2401A97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799-494F-B7F6-1DAB2401A97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799-494F-B7F6-1DAB2401A97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799-494F-B7F6-1DAB2401A975}"/>
              </c:ext>
            </c:extLst>
          </c:dPt>
          <c:cat>
            <c:strRef>
              <c:f>Pie!$B$24:$B$33</c:f>
              <c:strCache>
                <c:ptCount val="10"/>
                <c:pt idx="0">
                  <c:v>Internal Market</c:v>
                </c:pt>
                <c:pt idx="1">
                  <c:v>Justice</c:v>
                </c:pt>
                <c:pt idx="2">
                  <c:v>Fundamental Rights</c:v>
                </c:pt>
                <c:pt idx="3">
                  <c:v>Environment</c:v>
                </c:pt>
                <c:pt idx="4">
                  <c:v>Property &amp; Restitution</c:v>
                </c:pt>
                <c:pt idx="5">
                  <c:v>Health</c:v>
                </c:pt>
                <c:pt idx="6">
                  <c:v>Social Affairs</c:v>
                </c:pt>
                <c:pt idx="7">
                  <c:v>Employment</c:v>
                </c:pt>
                <c:pt idx="8">
                  <c:v>Transport</c:v>
                </c:pt>
                <c:pt idx="9">
                  <c:v>Education &amp; Culture</c:v>
                </c:pt>
              </c:strCache>
            </c:strRef>
          </c:cat>
          <c:val>
            <c:numRef>
              <c:f>Pie!$C$24:$C$33</c:f>
              <c:numCache>
                <c:formatCode>General</c:formatCode>
                <c:ptCount val="10"/>
                <c:pt idx="0">
                  <c:v>266</c:v>
                </c:pt>
                <c:pt idx="1">
                  <c:v>179</c:v>
                </c:pt>
                <c:pt idx="2">
                  <c:v>178</c:v>
                </c:pt>
                <c:pt idx="3">
                  <c:v>158</c:v>
                </c:pt>
                <c:pt idx="4">
                  <c:v>115</c:v>
                </c:pt>
                <c:pt idx="5">
                  <c:v>111</c:v>
                </c:pt>
                <c:pt idx="6">
                  <c:v>93</c:v>
                </c:pt>
                <c:pt idx="7">
                  <c:v>72</c:v>
                </c:pt>
                <c:pt idx="8">
                  <c:v>52</c:v>
                </c:pt>
                <c:pt idx="9">
                  <c:v>47</c:v>
                </c:pt>
              </c:numCache>
            </c:numRef>
          </c:val>
          <c:extLst>
            <c:ext xmlns:c16="http://schemas.microsoft.com/office/drawing/2014/chart" uri="{C3380CC4-5D6E-409C-BE32-E72D297353CC}">
              <c16:uniqueId val="{00000014-6799-494F-B7F6-1DAB2401A975}"/>
            </c:ext>
          </c:extLst>
        </c:ser>
        <c:ser>
          <c:idx val="1"/>
          <c:order val="1"/>
          <c:tx>
            <c:strRef>
              <c:f>Pie!$D$23</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6-6799-494F-B7F6-1DAB2401A9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8-6799-494F-B7F6-1DAB2401A9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A-6799-494F-B7F6-1DAB2401A9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C-6799-494F-B7F6-1DAB2401A9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E-6799-494F-B7F6-1DAB2401A97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0-6799-494F-B7F6-1DAB2401A97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2-6799-494F-B7F6-1DAB2401A97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4-6799-494F-B7F6-1DAB2401A97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6-6799-494F-B7F6-1DAB2401A97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8-6799-494F-B7F6-1DAB2401A975}"/>
              </c:ext>
            </c:extLst>
          </c:dPt>
          <c:cat>
            <c:strRef>
              <c:f>Pie!$B$24:$B$33</c:f>
              <c:strCache>
                <c:ptCount val="10"/>
                <c:pt idx="0">
                  <c:v>Internal Market</c:v>
                </c:pt>
                <c:pt idx="1">
                  <c:v>Justice</c:v>
                </c:pt>
                <c:pt idx="2">
                  <c:v>Fundamental Rights</c:v>
                </c:pt>
                <c:pt idx="3">
                  <c:v>Environment</c:v>
                </c:pt>
                <c:pt idx="4">
                  <c:v>Property &amp; Restitution</c:v>
                </c:pt>
                <c:pt idx="5">
                  <c:v>Health</c:v>
                </c:pt>
                <c:pt idx="6">
                  <c:v>Social Affairs</c:v>
                </c:pt>
                <c:pt idx="7">
                  <c:v>Employment</c:v>
                </c:pt>
                <c:pt idx="8">
                  <c:v>Transport</c:v>
                </c:pt>
                <c:pt idx="9">
                  <c:v>Education &amp; Culture</c:v>
                </c:pt>
              </c:strCache>
            </c:strRef>
          </c:cat>
          <c:val>
            <c:numRef>
              <c:f>Pie!$D$24:$D$33</c:f>
              <c:numCache>
                <c:formatCode>General</c:formatCode>
                <c:ptCount val="10"/>
                <c:pt idx="0">
                  <c:v>10.5</c:v>
                </c:pt>
                <c:pt idx="1">
                  <c:v>7.1</c:v>
                </c:pt>
                <c:pt idx="2">
                  <c:v>7</c:v>
                </c:pt>
                <c:pt idx="3">
                  <c:v>6.2</c:v>
                </c:pt>
                <c:pt idx="4">
                  <c:v>4.5</c:v>
                </c:pt>
                <c:pt idx="5">
                  <c:v>4.4000000000000004</c:v>
                </c:pt>
                <c:pt idx="6">
                  <c:v>3.7</c:v>
                </c:pt>
                <c:pt idx="7">
                  <c:v>2.8</c:v>
                </c:pt>
                <c:pt idx="8">
                  <c:v>2</c:v>
                </c:pt>
                <c:pt idx="9">
                  <c:v>1.9</c:v>
                </c:pt>
              </c:numCache>
            </c:numRef>
          </c:val>
          <c:extLst>
            <c:ext xmlns:c16="http://schemas.microsoft.com/office/drawing/2014/chart" uri="{C3380CC4-5D6E-409C-BE32-E72D297353CC}">
              <c16:uniqueId val="{00000029-6799-494F-B7F6-1DAB2401A97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9887-E8B8-4B4D-B6C7-ABC12839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8836</Words>
  <Characters>49223</Characters>
  <Application>Microsoft Office Word</Application>
  <DocSecurity>0</DocSecurity>
  <Lines>1447</Lines>
  <Paragraphs>716</Paragraphs>
  <ScaleCrop>false</ScaleCrop>
  <HeadingPairs>
    <vt:vector size="2" baseType="variant">
      <vt:variant>
        <vt:lpstr>Title</vt:lpstr>
      </vt:variant>
      <vt:variant>
        <vt:i4>1</vt:i4>
      </vt:variant>
    </vt:vector>
  </HeadingPairs>
  <TitlesOfParts>
    <vt:vector size="1" baseType="lpstr">
      <vt:lpstr>PR_INI_AnnPETI</vt:lpstr>
    </vt:vector>
  </TitlesOfParts>
  <Company/>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PR_INI_AnnPETI</dc:title>
  <dc:subject/>
  <dc:creator>DER Csilla</dc:creator>
  <cp:keywords/>
  <dc:description/>
  <cp:lastModifiedBy>IVANOVA STOYCHEVA-FRANCOIS Marina</cp:lastModifiedBy>
  <cp:revision>2</cp:revision>
  <cp:lastPrinted>2018-11-23T11:07:00Z</cp:lastPrinted>
  <dcterms:created xsi:type="dcterms:W3CDTF">2018-12-10T11:10:00Z</dcterms:created>
  <dcterms:modified xsi:type="dcterms:W3CDTF">2018-12-10T11:10:00Z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9.4.0 Build [20180620]</vt:lpwstr>
  </property>
  <property fmtid="{D5CDD505-2E9C-101B-9397-08002B2CF9AE}" pid="3" name="LastEdited with">
    <vt:lpwstr>9.5.1 Build [20181101]</vt:lpwstr>
  </property>
  <property fmtid="{D5CDD505-2E9C-101B-9397-08002B2CF9AE}" pid="4" name="&lt;FdR&gt;">
    <vt:lpwstr>1170378</vt:lpwstr>
  </property>
  <property fmtid="{D5CDD505-2E9C-101B-9397-08002B2CF9AE}" pid="5" name="&lt;Type&gt;">
    <vt:lpwstr>RR</vt:lpwstr>
  </property>
  <property fmtid="{D5CDD505-2E9C-101B-9397-08002B2CF9AE}" pid="6" name="&lt;ModelCod&gt;">
    <vt:lpwstr>\\eiciBRUpr1\pdocep$\DocEP\DOCS\General\PR\PR_NonLeg\INI\PR_INI_AnnPETI.dot(08/09/2017 15:47:57)</vt:lpwstr>
  </property>
  <property fmtid="{D5CDD505-2E9C-101B-9397-08002B2CF9AE}" pid="7" name="&lt;ModelTra&gt;">
    <vt:lpwstr>\\eiciBRUpr1\pdocep$\DocEP\TRANSFIL\EN\PR_INI_AnnPETI.EN(05/02/2018 17:18:08)</vt:lpwstr>
  </property>
  <property fmtid="{D5CDD505-2E9C-101B-9397-08002B2CF9AE}" pid="8" name="&lt;Model&gt;">
    <vt:lpwstr>PR_INI_AnnPETI</vt:lpwstr>
  </property>
  <property fmtid="{D5CDD505-2E9C-101B-9397-08002B2CF9AE}" pid="9" name="FooterPath">
    <vt:lpwstr>RR\1170378BG.docx</vt:lpwstr>
  </property>
  <property fmtid="{D5CDD505-2E9C-101B-9397-08002B2CF9AE}" pid="10" name="PE number">
    <vt:lpwstr>623.694</vt:lpwstr>
  </property>
  <property fmtid="{D5CDD505-2E9C-101B-9397-08002B2CF9AE}" pid="11" name="SendToEpades">
    <vt:lpwstr/>
  </property>
  <property fmtid="{D5CDD505-2E9C-101B-9397-08002B2CF9AE}" pid="12" name="SubscribeElise">
    <vt:lpwstr/>
  </property>
  <property fmtid="{D5CDD505-2E9C-101B-9397-08002B2CF9AE}" pid="13" name="Bookout">
    <vt:lpwstr>OK - 2018/12/10 12:09</vt:lpwstr>
  </property>
  <property fmtid="{D5CDD505-2E9C-101B-9397-08002B2CF9AE}" pid="14" name="SDLStudio">
    <vt:lpwstr/>
  </property>
  <property fmtid="{D5CDD505-2E9C-101B-9397-08002B2CF9AE}" pid="15" name="&lt;Extension&gt;">
    <vt:lpwstr>BG</vt:lpwstr>
  </property>
</Properties>
</file>