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FD" w:rsidRPr="00CD26D8" w:rsidRDefault="00CD26D8" w:rsidP="00CD26D8">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7500/19.&#10;Subject Codes: PARLNAT 20.&#10;Heading: NOTE.&#10;Originator: General Secretariat of the Council.&#10;Recipient: National Parliaments.&#10;Subject: Report to the European Parliament and national Parliaments on the proceedings of the Standing Committee on operational cooperation on internal security (COSI) for the period July 2017 - December 2018.&#10;Commission Document Number: Not Set.&#10;Preceeding Document Number: Not Set.&#10;Location: Brussels.&#10;Date: 19 March 2019.&#10;Interinstitutional Files: Not Set.&#10;Institutional Framework: Council of the European Union.&#10;Language: EN.&#10;Distribution Code: PUBLIC.&#10;GUID: 5351028003998390193_0" style="width:568.75pt;height:334.1pt">
            <v:imagedata r:id="rId7" o:title=""/>
          </v:shape>
        </w:pict>
      </w:r>
      <w:bookmarkEnd w:id="0"/>
    </w:p>
    <w:p w:rsidR="00840D29" w:rsidRPr="00BA550B" w:rsidRDefault="00840D29" w:rsidP="00BA550B">
      <w:pPr>
        <w:autoSpaceDE w:val="0"/>
        <w:autoSpaceDN w:val="0"/>
        <w:adjustRightInd w:val="0"/>
        <w:spacing w:before="0" w:after="0"/>
        <w:rPr>
          <w:b/>
        </w:rPr>
      </w:pPr>
      <w:bookmarkStart w:id="1" w:name="_GoBack"/>
      <w:bookmarkEnd w:id="1"/>
      <w:r>
        <w:t xml:space="preserve">The Presidency of the Council has submitted to the Council </w:t>
      </w:r>
      <w:r w:rsidRPr="00825931">
        <w:t xml:space="preserve">the annexed report on </w:t>
      </w:r>
      <w:r w:rsidR="00BA550B" w:rsidRPr="00BA550B">
        <w:t>the proceedings of the Standing Committee on operational cooperation on internal security (COSI) for the period July 2017 - December 2018</w:t>
      </w:r>
      <w:r>
        <w:rPr>
          <w:rStyle w:val="FootnoteReference"/>
        </w:rPr>
        <w:footnoteReference w:id="1"/>
      </w:r>
      <w:r w:rsidR="00BA550B">
        <w:t>.</w:t>
      </w:r>
    </w:p>
    <w:p w:rsidR="00840D29" w:rsidRDefault="00840D29" w:rsidP="00BA550B">
      <w:r>
        <w:t>In accordance with Article 71 of the Treaty on the Functioning of the European Union and Article 6(2) of the Council Decision establishing the Standing Committee on operational cooperation on internal security (COSI), the Council hereby transmits the said report to the national Parliaments.</w:t>
      </w:r>
    </w:p>
    <w:p w:rsidR="00840D29" w:rsidRDefault="00840D29" w:rsidP="00840D29">
      <w:pPr>
        <w:pStyle w:val="NormalConseil"/>
        <w:spacing w:line="360" w:lineRule="auto"/>
      </w:pPr>
    </w:p>
    <w:p w:rsidR="00840D29" w:rsidRDefault="00840D29" w:rsidP="00840D29">
      <w:pPr>
        <w:pStyle w:val="NormalConseil"/>
        <w:jc w:val="center"/>
      </w:pPr>
      <w:r>
        <w:t>________________________</w:t>
      </w:r>
    </w:p>
    <w:p w:rsidR="00BA550B" w:rsidRDefault="00BA550B" w:rsidP="00BA550B">
      <w:pPr>
        <w:sectPr w:rsidR="00BA550B" w:rsidSect="00CD26D8">
          <w:headerReference w:type="even" r:id="rId8"/>
          <w:headerReference w:type="default" r:id="rId9"/>
          <w:footerReference w:type="even" r:id="rId10"/>
          <w:footerReference w:type="default" r:id="rId11"/>
          <w:headerReference w:type="first" r:id="rId12"/>
          <w:footerReference w:type="first" r:id="rId13"/>
          <w:pgSz w:w="11907" w:h="16840" w:code="9"/>
          <w:pgMar w:top="624" w:right="1134" w:bottom="1134" w:left="1134" w:header="567" w:footer="567" w:gutter="0"/>
          <w:pgNumType w:start="1"/>
          <w:cols w:space="708"/>
          <w:titlePg/>
          <w:docGrid w:linePitch="360"/>
        </w:sectPr>
      </w:pPr>
    </w:p>
    <w:p w:rsidR="00BA550B" w:rsidRDefault="00BA550B" w:rsidP="00BA550B">
      <w:pPr>
        <w:pStyle w:val="Annex"/>
      </w:pPr>
      <w:r w:rsidRPr="00BA550B">
        <w:lastRenderedPageBreak/>
        <w:t>ANNEX</w:t>
      </w:r>
    </w:p>
    <w:p w:rsidR="00BA550B" w:rsidRPr="005C36C2" w:rsidRDefault="00BA550B" w:rsidP="00BA550B">
      <w:pPr>
        <w:jc w:val="center"/>
        <w:rPr>
          <w:rFonts w:asciiTheme="majorBidi" w:hAnsiTheme="majorBidi" w:cstheme="majorBidi"/>
          <w:b/>
          <w:bCs/>
          <w:sz w:val="28"/>
          <w:szCs w:val="28"/>
        </w:rPr>
      </w:pPr>
      <w:r w:rsidRPr="005C36C2">
        <w:rPr>
          <w:rFonts w:asciiTheme="majorBidi" w:hAnsiTheme="majorBidi" w:cstheme="majorBidi"/>
          <w:b/>
          <w:bCs/>
          <w:sz w:val="28"/>
          <w:szCs w:val="28"/>
        </w:rPr>
        <w:t>Report to the European Parliament and national Parliaments on the proceedings of the Standin</w:t>
      </w:r>
      <w:r>
        <w:rPr>
          <w:rFonts w:asciiTheme="majorBidi" w:hAnsiTheme="majorBidi" w:cstheme="majorBidi"/>
          <w:b/>
          <w:bCs/>
          <w:sz w:val="28"/>
          <w:szCs w:val="28"/>
        </w:rPr>
        <w:t>g</w:t>
      </w:r>
      <w:r w:rsidRPr="005C36C2">
        <w:rPr>
          <w:rFonts w:asciiTheme="majorBidi" w:hAnsiTheme="majorBidi" w:cstheme="majorBidi"/>
          <w:b/>
          <w:bCs/>
          <w:sz w:val="28"/>
          <w:szCs w:val="28"/>
        </w:rPr>
        <w:t xml:space="preserve"> Committee on operational cooperation on internal security (COSI)</w:t>
      </w:r>
      <w:r>
        <w:rPr>
          <w:rFonts w:asciiTheme="majorBidi" w:hAnsiTheme="majorBidi" w:cstheme="majorBidi"/>
          <w:b/>
          <w:bCs/>
          <w:sz w:val="28"/>
          <w:szCs w:val="28"/>
        </w:rPr>
        <w:t xml:space="preserve"> </w:t>
      </w:r>
      <w:r w:rsidRPr="005C36C2">
        <w:rPr>
          <w:rFonts w:asciiTheme="majorBidi" w:hAnsiTheme="majorBidi" w:cstheme="majorBidi"/>
          <w:b/>
          <w:bCs/>
          <w:sz w:val="28"/>
          <w:szCs w:val="28"/>
        </w:rPr>
        <w:t>for the p</w:t>
      </w:r>
      <w:r>
        <w:rPr>
          <w:rFonts w:asciiTheme="majorBidi" w:hAnsiTheme="majorBidi" w:cstheme="majorBidi"/>
          <w:b/>
          <w:bCs/>
          <w:sz w:val="28"/>
          <w:szCs w:val="28"/>
        </w:rPr>
        <w:t>eriod July 2017 - December 2018</w:t>
      </w:r>
    </w:p>
    <w:sdt>
      <w:sdtPr>
        <w:rPr>
          <w:rFonts w:ascii="Times New Roman" w:eastAsiaTheme="minorHAnsi" w:hAnsi="Times New Roman" w:cstheme="minorBidi"/>
          <w:color w:val="auto"/>
          <w:sz w:val="24"/>
          <w:szCs w:val="22"/>
          <w:lang w:val="en-GB"/>
        </w:rPr>
        <w:id w:val="-1136564486"/>
        <w:docPartObj>
          <w:docPartGallery w:val="Table of Contents"/>
          <w:docPartUnique/>
        </w:docPartObj>
      </w:sdtPr>
      <w:sdtEndPr>
        <w:rPr>
          <w:lang w:val="en-IE"/>
        </w:rPr>
      </w:sdtEndPr>
      <w:sdtContent>
        <w:p w:rsidR="00BA550B" w:rsidRPr="00C475CA" w:rsidRDefault="00BA550B" w:rsidP="00BA550B">
          <w:pPr>
            <w:pStyle w:val="TOCHeading"/>
            <w:rPr>
              <w:rFonts w:asciiTheme="majorBidi" w:hAnsiTheme="majorBidi"/>
              <w:color w:val="auto"/>
              <w:sz w:val="28"/>
              <w:szCs w:val="28"/>
              <w:lang w:val="en-GB"/>
            </w:rPr>
          </w:pPr>
          <w:r w:rsidRPr="00C475CA">
            <w:rPr>
              <w:rFonts w:asciiTheme="majorBidi" w:hAnsiTheme="majorBidi"/>
              <w:color w:val="auto"/>
              <w:sz w:val="28"/>
              <w:szCs w:val="28"/>
              <w:lang w:val="en-GB"/>
            </w:rPr>
            <w:t>Table of Contents</w:t>
          </w:r>
        </w:p>
        <w:p w:rsidR="00BA550B" w:rsidRPr="004575C3" w:rsidRDefault="00BA550B" w:rsidP="00BA550B"/>
        <w:p w:rsidR="00BA550B" w:rsidRPr="004575C3" w:rsidRDefault="00BA550B" w:rsidP="00BA550B">
          <w:pPr>
            <w:pStyle w:val="TOC1"/>
            <w:rPr>
              <w:rFonts w:asciiTheme="minorHAnsi" w:eastAsiaTheme="minorEastAsia" w:hAnsiTheme="minorHAnsi"/>
              <w:noProof/>
              <w:sz w:val="22"/>
              <w:lang w:val="en-GB" w:eastAsia="en-GB"/>
            </w:rPr>
          </w:pPr>
          <w:r w:rsidRPr="004575C3">
            <w:fldChar w:fldCharType="begin"/>
          </w:r>
          <w:r w:rsidRPr="004575C3">
            <w:instrText xml:space="preserve"> TOC \o "1-3" \h \z \u </w:instrText>
          </w:r>
          <w:r w:rsidRPr="004575C3">
            <w:fldChar w:fldCharType="separate"/>
          </w:r>
          <w:hyperlink w:anchor="_Toc3188488" w:history="1">
            <w:r w:rsidRPr="009E49A1">
              <w:rPr>
                <w:rStyle w:val="Hyperlink"/>
                <w:b/>
                <w:bCs/>
                <w:noProof/>
              </w:rPr>
              <w:t>1.</w:t>
            </w:r>
            <w:r w:rsidRPr="009E49A1">
              <w:rPr>
                <w:rFonts w:asciiTheme="minorHAnsi" w:eastAsiaTheme="minorEastAsia" w:hAnsiTheme="minorHAnsi"/>
                <w:b/>
                <w:bCs/>
                <w:noProof/>
                <w:sz w:val="22"/>
                <w:lang w:val="en-GB" w:eastAsia="en-GB"/>
              </w:rPr>
              <w:tab/>
            </w:r>
            <w:r w:rsidRPr="009E49A1">
              <w:rPr>
                <w:rStyle w:val="Hyperlink"/>
                <w:b/>
                <w:bCs/>
                <w:noProof/>
              </w:rPr>
              <w:t>Summary</w:t>
            </w:r>
            <w:r w:rsidRPr="004575C3">
              <w:rPr>
                <w:noProof/>
                <w:webHidden/>
              </w:rPr>
              <w:tab/>
            </w:r>
            <w:r w:rsidRPr="004575C3">
              <w:rPr>
                <w:noProof/>
                <w:webHidden/>
              </w:rPr>
              <w:fldChar w:fldCharType="begin"/>
            </w:r>
            <w:r w:rsidRPr="004575C3">
              <w:rPr>
                <w:noProof/>
                <w:webHidden/>
              </w:rPr>
              <w:instrText xml:space="preserve"> PAGEREF _Toc3188488 \h </w:instrText>
            </w:r>
            <w:r w:rsidRPr="004575C3">
              <w:rPr>
                <w:noProof/>
                <w:webHidden/>
              </w:rPr>
            </w:r>
            <w:r w:rsidRPr="004575C3">
              <w:rPr>
                <w:noProof/>
                <w:webHidden/>
              </w:rPr>
              <w:fldChar w:fldCharType="separate"/>
            </w:r>
            <w:r>
              <w:rPr>
                <w:noProof/>
                <w:webHidden/>
              </w:rPr>
              <w:t>5</w:t>
            </w:r>
            <w:r w:rsidRPr="004575C3">
              <w:rPr>
                <w:noProof/>
                <w:webHidden/>
              </w:rPr>
              <w:fldChar w:fldCharType="end"/>
            </w:r>
          </w:hyperlink>
        </w:p>
        <w:p w:rsidR="00BA550B" w:rsidRPr="004575C3" w:rsidRDefault="00CD26D8" w:rsidP="00BA550B">
          <w:pPr>
            <w:pStyle w:val="TOC1"/>
            <w:rPr>
              <w:rFonts w:asciiTheme="minorHAnsi" w:eastAsiaTheme="minorEastAsia" w:hAnsiTheme="minorHAnsi"/>
              <w:noProof/>
              <w:sz w:val="22"/>
              <w:lang w:val="en-GB" w:eastAsia="en-GB"/>
            </w:rPr>
          </w:pPr>
          <w:hyperlink w:anchor="_Toc3188489" w:history="1">
            <w:r w:rsidR="00BA550B" w:rsidRPr="009E49A1">
              <w:rPr>
                <w:rStyle w:val="Hyperlink"/>
                <w:b/>
                <w:bCs/>
                <w:noProof/>
              </w:rPr>
              <w:t>2.</w:t>
            </w:r>
            <w:r w:rsidR="00BA550B" w:rsidRPr="009E49A1">
              <w:rPr>
                <w:rFonts w:asciiTheme="minorHAnsi" w:eastAsiaTheme="minorEastAsia" w:hAnsiTheme="minorHAnsi"/>
                <w:b/>
                <w:bCs/>
                <w:noProof/>
                <w:sz w:val="22"/>
                <w:lang w:val="en-GB" w:eastAsia="en-GB"/>
              </w:rPr>
              <w:tab/>
            </w:r>
            <w:r w:rsidR="00BA550B" w:rsidRPr="009E49A1">
              <w:rPr>
                <w:rStyle w:val="Hyperlink"/>
                <w:b/>
                <w:bCs/>
                <w:noProof/>
              </w:rPr>
              <w:t>Implementation of the renewed Internal Security Strategy</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_Toc3188489 \h </w:instrText>
            </w:r>
            <w:r w:rsidR="00BA550B" w:rsidRPr="004575C3">
              <w:rPr>
                <w:noProof/>
                <w:webHidden/>
              </w:rPr>
            </w:r>
            <w:r w:rsidR="00BA550B" w:rsidRPr="004575C3">
              <w:rPr>
                <w:noProof/>
                <w:webHidden/>
              </w:rPr>
              <w:fldChar w:fldCharType="separate"/>
            </w:r>
            <w:r w:rsidR="00BA550B">
              <w:rPr>
                <w:noProof/>
                <w:webHidden/>
              </w:rPr>
              <w:t>11</w:t>
            </w:r>
            <w:r w:rsidR="00BA550B" w:rsidRPr="004575C3">
              <w:rPr>
                <w:noProof/>
                <w:webHidden/>
              </w:rPr>
              <w:fldChar w:fldCharType="end"/>
            </w:r>
          </w:hyperlink>
        </w:p>
        <w:p w:rsidR="00BA550B" w:rsidRPr="004575C3" w:rsidRDefault="00CD26D8" w:rsidP="00BA550B">
          <w:pPr>
            <w:pStyle w:val="TOC1"/>
            <w:rPr>
              <w:rFonts w:asciiTheme="minorHAnsi" w:eastAsiaTheme="minorEastAsia" w:hAnsiTheme="minorHAnsi"/>
              <w:noProof/>
              <w:sz w:val="22"/>
              <w:lang w:val="en-GB" w:eastAsia="en-GB"/>
            </w:rPr>
          </w:pPr>
          <w:hyperlink w:anchor="_Toc3188490" w:history="1">
            <w:r w:rsidR="00BA550B" w:rsidRPr="009E49A1">
              <w:rPr>
                <w:rStyle w:val="Hyperlink"/>
                <w:b/>
                <w:bCs/>
                <w:noProof/>
              </w:rPr>
              <w:t>3.</w:t>
            </w:r>
            <w:r w:rsidR="00BA550B" w:rsidRPr="009E49A1">
              <w:rPr>
                <w:rFonts w:asciiTheme="minorHAnsi" w:eastAsiaTheme="minorEastAsia" w:hAnsiTheme="minorHAnsi"/>
                <w:b/>
                <w:bCs/>
                <w:noProof/>
                <w:sz w:val="22"/>
                <w:lang w:val="en-GB" w:eastAsia="en-GB"/>
              </w:rPr>
              <w:tab/>
            </w:r>
            <w:r w:rsidR="00BA550B" w:rsidRPr="009E49A1">
              <w:rPr>
                <w:rStyle w:val="Hyperlink"/>
                <w:b/>
                <w:bCs/>
                <w:noProof/>
              </w:rPr>
              <w:t>Counter Terrorism</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_Toc3188490 \h </w:instrText>
            </w:r>
            <w:r w:rsidR="00BA550B" w:rsidRPr="004575C3">
              <w:rPr>
                <w:noProof/>
                <w:webHidden/>
              </w:rPr>
            </w:r>
            <w:r w:rsidR="00BA550B" w:rsidRPr="004575C3">
              <w:rPr>
                <w:noProof/>
                <w:webHidden/>
              </w:rPr>
              <w:fldChar w:fldCharType="separate"/>
            </w:r>
            <w:r w:rsidR="00BA550B">
              <w:rPr>
                <w:noProof/>
                <w:webHidden/>
              </w:rPr>
              <w:t>12</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491" w:history="1">
            <w:r w:rsidR="00BA550B" w:rsidRPr="004575C3">
              <w:rPr>
                <w:rStyle w:val="Hyperlink"/>
                <w:rFonts w:eastAsia="Times New Roman"/>
                <w:noProof/>
              </w:rPr>
              <w:t>3.1.</w:t>
            </w:r>
            <w:r w:rsidR="00BA550B" w:rsidRPr="004575C3">
              <w:rPr>
                <w:rFonts w:asciiTheme="minorHAnsi" w:eastAsiaTheme="minorEastAsia" w:hAnsiTheme="minorHAnsi"/>
                <w:noProof/>
                <w:sz w:val="22"/>
                <w:lang w:eastAsia="en-GB"/>
              </w:rPr>
              <w:tab/>
            </w:r>
            <w:r w:rsidR="00BA550B" w:rsidRPr="004575C3">
              <w:rPr>
                <w:rStyle w:val="Hyperlink"/>
                <w:rFonts w:eastAsia="Times New Roman"/>
                <w:noProof/>
              </w:rPr>
              <w:t>EU Threat Assessment</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_Toc3188491 \h </w:instrText>
            </w:r>
            <w:r w:rsidR="00BA550B" w:rsidRPr="004575C3">
              <w:rPr>
                <w:noProof/>
                <w:webHidden/>
              </w:rPr>
            </w:r>
            <w:r w:rsidR="00BA550B" w:rsidRPr="004575C3">
              <w:rPr>
                <w:noProof/>
                <w:webHidden/>
              </w:rPr>
              <w:fldChar w:fldCharType="separate"/>
            </w:r>
            <w:r w:rsidR="00BA550B">
              <w:rPr>
                <w:noProof/>
                <w:webHidden/>
              </w:rPr>
              <w:t>12</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492" w:history="1">
            <w:r w:rsidR="00BA550B" w:rsidRPr="004575C3">
              <w:rPr>
                <w:rStyle w:val="Hyperlink"/>
                <w:rFonts w:eastAsia="Times New Roman"/>
                <w:noProof/>
              </w:rPr>
              <w:t>3.2.</w:t>
            </w:r>
            <w:r w:rsidR="00BA550B" w:rsidRPr="004575C3">
              <w:rPr>
                <w:rFonts w:asciiTheme="minorHAnsi" w:eastAsiaTheme="minorEastAsia" w:hAnsiTheme="minorHAnsi"/>
                <w:noProof/>
                <w:sz w:val="22"/>
                <w:lang w:eastAsia="en-GB"/>
              </w:rPr>
              <w:tab/>
            </w:r>
            <w:r w:rsidR="00BA550B" w:rsidRPr="004575C3">
              <w:rPr>
                <w:rStyle w:val="Hyperlink"/>
                <w:rFonts w:eastAsia="Times New Roman"/>
                <w:noProof/>
              </w:rPr>
              <w:t>JHA Agencies</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_Toc3188492 \h </w:instrText>
            </w:r>
            <w:r w:rsidR="00BA550B" w:rsidRPr="004575C3">
              <w:rPr>
                <w:noProof/>
                <w:webHidden/>
              </w:rPr>
            </w:r>
            <w:r w:rsidR="00BA550B" w:rsidRPr="004575C3">
              <w:rPr>
                <w:noProof/>
                <w:webHidden/>
              </w:rPr>
              <w:fldChar w:fldCharType="separate"/>
            </w:r>
            <w:r w:rsidR="00BA550B">
              <w:rPr>
                <w:noProof/>
                <w:webHidden/>
              </w:rPr>
              <w:t>13</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493" w:history="1">
            <w:r w:rsidR="00BA550B" w:rsidRPr="004575C3">
              <w:rPr>
                <w:rStyle w:val="Hyperlink"/>
                <w:rFonts w:eastAsia="Times New Roman"/>
                <w:noProof/>
              </w:rPr>
              <w:t>3.3.</w:t>
            </w:r>
            <w:r w:rsidR="00BA550B" w:rsidRPr="004575C3">
              <w:rPr>
                <w:rFonts w:asciiTheme="minorHAnsi" w:eastAsiaTheme="minorEastAsia" w:hAnsiTheme="minorHAnsi"/>
                <w:noProof/>
                <w:sz w:val="22"/>
                <w:lang w:eastAsia="en-GB"/>
              </w:rPr>
              <w:tab/>
            </w:r>
            <w:r w:rsidR="00BA550B" w:rsidRPr="004575C3">
              <w:rPr>
                <w:rStyle w:val="Hyperlink"/>
                <w:rFonts w:eastAsia="Times New Roman"/>
                <w:noProof/>
              </w:rPr>
              <w:t>High-Level Commission Expert Group on Radicalisation</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_Toc3188493 \h </w:instrText>
            </w:r>
            <w:r w:rsidR="00BA550B" w:rsidRPr="004575C3">
              <w:rPr>
                <w:noProof/>
                <w:webHidden/>
              </w:rPr>
            </w:r>
            <w:r w:rsidR="00BA550B" w:rsidRPr="004575C3">
              <w:rPr>
                <w:noProof/>
                <w:webHidden/>
              </w:rPr>
              <w:fldChar w:fldCharType="separate"/>
            </w:r>
            <w:r w:rsidR="00BA550B">
              <w:rPr>
                <w:noProof/>
                <w:webHidden/>
              </w:rPr>
              <w:t>13</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494" w:history="1">
            <w:r w:rsidR="00BA550B" w:rsidRPr="004575C3">
              <w:rPr>
                <w:rStyle w:val="Hyperlink"/>
                <w:rFonts w:eastAsia="Times New Roman"/>
                <w:noProof/>
              </w:rPr>
              <w:t>3.4.</w:t>
            </w:r>
            <w:r w:rsidR="00BA550B" w:rsidRPr="004575C3">
              <w:rPr>
                <w:rFonts w:asciiTheme="minorHAnsi" w:eastAsiaTheme="minorEastAsia" w:hAnsiTheme="minorHAnsi"/>
                <w:noProof/>
                <w:sz w:val="22"/>
                <w:lang w:eastAsia="en-GB"/>
              </w:rPr>
              <w:tab/>
            </w:r>
            <w:r w:rsidR="00BA550B" w:rsidRPr="004575C3">
              <w:rPr>
                <w:rStyle w:val="Hyperlink"/>
                <w:rFonts w:eastAsia="Times New Roman"/>
                <w:noProof/>
              </w:rPr>
              <w:t>Foreign terrorist fighters and returnees</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_Toc3188494 \h </w:instrText>
            </w:r>
            <w:r w:rsidR="00BA550B" w:rsidRPr="004575C3">
              <w:rPr>
                <w:noProof/>
                <w:webHidden/>
              </w:rPr>
            </w:r>
            <w:r w:rsidR="00BA550B" w:rsidRPr="004575C3">
              <w:rPr>
                <w:noProof/>
                <w:webHidden/>
              </w:rPr>
              <w:fldChar w:fldCharType="separate"/>
            </w:r>
            <w:r w:rsidR="00BA550B">
              <w:rPr>
                <w:noProof/>
                <w:webHidden/>
              </w:rPr>
              <w:t>14</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495" w:history="1">
            <w:r w:rsidR="00BA550B" w:rsidRPr="004575C3">
              <w:rPr>
                <w:rStyle w:val="Hyperlink"/>
                <w:rFonts w:eastAsia="Times New Roman"/>
                <w:noProof/>
              </w:rPr>
              <w:t>3.5.</w:t>
            </w:r>
            <w:r w:rsidR="00BA550B" w:rsidRPr="004575C3">
              <w:rPr>
                <w:rFonts w:asciiTheme="minorHAnsi" w:eastAsiaTheme="minorEastAsia" w:hAnsiTheme="minorHAnsi"/>
                <w:noProof/>
                <w:sz w:val="22"/>
                <w:lang w:eastAsia="en-GB"/>
              </w:rPr>
              <w:tab/>
            </w:r>
            <w:r w:rsidR="00BA550B" w:rsidRPr="004575C3">
              <w:rPr>
                <w:rStyle w:val="Hyperlink"/>
                <w:rFonts w:eastAsia="Times New Roman"/>
                <w:noProof/>
              </w:rPr>
              <w:t>ATLAS Network</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_Toc3188495 \h </w:instrText>
            </w:r>
            <w:r w:rsidR="00BA550B" w:rsidRPr="004575C3">
              <w:rPr>
                <w:noProof/>
                <w:webHidden/>
              </w:rPr>
            </w:r>
            <w:r w:rsidR="00BA550B" w:rsidRPr="004575C3">
              <w:rPr>
                <w:noProof/>
                <w:webHidden/>
              </w:rPr>
              <w:fldChar w:fldCharType="separate"/>
            </w:r>
            <w:r w:rsidR="00BA550B">
              <w:rPr>
                <w:noProof/>
                <w:webHidden/>
              </w:rPr>
              <w:t>14</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496" w:history="1">
            <w:r w:rsidR="00BA550B" w:rsidRPr="004575C3">
              <w:rPr>
                <w:rStyle w:val="Hyperlink"/>
                <w:rFonts w:eastAsia="Times New Roman"/>
                <w:noProof/>
              </w:rPr>
              <w:t>3.6.</w:t>
            </w:r>
            <w:r w:rsidR="00BA550B" w:rsidRPr="004575C3">
              <w:rPr>
                <w:rFonts w:asciiTheme="minorHAnsi" w:eastAsiaTheme="minorEastAsia" w:hAnsiTheme="minorHAnsi"/>
                <w:noProof/>
                <w:sz w:val="22"/>
                <w:lang w:eastAsia="en-GB"/>
              </w:rPr>
              <w:tab/>
            </w:r>
            <w:r w:rsidR="00BA550B" w:rsidRPr="004575C3">
              <w:rPr>
                <w:rStyle w:val="Hyperlink"/>
                <w:rFonts w:eastAsia="Times New Roman"/>
                <w:noProof/>
              </w:rPr>
              <w:t>CBRN Threat</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_Toc3188496 \h </w:instrText>
            </w:r>
            <w:r w:rsidR="00BA550B" w:rsidRPr="004575C3">
              <w:rPr>
                <w:noProof/>
                <w:webHidden/>
              </w:rPr>
            </w:r>
            <w:r w:rsidR="00BA550B" w:rsidRPr="004575C3">
              <w:rPr>
                <w:noProof/>
                <w:webHidden/>
              </w:rPr>
              <w:fldChar w:fldCharType="separate"/>
            </w:r>
            <w:r w:rsidR="00BA550B">
              <w:rPr>
                <w:noProof/>
                <w:webHidden/>
              </w:rPr>
              <w:t>15</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497" w:history="1">
            <w:r w:rsidR="00BA550B" w:rsidRPr="004575C3">
              <w:rPr>
                <w:rStyle w:val="Hyperlink"/>
                <w:rFonts w:eastAsia="Times New Roman"/>
                <w:noProof/>
              </w:rPr>
              <w:t>3.7.</w:t>
            </w:r>
            <w:r w:rsidR="00BA550B" w:rsidRPr="004575C3">
              <w:rPr>
                <w:rFonts w:asciiTheme="minorHAnsi" w:eastAsiaTheme="minorEastAsia" w:hAnsiTheme="minorHAnsi"/>
                <w:noProof/>
                <w:sz w:val="22"/>
                <w:lang w:eastAsia="en-GB"/>
              </w:rPr>
              <w:tab/>
            </w:r>
            <w:r w:rsidR="00BA550B" w:rsidRPr="004575C3">
              <w:rPr>
                <w:rStyle w:val="Hyperlink"/>
                <w:rFonts w:eastAsia="Times New Roman"/>
                <w:noProof/>
              </w:rPr>
              <w:t>Financing of terrorism</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_Toc3188497 \h </w:instrText>
            </w:r>
            <w:r w:rsidR="00BA550B" w:rsidRPr="004575C3">
              <w:rPr>
                <w:noProof/>
                <w:webHidden/>
              </w:rPr>
            </w:r>
            <w:r w:rsidR="00BA550B" w:rsidRPr="004575C3">
              <w:rPr>
                <w:noProof/>
                <w:webHidden/>
              </w:rPr>
              <w:fldChar w:fldCharType="separate"/>
            </w:r>
            <w:r w:rsidR="00BA550B">
              <w:rPr>
                <w:noProof/>
                <w:webHidden/>
              </w:rPr>
              <w:t>15</w:t>
            </w:r>
            <w:r w:rsidR="00BA550B" w:rsidRPr="004575C3">
              <w:rPr>
                <w:noProof/>
                <w:webHidden/>
              </w:rPr>
              <w:fldChar w:fldCharType="end"/>
            </w:r>
          </w:hyperlink>
        </w:p>
        <w:p w:rsidR="00BA550B" w:rsidRPr="004575C3" w:rsidRDefault="00CD26D8" w:rsidP="00BA550B">
          <w:pPr>
            <w:pStyle w:val="TOC1"/>
            <w:rPr>
              <w:rFonts w:asciiTheme="minorHAnsi" w:eastAsiaTheme="minorEastAsia" w:hAnsiTheme="minorHAnsi"/>
              <w:noProof/>
              <w:sz w:val="22"/>
              <w:lang w:val="en-GB" w:eastAsia="en-GB"/>
            </w:rPr>
          </w:pPr>
          <w:hyperlink w:anchor="_Toc3188498" w:history="1">
            <w:r w:rsidR="00BA550B" w:rsidRPr="009E49A1">
              <w:rPr>
                <w:rStyle w:val="Hyperlink"/>
                <w:b/>
                <w:bCs/>
                <w:noProof/>
              </w:rPr>
              <w:t>4.</w:t>
            </w:r>
            <w:r w:rsidR="00BA550B" w:rsidRPr="009E49A1">
              <w:rPr>
                <w:rFonts w:asciiTheme="minorHAnsi" w:eastAsiaTheme="minorEastAsia" w:hAnsiTheme="minorHAnsi"/>
                <w:b/>
                <w:bCs/>
                <w:noProof/>
                <w:sz w:val="22"/>
                <w:lang w:val="en-GB" w:eastAsia="en-GB"/>
              </w:rPr>
              <w:tab/>
            </w:r>
            <w:r w:rsidR="00BA550B" w:rsidRPr="009E49A1">
              <w:rPr>
                <w:rStyle w:val="Hyperlink"/>
                <w:b/>
                <w:bCs/>
                <w:noProof/>
              </w:rPr>
              <w:t>The EU Policy Cycle for organised and serious international crime/EMPACT</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_Toc3188498 \h </w:instrText>
            </w:r>
            <w:r w:rsidR="00BA550B" w:rsidRPr="004575C3">
              <w:rPr>
                <w:noProof/>
                <w:webHidden/>
              </w:rPr>
            </w:r>
            <w:r w:rsidR="00BA550B" w:rsidRPr="004575C3">
              <w:rPr>
                <w:noProof/>
                <w:webHidden/>
              </w:rPr>
              <w:fldChar w:fldCharType="separate"/>
            </w:r>
            <w:r w:rsidR="00BA550B">
              <w:rPr>
                <w:noProof/>
                <w:webHidden/>
              </w:rPr>
              <w:t>15</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499" w:history="1">
            <w:r w:rsidR="00BA550B" w:rsidRPr="004575C3">
              <w:rPr>
                <w:rStyle w:val="Hyperlink"/>
                <w:rFonts w:eastAsia="Times New Roman"/>
                <w:noProof/>
              </w:rPr>
              <w:t>4.1.</w:t>
            </w:r>
            <w:r w:rsidR="00BA550B" w:rsidRPr="004575C3">
              <w:rPr>
                <w:rFonts w:asciiTheme="minorHAnsi" w:eastAsiaTheme="minorEastAsia" w:hAnsiTheme="minorHAnsi"/>
                <w:noProof/>
                <w:sz w:val="22"/>
                <w:lang w:eastAsia="en-GB"/>
              </w:rPr>
              <w:tab/>
            </w:r>
            <w:r w:rsidR="00BA550B" w:rsidRPr="004575C3">
              <w:rPr>
                <w:rStyle w:val="Hyperlink"/>
                <w:rFonts w:eastAsia="Times New Roman"/>
                <w:noProof/>
              </w:rPr>
              <w:t>Implementation of the EU Policy Cycle</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_Toc3188499 \h </w:instrText>
            </w:r>
            <w:r w:rsidR="00BA550B" w:rsidRPr="004575C3">
              <w:rPr>
                <w:noProof/>
                <w:webHidden/>
              </w:rPr>
            </w:r>
            <w:r w:rsidR="00BA550B" w:rsidRPr="004575C3">
              <w:rPr>
                <w:noProof/>
                <w:webHidden/>
              </w:rPr>
              <w:fldChar w:fldCharType="separate"/>
            </w:r>
            <w:r w:rsidR="00BA550B">
              <w:rPr>
                <w:noProof/>
                <w:webHidden/>
              </w:rPr>
              <w:t>17</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500" w:history="1">
            <w:r w:rsidR="00BA550B" w:rsidRPr="004575C3">
              <w:rPr>
                <w:rStyle w:val="Hyperlink"/>
                <w:rFonts w:eastAsia="Times New Roman"/>
                <w:noProof/>
              </w:rPr>
              <w:t>4.2.</w:t>
            </w:r>
            <w:r w:rsidR="00BA550B" w:rsidRPr="004575C3">
              <w:rPr>
                <w:rFonts w:asciiTheme="minorHAnsi" w:eastAsiaTheme="minorEastAsia" w:hAnsiTheme="minorHAnsi"/>
                <w:noProof/>
                <w:sz w:val="22"/>
                <w:lang w:eastAsia="en-GB"/>
              </w:rPr>
              <w:tab/>
            </w:r>
            <w:r w:rsidR="00BA550B" w:rsidRPr="004575C3">
              <w:rPr>
                <w:rStyle w:val="Hyperlink"/>
                <w:rFonts w:eastAsia="Times New Roman"/>
                <w:noProof/>
              </w:rPr>
              <w:t>Funding</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_Toc3188500 \h </w:instrText>
            </w:r>
            <w:r w:rsidR="00BA550B" w:rsidRPr="004575C3">
              <w:rPr>
                <w:noProof/>
                <w:webHidden/>
              </w:rPr>
            </w:r>
            <w:r w:rsidR="00BA550B" w:rsidRPr="004575C3">
              <w:rPr>
                <w:noProof/>
                <w:webHidden/>
              </w:rPr>
              <w:fldChar w:fldCharType="separate"/>
            </w:r>
            <w:r w:rsidR="00BA550B">
              <w:rPr>
                <w:noProof/>
                <w:webHidden/>
              </w:rPr>
              <w:t>18</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501" w:history="1">
            <w:r w:rsidR="00BA550B" w:rsidRPr="004575C3">
              <w:rPr>
                <w:rStyle w:val="Hyperlink"/>
                <w:rFonts w:eastAsia="Times New Roman"/>
                <w:noProof/>
              </w:rPr>
              <w:t>4.3.</w:t>
            </w:r>
            <w:r w:rsidR="00BA550B" w:rsidRPr="004575C3">
              <w:rPr>
                <w:rFonts w:asciiTheme="minorHAnsi" w:eastAsiaTheme="minorEastAsia" w:hAnsiTheme="minorHAnsi"/>
                <w:noProof/>
                <w:sz w:val="22"/>
                <w:lang w:eastAsia="en-GB"/>
              </w:rPr>
              <w:tab/>
            </w:r>
            <w:r w:rsidR="00BA550B" w:rsidRPr="004575C3">
              <w:rPr>
                <w:rStyle w:val="Hyperlink"/>
                <w:rFonts w:eastAsia="Times New Roman"/>
                <w:noProof/>
              </w:rPr>
              <w:t>Strengthening the EU Policy Cycle</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_Toc3188501 \h </w:instrText>
            </w:r>
            <w:r w:rsidR="00BA550B" w:rsidRPr="004575C3">
              <w:rPr>
                <w:noProof/>
                <w:webHidden/>
              </w:rPr>
            </w:r>
            <w:r w:rsidR="00BA550B" w:rsidRPr="004575C3">
              <w:rPr>
                <w:noProof/>
                <w:webHidden/>
              </w:rPr>
              <w:fldChar w:fldCharType="separate"/>
            </w:r>
            <w:r w:rsidR="00BA550B">
              <w:rPr>
                <w:noProof/>
                <w:webHidden/>
              </w:rPr>
              <w:t>19</w:t>
            </w:r>
            <w:r w:rsidR="00BA550B" w:rsidRPr="004575C3">
              <w:rPr>
                <w:noProof/>
                <w:webHidden/>
              </w:rPr>
              <w:fldChar w:fldCharType="end"/>
            </w:r>
          </w:hyperlink>
        </w:p>
        <w:p w:rsidR="00BA550B" w:rsidRPr="004575C3" w:rsidRDefault="00CD26D8" w:rsidP="00BA550B">
          <w:pPr>
            <w:pStyle w:val="TOC2"/>
            <w:tabs>
              <w:tab w:val="left" w:pos="1540"/>
            </w:tabs>
            <w:ind w:firstLine="0"/>
            <w:rPr>
              <w:rFonts w:asciiTheme="minorHAnsi" w:eastAsiaTheme="minorEastAsia" w:hAnsiTheme="minorHAnsi"/>
              <w:noProof/>
              <w:sz w:val="22"/>
              <w:lang w:eastAsia="en-GB"/>
            </w:rPr>
          </w:pPr>
          <w:hyperlink w:anchor="_Toc3188502" w:history="1">
            <w:r w:rsidR="00BA550B" w:rsidRPr="004575C3">
              <w:rPr>
                <w:rStyle w:val="Hyperlink"/>
                <w:rFonts w:eastAsia="Times New Roman"/>
                <w:noProof/>
              </w:rPr>
              <w:t>4.3.1.</w:t>
            </w:r>
            <w:r w:rsidR="00BA550B">
              <w:rPr>
                <w:rStyle w:val="Hyperlink"/>
                <w:rFonts w:eastAsia="Times New Roman"/>
                <w:noProof/>
              </w:rPr>
              <w:t xml:space="preserve"> </w:t>
            </w:r>
            <w:r w:rsidR="00BA550B" w:rsidRPr="004575C3">
              <w:rPr>
                <w:rStyle w:val="Hyperlink"/>
                <w:rFonts w:eastAsia="Times New Roman"/>
                <w:noProof/>
              </w:rPr>
              <w:t>Approval of the new reporting mechanism</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_Toc3188502 \h </w:instrText>
            </w:r>
            <w:r w:rsidR="00BA550B" w:rsidRPr="004575C3">
              <w:rPr>
                <w:noProof/>
                <w:webHidden/>
              </w:rPr>
            </w:r>
            <w:r w:rsidR="00BA550B" w:rsidRPr="004575C3">
              <w:rPr>
                <w:noProof/>
                <w:webHidden/>
              </w:rPr>
              <w:fldChar w:fldCharType="separate"/>
            </w:r>
            <w:r w:rsidR="00BA550B">
              <w:rPr>
                <w:noProof/>
                <w:webHidden/>
              </w:rPr>
              <w:t>19</w:t>
            </w:r>
            <w:r w:rsidR="00BA550B" w:rsidRPr="004575C3">
              <w:rPr>
                <w:noProof/>
                <w:webHidden/>
              </w:rPr>
              <w:fldChar w:fldCharType="end"/>
            </w:r>
          </w:hyperlink>
        </w:p>
        <w:p w:rsidR="00BA550B" w:rsidRPr="004575C3" w:rsidRDefault="00CD26D8" w:rsidP="00BA550B">
          <w:pPr>
            <w:pStyle w:val="TOC2"/>
            <w:tabs>
              <w:tab w:val="left" w:pos="1540"/>
            </w:tabs>
            <w:ind w:firstLine="0"/>
            <w:rPr>
              <w:rFonts w:asciiTheme="minorHAnsi" w:eastAsiaTheme="minorEastAsia" w:hAnsiTheme="minorHAnsi"/>
              <w:noProof/>
              <w:sz w:val="22"/>
              <w:lang w:eastAsia="en-GB"/>
            </w:rPr>
          </w:pPr>
          <w:hyperlink w:anchor="_Toc3188504" w:history="1">
            <w:r w:rsidR="00BA550B" w:rsidRPr="004575C3">
              <w:rPr>
                <w:rStyle w:val="Hyperlink"/>
                <w:rFonts w:eastAsia="Times New Roman"/>
                <w:noProof/>
              </w:rPr>
              <w:t>4.3.2.</w:t>
            </w:r>
            <w:r w:rsidR="00BA550B">
              <w:rPr>
                <w:rStyle w:val="Hyperlink"/>
                <w:rFonts w:eastAsia="Times New Roman"/>
                <w:noProof/>
              </w:rPr>
              <w:t xml:space="preserve"> </w:t>
            </w:r>
            <w:r w:rsidR="00BA550B" w:rsidRPr="004575C3">
              <w:rPr>
                <w:rStyle w:val="Hyperlink"/>
                <w:rFonts w:eastAsia="Times New Roman"/>
                <w:noProof/>
              </w:rPr>
              <w:t>Strengthening the identity of the EU Policy Cycle</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_Toc3188504 \h </w:instrText>
            </w:r>
            <w:r w:rsidR="00BA550B" w:rsidRPr="004575C3">
              <w:rPr>
                <w:noProof/>
                <w:webHidden/>
              </w:rPr>
            </w:r>
            <w:r w:rsidR="00BA550B" w:rsidRPr="004575C3">
              <w:rPr>
                <w:noProof/>
                <w:webHidden/>
              </w:rPr>
              <w:fldChar w:fldCharType="separate"/>
            </w:r>
            <w:r w:rsidR="00BA550B">
              <w:rPr>
                <w:noProof/>
                <w:webHidden/>
              </w:rPr>
              <w:t>20</w:t>
            </w:r>
            <w:r w:rsidR="00BA550B" w:rsidRPr="004575C3">
              <w:rPr>
                <w:noProof/>
                <w:webHidden/>
              </w:rPr>
              <w:fldChar w:fldCharType="end"/>
            </w:r>
          </w:hyperlink>
        </w:p>
        <w:p w:rsidR="00BA550B" w:rsidRPr="004575C3" w:rsidRDefault="00CD26D8" w:rsidP="00BA550B">
          <w:pPr>
            <w:pStyle w:val="TOC2"/>
            <w:tabs>
              <w:tab w:val="left" w:pos="1540"/>
            </w:tabs>
            <w:ind w:firstLine="0"/>
            <w:rPr>
              <w:rFonts w:asciiTheme="minorHAnsi" w:eastAsiaTheme="minorEastAsia" w:hAnsiTheme="minorHAnsi"/>
              <w:noProof/>
              <w:sz w:val="22"/>
              <w:lang w:eastAsia="en-GB"/>
            </w:rPr>
          </w:pPr>
          <w:hyperlink w:anchor="_Toc3188505" w:history="1">
            <w:r w:rsidR="00BA550B" w:rsidRPr="004575C3">
              <w:rPr>
                <w:rStyle w:val="Hyperlink"/>
                <w:rFonts w:eastAsia="Times New Roman"/>
                <w:noProof/>
              </w:rPr>
              <w:t>4.3.3.</w:t>
            </w:r>
            <w:r w:rsidR="00BA550B">
              <w:rPr>
                <w:rStyle w:val="Hyperlink"/>
                <w:rFonts w:eastAsia="Times New Roman"/>
                <w:noProof/>
              </w:rPr>
              <w:t xml:space="preserve"> </w:t>
            </w:r>
            <w:r w:rsidR="00BA550B" w:rsidRPr="004575C3">
              <w:rPr>
                <w:rStyle w:val="Hyperlink"/>
                <w:rFonts w:eastAsia="Times New Roman"/>
                <w:noProof/>
              </w:rPr>
              <w:t>Joint Action Days (JADs)</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_Toc3188505 \h </w:instrText>
            </w:r>
            <w:r w:rsidR="00BA550B" w:rsidRPr="004575C3">
              <w:rPr>
                <w:noProof/>
                <w:webHidden/>
              </w:rPr>
            </w:r>
            <w:r w:rsidR="00BA550B" w:rsidRPr="004575C3">
              <w:rPr>
                <w:noProof/>
                <w:webHidden/>
              </w:rPr>
              <w:fldChar w:fldCharType="separate"/>
            </w:r>
            <w:r w:rsidR="00BA550B">
              <w:rPr>
                <w:noProof/>
                <w:webHidden/>
              </w:rPr>
              <w:t>20</w:t>
            </w:r>
            <w:r w:rsidR="00BA550B" w:rsidRPr="004575C3">
              <w:rPr>
                <w:noProof/>
                <w:webHidden/>
              </w:rPr>
              <w:fldChar w:fldCharType="end"/>
            </w:r>
          </w:hyperlink>
        </w:p>
        <w:p w:rsidR="00BA550B" w:rsidRPr="004575C3" w:rsidRDefault="00CD26D8" w:rsidP="00BA550B">
          <w:pPr>
            <w:pStyle w:val="TOC1"/>
            <w:rPr>
              <w:rFonts w:asciiTheme="minorHAnsi" w:eastAsiaTheme="minorEastAsia" w:hAnsiTheme="minorHAnsi"/>
              <w:noProof/>
              <w:sz w:val="22"/>
              <w:lang w:val="en-GB" w:eastAsia="en-GB"/>
            </w:rPr>
          </w:pPr>
          <w:hyperlink w:anchor="_Toc3188506" w:history="1">
            <w:r w:rsidR="00BA550B" w:rsidRPr="009E49A1">
              <w:rPr>
                <w:rStyle w:val="Hyperlink"/>
                <w:b/>
                <w:bCs/>
                <w:noProof/>
              </w:rPr>
              <w:t>5.</w:t>
            </w:r>
            <w:r w:rsidR="00BA550B" w:rsidRPr="009E49A1">
              <w:rPr>
                <w:rFonts w:asciiTheme="minorHAnsi" w:eastAsiaTheme="minorEastAsia" w:hAnsiTheme="minorHAnsi"/>
                <w:b/>
                <w:bCs/>
                <w:noProof/>
                <w:sz w:val="22"/>
                <w:lang w:val="en-GB" w:eastAsia="en-GB"/>
              </w:rPr>
              <w:tab/>
            </w:r>
            <w:r w:rsidR="00BA550B" w:rsidRPr="009E49A1">
              <w:rPr>
                <w:rStyle w:val="Hyperlink"/>
                <w:b/>
                <w:bCs/>
                <w:noProof/>
              </w:rPr>
              <w:t>Migrant smuggling and trafficking in human beings</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_Toc3188506 \h </w:instrText>
            </w:r>
            <w:r w:rsidR="00BA550B" w:rsidRPr="004575C3">
              <w:rPr>
                <w:noProof/>
                <w:webHidden/>
              </w:rPr>
            </w:r>
            <w:r w:rsidR="00BA550B" w:rsidRPr="004575C3">
              <w:rPr>
                <w:noProof/>
                <w:webHidden/>
              </w:rPr>
              <w:fldChar w:fldCharType="separate"/>
            </w:r>
            <w:r w:rsidR="00BA550B">
              <w:rPr>
                <w:noProof/>
                <w:webHidden/>
              </w:rPr>
              <w:t>21</w:t>
            </w:r>
            <w:r w:rsidR="00BA550B" w:rsidRPr="004575C3">
              <w:rPr>
                <w:noProof/>
                <w:webHidden/>
              </w:rPr>
              <w:fldChar w:fldCharType="end"/>
            </w:r>
          </w:hyperlink>
        </w:p>
        <w:p w:rsidR="00BA550B" w:rsidRPr="004575C3" w:rsidRDefault="00BA550B" w:rsidP="00BA550B">
          <w:pPr>
            <w:pStyle w:val="TOC1"/>
            <w:rPr>
              <w:rFonts w:asciiTheme="minorHAnsi" w:eastAsiaTheme="minorEastAsia" w:hAnsiTheme="minorHAnsi"/>
              <w:noProof/>
              <w:sz w:val="22"/>
              <w:lang w:val="en-GB" w:eastAsia="en-GB"/>
            </w:rPr>
          </w:pPr>
          <w:r w:rsidRPr="004575C3">
            <w:rPr>
              <w:rStyle w:val="Hyperlink"/>
              <w:noProof/>
            </w:rPr>
            <w:br w:type="page"/>
          </w:r>
          <w:hyperlink w:anchor="_Toc3188507" w:history="1">
            <w:r w:rsidRPr="009E49A1">
              <w:rPr>
                <w:rStyle w:val="Hyperlink"/>
                <w:b/>
                <w:bCs/>
                <w:noProof/>
              </w:rPr>
              <w:t>6.</w:t>
            </w:r>
            <w:r w:rsidRPr="009E49A1">
              <w:rPr>
                <w:rFonts w:asciiTheme="minorHAnsi" w:eastAsiaTheme="minorEastAsia" w:hAnsiTheme="minorHAnsi"/>
                <w:b/>
                <w:bCs/>
                <w:noProof/>
                <w:sz w:val="22"/>
                <w:lang w:val="en-GB" w:eastAsia="en-GB"/>
              </w:rPr>
              <w:tab/>
            </w:r>
            <w:r w:rsidRPr="009E49A1">
              <w:rPr>
                <w:rStyle w:val="Hyperlink"/>
                <w:b/>
                <w:bCs/>
                <w:noProof/>
              </w:rPr>
              <w:t>Other forms of organised and serious international crime</w:t>
            </w:r>
            <w:r w:rsidRPr="004575C3">
              <w:rPr>
                <w:noProof/>
                <w:webHidden/>
              </w:rPr>
              <w:tab/>
            </w:r>
            <w:r w:rsidRPr="004575C3">
              <w:rPr>
                <w:noProof/>
                <w:webHidden/>
              </w:rPr>
              <w:fldChar w:fldCharType="begin"/>
            </w:r>
            <w:r w:rsidRPr="004575C3">
              <w:rPr>
                <w:noProof/>
                <w:webHidden/>
              </w:rPr>
              <w:instrText xml:space="preserve"> PAGEREF _Toc3188507 \h </w:instrText>
            </w:r>
            <w:r w:rsidRPr="004575C3">
              <w:rPr>
                <w:noProof/>
                <w:webHidden/>
              </w:rPr>
            </w:r>
            <w:r w:rsidRPr="004575C3">
              <w:rPr>
                <w:noProof/>
                <w:webHidden/>
              </w:rPr>
              <w:fldChar w:fldCharType="separate"/>
            </w:r>
            <w:r>
              <w:rPr>
                <w:noProof/>
                <w:webHidden/>
              </w:rPr>
              <w:t>23</w:t>
            </w:r>
            <w:r w:rsidRPr="004575C3">
              <w:rPr>
                <w:noProof/>
                <w:webHidden/>
              </w:rPr>
              <w:fldChar w:fldCharType="end"/>
            </w:r>
          </w:hyperlink>
        </w:p>
        <w:p w:rsidR="00BA550B" w:rsidRPr="004575C3" w:rsidRDefault="00CD26D8" w:rsidP="00BA550B">
          <w:pPr>
            <w:pStyle w:val="TOC3"/>
            <w:rPr>
              <w:rFonts w:asciiTheme="minorHAnsi" w:eastAsiaTheme="minorEastAsia" w:hAnsiTheme="minorHAnsi"/>
              <w:noProof/>
              <w:sz w:val="22"/>
              <w:lang w:eastAsia="en-GB"/>
            </w:rPr>
          </w:pPr>
          <w:hyperlink w:anchor="_Toc3188508" w:history="1">
            <w:r w:rsidR="00BA550B" w:rsidRPr="004575C3">
              <w:rPr>
                <w:rStyle w:val="Hyperlink"/>
                <w:noProof/>
              </w:rPr>
              <w:t>6.1.</w:t>
            </w:r>
            <w:r w:rsidR="00BA550B" w:rsidRPr="004575C3">
              <w:rPr>
                <w:rFonts w:asciiTheme="minorHAnsi" w:eastAsiaTheme="minorEastAsia" w:hAnsiTheme="minorHAnsi"/>
                <w:noProof/>
                <w:sz w:val="22"/>
                <w:lang w:eastAsia="en-GB"/>
              </w:rPr>
              <w:tab/>
            </w:r>
            <w:r w:rsidR="00BA550B" w:rsidRPr="004575C3">
              <w:rPr>
                <w:rStyle w:val="Hyperlink"/>
                <w:noProof/>
              </w:rPr>
              <w:t>Organised domestic burglary</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_Toc3188508 \h </w:instrText>
            </w:r>
            <w:r w:rsidR="00BA550B" w:rsidRPr="004575C3">
              <w:rPr>
                <w:noProof/>
                <w:webHidden/>
              </w:rPr>
            </w:r>
            <w:r w:rsidR="00BA550B" w:rsidRPr="004575C3">
              <w:rPr>
                <w:noProof/>
                <w:webHidden/>
              </w:rPr>
              <w:fldChar w:fldCharType="separate"/>
            </w:r>
            <w:r w:rsidR="00BA550B">
              <w:rPr>
                <w:noProof/>
                <w:webHidden/>
              </w:rPr>
              <w:t>23</w:t>
            </w:r>
            <w:r w:rsidR="00BA550B" w:rsidRPr="004575C3">
              <w:rPr>
                <w:noProof/>
                <w:webHidden/>
              </w:rPr>
              <w:fldChar w:fldCharType="end"/>
            </w:r>
          </w:hyperlink>
        </w:p>
        <w:p w:rsidR="00BA550B" w:rsidRPr="004575C3" w:rsidRDefault="00CD26D8" w:rsidP="00BA550B">
          <w:pPr>
            <w:pStyle w:val="TOC3"/>
            <w:rPr>
              <w:rFonts w:asciiTheme="minorHAnsi" w:eastAsiaTheme="minorEastAsia" w:hAnsiTheme="minorHAnsi"/>
              <w:noProof/>
              <w:sz w:val="22"/>
              <w:lang w:eastAsia="en-GB"/>
            </w:rPr>
          </w:pPr>
          <w:hyperlink w:anchor="_Toc3188509" w:history="1">
            <w:r w:rsidR="00BA550B" w:rsidRPr="004575C3">
              <w:rPr>
                <w:rStyle w:val="Hyperlink"/>
                <w:noProof/>
              </w:rPr>
              <w:t>6.2.</w:t>
            </w:r>
            <w:r w:rsidR="00BA550B" w:rsidRPr="004575C3">
              <w:rPr>
                <w:rFonts w:asciiTheme="minorHAnsi" w:eastAsiaTheme="minorEastAsia" w:hAnsiTheme="minorHAnsi"/>
                <w:noProof/>
                <w:sz w:val="22"/>
                <w:lang w:eastAsia="en-GB"/>
              </w:rPr>
              <w:tab/>
            </w:r>
            <w:r w:rsidR="00BA550B" w:rsidRPr="004575C3">
              <w:rPr>
                <w:rStyle w:val="Hyperlink"/>
                <w:noProof/>
              </w:rPr>
              <w:t>Trafficking in firearms: National Firearms Focal Point approach</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_Toc3188509 \h </w:instrText>
            </w:r>
            <w:r w:rsidR="00BA550B" w:rsidRPr="004575C3">
              <w:rPr>
                <w:noProof/>
                <w:webHidden/>
              </w:rPr>
            </w:r>
            <w:r w:rsidR="00BA550B" w:rsidRPr="004575C3">
              <w:rPr>
                <w:noProof/>
                <w:webHidden/>
              </w:rPr>
              <w:fldChar w:fldCharType="separate"/>
            </w:r>
            <w:r w:rsidR="00BA550B">
              <w:rPr>
                <w:noProof/>
                <w:webHidden/>
              </w:rPr>
              <w:t>24</w:t>
            </w:r>
            <w:r w:rsidR="00BA550B" w:rsidRPr="004575C3">
              <w:rPr>
                <w:noProof/>
                <w:webHidden/>
              </w:rPr>
              <w:fldChar w:fldCharType="end"/>
            </w:r>
          </w:hyperlink>
        </w:p>
        <w:p w:rsidR="00BA550B" w:rsidRPr="004575C3" w:rsidRDefault="00CD26D8" w:rsidP="00BA550B">
          <w:pPr>
            <w:pStyle w:val="TOC3"/>
            <w:rPr>
              <w:rFonts w:asciiTheme="minorHAnsi" w:eastAsiaTheme="minorEastAsia" w:hAnsiTheme="minorHAnsi"/>
              <w:noProof/>
              <w:sz w:val="22"/>
              <w:lang w:eastAsia="en-GB"/>
            </w:rPr>
          </w:pPr>
          <w:hyperlink w:anchor="_Toc3188510" w:history="1">
            <w:r w:rsidR="00BA550B" w:rsidRPr="004575C3">
              <w:rPr>
                <w:rStyle w:val="Hyperlink"/>
                <w:noProof/>
              </w:rPr>
              <w:t>6.3</w:t>
            </w:r>
            <w:r w:rsidR="00BA550B" w:rsidRPr="004575C3">
              <w:rPr>
                <w:rFonts w:asciiTheme="minorHAnsi" w:eastAsiaTheme="minorEastAsia" w:hAnsiTheme="minorHAnsi"/>
                <w:noProof/>
                <w:sz w:val="22"/>
                <w:lang w:eastAsia="en-GB"/>
              </w:rPr>
              <w:tab/>
            </w:r>
            <w:r w:rsidR="00BA550B" w:rsidRPr="004575C3">
              <w:rPr>
                <w:rStyle w:val="Hyperlink"/>
                <w:noProof/>
              </w:rPr>
              <w:t>Money Laundering and Asset Recovery</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_Toc3188510 \h </w:instrText>
            </w:r>
            <w:r w:rsidR="00BA550B" w:rsidRPr="004575C3">
              <w:rPr>
                <w:noProof/>
                <w:webHidden/>
              </w:rPr>
            </w:r>
            <w:r w:rsidR="00BA550B" w:rsidRPr="004575C3">
              <w:rPr>
                <w:noProof/>
                <w:webHidden/>
              </w:rPr>
              <w:fldChar w:fldCharType="separate"/>
            </w:r>
            <w:r w:rsidR="00BA550B">
              <w:rPr>
                <w:noProof/>
                <w:webHidden/>
              </w:rPr>
              <w:t>24</w:t>
            </w:r>
            <w:r w:rsidR="00BA550B" w:rsidRPr="004575C3">
              <w:rPr>
                <w:noProof/>
                <w:webHidden/>
              </w:rPr>
              <w:fldChar w:fldCharType="end"/>
            </w:r>
          </w:hyperlink>
        </w:p>
        <w:p w:rsidR="00BA550B" w:rsidRPr="004575C3" w:rsidRDefault="00CD26D8" w:rsidP="00BA550B">
          <w:pPr>
            <w:pStyle w:val="TOC1"/>
            <w:rPr>
              <w:rFonts w:asciiTheme="minorHAnsi" w:eastAsiaTheme="minorEastAsia" w:hAnsiTheme="minorHAnsi"/>
              <w:noProof/>
              <w:sz w:val="22"/>
              <w:lang w:val="en-GB" w:eastAsia="en-GB"/>
            </w:rPr>
          </w:pPr>
          <w:hyperlink w:anchor="_Toc3188511" w:history="1">
            <w:r w:rsidR="00BA550B" w:rsidRPr="009E49A1">
              <w:rPr>
                <w:rStyle w:val="Hyperlink"/>
                <w:rFonts w:asciiTheme="majorBidi" w:eastAsia="Times New Roman" w:hAnsiTheme="majorBidi" w:cstheme="majorBidi"/>
                <w:b/>
                <w:bCs/>
                <w:noProof/>
              </w:rPr>
              <w:t>7.</w:t>
            </w:r>
            <w:r w:rsidR="00BA550B" w:rsidRPr="009E49A1">
              <w:rPr>
                <w:rFonts w:asciiTheme="minorHAnsi" w:eastAsiaTheme="minorEastAsia" w:hAnsiTheme="minorHAnsi"/>
                <w:b/>
                <w:bCs/>
                <w:noProof/>
                <w:sz w:val="22"/>
                <w:lang w:val="en-GB" w:eastAsia="en-GB"/>
              </w:rPr>
              <w:tab/>
            </w:r>
            <w:r w:rsidR="00BA550B" w:rsidRPr="009E49A1">
              <w:rPr>
                <w:rStyle w:val="Hyperlink"/>
                <w:rFonts w:asciiTheme="majorBidi" w:eastAsia="Times New Roman" w:hAnsiTheme="majorBidi" w:cstheme="majorBidi"/>
                <w:b/>
                <w:bCs/>
                <w:noProof/>
              </w:rPr>
              <w:t>Cyber</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_Toc3188511 \h </w:instrText>
            </w:r>
            <w:r w:rsidR="00BA550B" w:rsidRPr="004575C3">
              <w:rPr>
                <w:noProof/>
                <w:webHidden/>
              </w:rPr>
            </w:r>
            <w:r w:rsidR="00BA550B" w:rsidRPr="004575C3">
              <w:rPr>
                <w:noProof/>
                <w:webHidden/>
              </w:rPr>
              <w:fldChar w:fldCharType="separate"/>
            </w:r>
            <w:r w:rsidR="00BA550B">
              <w:rPr>
                <w:noProof/>
                <w:webHidden/>
              </w:rPr>
              <w:t>25</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512" w:history="1">
            <w:r w:rsidR="00BA550B" w:rsidRPr="004575C3">
              <w:rPr>
                <w:rStyle w:val="Hyperlink"/>
                <w:noProof/>
                <w:lang w:eastAsia="fr-BE"/>
              </w:rPr>
              <w:t>7.1.</w:t>
            </w:r>
            <w:r w:rsidR="00BA550B" w:rsidRPr="004575C3">
              <w:rPr>
                <w:rFonts w:asciiTheme="minorHAnsi" w:eastAsiaTheme="minorEastAsia" w:hAnsiTheme="minorHAnsi"/>
                <w:noProof/>
                <w:sz w:val="22"/>
                <w:lang w:eastAsia="en-GB"/>
              </w:rPr>
              <w:tab/>
            </w:r>
            <w:r w:rsidR="00BA550B" w:rsidRPr="004575C3">
              <w:rPr>
                <w:rStyle w:val="Hyperlink"/>
                <w:noProof/>
                <w:lang w:eastAsia="fr-BE"/>
              </w:rPr>
              <w:t>WHOIS</w:t>
            </w:r>
            <w:r w:rsidR="00BA550B" w:rsidRPr="004575C3">
              <w:rPr>
                <w:rStyle w:val="Hyperlink"/>
                <w:rFonts w:eastAsia="Times New Roman"/>
                <w:noProof/>
              </w:rPr>
              <w:t xml:space="preserve"> database reform</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_Toc3188512 \h </w:instrText>
            </w:r>
            <w:r w:rsidR="00BA550B" w:rsidRPr="004575C3">
              <w:rPr>
                <w:noProof/>
                <w:webHidden/>
              </w:rPr>
            </w:r>
            <w:r w:rsidR="00BA550B" w:rsidRPr="004575C3">
              <w:rPr>
                <w:noProof/>
                <w:webHidden/>
              </w:rPr>
              <w:fldChar w:fldCharType="separate"/>
            </w:r>
            <w:r w:rsidR="00BA550B">
              <w:rPr>
                <w:noProof/>
                <w:webHidden/>
              </w:rPr>
              <w:t>25</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513" w:history="1">
            <w:r w:rsidR="00BA550B" w:rsidRPr="004575C3">
              <w:rPr>
                <w:rStyle w:val="Hyperlink"/>
                <w:noProof/>
              </w:rPr>
              <w:t>7.2.</w:t>
            </w:r>
            <w:r w:rsidR="00BA550B" w:rsidRPr="004575C3">
              <w:rPr>
                <w:rFonts w:asciiTheme="minorHAnsi" w:eastAsiaTheme="minorEastAsia" w:hAnsiTheme="minorHAnsi"/>
                <w:noProof/>
                <w:sz w:val="22"/>
                <w:lang w:eastAsia="en-GB"/>
              </w:rPr>
              <w:tab/>
            </w:r>
            <w:r w:rsidR="00BA550B" w:rsidRPr="004575C3">
              <w:rPr>
                <w:rStyle w:val="Hyperlink"/>
                <w:noProof/>
              </w:rPr>
              <w:t>The EU Law Enforcement Emergency Response Protocol</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_Toc3188513 \h </w:instrText>
            </w:r>
            <w:r w:rsidR="00BA550B" w:rsidRPr="004575C3">
              <w:rPr>
                <w:noProof/>
                <w:webHidden/>
              </w:rPr>
            </w:r>
            <w:r w:rsidR="00BA550B" w:rsidRPr="004575C3">
              <w:rPr>
                <w:noProof/>
                <w:webHidden/>
              </w:rPr>
              <w:fldChar w:fldCharType="separate"/>
            </w:r>
            <w:r w:rsidR="00BA550B">
              <w:rPr>
                <w:noProof/>
                <w:webHidden/>
              </w:rPr>
              <w:t>26</w:t>
            </w:r>
            <w:r w:rsidR="00BA550B" w:rsidRPr="004575C3">
              <w:rPr>
                <w:noProof/>
                <w:webHidden/>
              </w:rPr>
              <w:fldChar w:fldCharType="end"/>
            </w:r>
          </w:hyperlink>
        </w:p>
        <w:p w:rsidR="00BA550B" w:rsidRPr="004575C3" w:rsidRDefault="00CD26D8" w:rsidP="00BA550B">
          <w:pPr>
            <w:pStyle w:val="TOC1"/>
            <w:rPr>
              <w:rFonts w:asciiTheme="minorHAnsi" w:eastAsiaTheme="minorEastAsia" w:hAnsiTheme="minorHAnsi"/>
              <w:noProof/>
              <w:sz w:val="22"/>
              <w:lang w:val="en-GB" w:eastAsia="en-GB"/>
            </w:rPr>
          </w:pPr>
          <w:hyperlink w:anchor="_Toc3188514" w:history="1">
            <w:r w:rsidR="00BA550B" w:rsidRPr="009E49A1">
              <w:rPr>
                <w:rStyle w:val="Hyperlink"/>
                <w:b/>
                <w:bCs/>
                <w:noProof/>
              </w:rPr>
              <w:t>8.</w:t>
            </w:r>
            <w:r w:rsidR="00BA550B" w:rsidRPr="009E49A1">
              <w:rPr>
                <w:rFonts w:asciiTheme="minorHAnsi" w:eastAsiaTheme="minorEastAsia" w:hAnsiTheme="minorHAnsi"/>
                <w:b/>
                <w:bCs/>
                <w:noProof/>
                <w:sz w:val="22"/>
                <w:lang w:val="en-GB" w:eastAsia="en-GB"/>
              </w:rPr>
              <w:tab/>
            </w:r>
            <w:r w:rsidR="00BA550B" w:rsidRPr="009E49A1">
              <w:rPr>
                <w:rStyle w:val="Hyperlink"/>
                <w:b/>
                <w:bCs/>
                <w:noProof/>
              </w:rPr>
              <w:t>Customs Cooperation</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_Toc3188514 \h </w:instrText>
            </w:r>
            <w:r w:rsidR="00BA550B" w:rsidRPr="004575C3">
              <w:rPr>
                <w:noProof/>
                <w:webHidden/>
              </w:rPr>
            </w:r>
            <w:r w:rsidR="00BA550B" w:rsidRPr="004575C3">
              <w:rPr>
                <w:noProof/>
                <w:webHidden/>
              </w:rPr>
              <w:fldChar w:fldCharType="separate"/>
            </w:r>
            <w:r w:rsidR="00BA550B">
              <w:rPr>
                <w:noProof/>
                <w:webHidden/>
              </w:rPr>
              <w:t>26</w:t>
            </w:r>
            <w:r w:rsidR="00BA550B" w:rsidRPr="004575C3">
              <w:rPr>
                <w:noProof/>
                <w:webHidden/>
              </w:rPr>
              <w:fldChar w:fldCharType="end"/>
            </w:r>
          </w:hyperlink>
        </w:p>
        <w:p w:rsidR="00BA550B" w:rsidRPr="004575C3" w:rsidRDefault="00CD26D8" w:rsidP="00BA550B">
          <w:pPr>
            <w:pStyle w:val="TOC1"/>
            <w:rPr>
              <w:rFonts w:asciiTheme="minorHAnsi" w:eastAsiaTheme="minorEastAsia" w:hAnsiTheme="minorHAnsi"/>
              <w:noProof/>
              <w:sz w:val="22"/>
              <w:lang w:val="en-GB" w:eastAsia="en-GB"/>
            </w:rPr>
          </w:pPr>
          <w:hyperlink w:anchor="_Toc3188515" w:history="1">
            <w:r w:rsidR="00BA550B" w:rsidRPr="009E49A1">
              <w:rPr>
                <w:rStyle w:val="Hyperlink"/>
                <w:rFonts w:asciiTheme="majorBidi" w:hAnsiTheme="majorBidi" w:cstheme="majorBidi"/>
                <w:b/>
                <w:bCs/>
                <w:noProof/>
              </w:rPr>
              <w:t>9.</w:t>
            </w:r>
            <w:r w:rsidR="00BA550B" w:rsidRPr="009E49A1">
              <w:rPr>
                <w:rFonts w:asciiTheme="minorHAnsi" w:eastAsiaTheme="minorEastAsia" w:hAnsiTheme="minorHAnsi"/>
                <w:b/>
                <w:bCs/>
                <w:noProof/>
                <w:sz w:val="22"/>
                <w:lang w:val="en-GB" w:eastAsia="en-GB"/>
              </w:rPr>
              <w:tab/>
            </w:r>
            <w:r w:rsidR="00BA550B" w:rsidRPr="009E49A1">
              <w:rPr>
                <w:rStyle w:val="Hyperlink"/>
                <w:rFonts w:asciiTheme="majorBidi" w:hAnsiTheme="majorBidi" w:cstheme="majorBidi"/>
                <w:b/>
                <w:bCs/>
                <w:noProof/>
              </w:rPr>
              <w:t>Internal - External Security Nexus</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_Toc3188515 \h </w:instrText>
            </w:r>
            <w:r w:rsidR="00BA550B" w:rsidRPr="004575C3">
              <w:rPr>
                <w:noProof/>
                <w:webHidden/>
              </w:rPr>
            </w:r>
            <w:r w:rsidR="00BA550B" w:rsidRPr="004575C3">
              <w:rPr>
                <w:noProof/>
                <w:webHidden/>
              </w:rPr>
              <w:fldChar w:fldCharType="separate"/>
            </w:r>
            <w:r w:rsidR="00BA550B">
              <w:rPr>
                <w:noProof/>
                <w:webHidden/>
              </w:rPr>
              <w:t>27</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516" w:history="1">
            <w:r w:rsidR="00BA550B" w:rsidRPr="004575C3">
              <w:rPr>
                <w:rStyle w:val="Hyperlink"/>
                <w:noProof/>
              </w:rPr>
              <w:t>9.1.</w:t>
            </w:r>
            <w:r w:rsidR="00BA550B" w:rsidRPr="004575C3">
              <w:rPr>
                <w:rFonts w:asciiTheme="minorHAnsi" w:eastAsiaTheme="minorEastAsia" w:hAnsiTheme="minorHAnsi"/>
                <w:noProof/>
                <w:sz w:val="22"/>
                <w:lang w:eastAsia="en-GB"/>
              </w:rPr>
              <w:tab/>
            </w:r>
            <w:r w:rsidR="00BA550B" w:rsidRPr="004575C3">
              <w:rPr>
                <w:rStyle w:val="Hyperlink"/>
                <w:noProof/>
              </w:rPr>
              <w:t>CSDP-JHA cooperation</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_Toc3188516 \h </w:instrText>
            </w:r>
            <w:r w:rsidR="00BA550B" w:rsidRPr="004575C3">
              <w:rPr>
                <w:noProof/>
                <w:webHidden/>
              </w:rPr>
            </w:r>
            <w:r w:rsidR="00BA550B" w:rsidRPr="004575C3">
              <w:rPr>
                <w:noProof/>
                <w:webHidden/>
              </w:rPr>
              <w:fldChar w:fldCharType="separate"/>
            </w:r>
            <w:r w:rsidR="00BA550B">
              <w:rPr>
                <w:noProof/>
                <w:webHidden/>
              </w:rPr>
              <w:t>27</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518" w:history="1">
            <w:r w:rsidR="00BA550B" w:rsidRPr="004575C3">
              <w:rPr>
                <w:rStyle w:val="Hyperlink"/>
                <w:noProof/>
              </w:rPr>
              <w:t>9.2.</w:t>
            </w:r>
            <w:r w:rsidR="00BA550B" w:rsidRPr="004575C3">
              <w:rPr>
                <w:rFonts w:asciiTheme="minorHAnsi" w:eastAsiaTheme="minorEastAsia" w:hAnsiTheme="minorHAnsi"/>
                <w:noProof/>
                <w:sz w:val="22"/>
                <w:lang w:eastAsia="en-GB"/>
              </w:rPr>
              <w:tab/>
            </w:r>
            <w:r w:rsidR="00BA550B" w:rsidRPr="004575C3">
              <w:rPr>
                <w:rStyle w:val="Hyperlink"/>
                <w:noProof/>
              </w:rPr>
              <w:t>EU-Ukraine internal security cooperation</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_Toc3188518 \h </w:instrText>
            </w:r>
            <w:r w:rsidR="00BA550B" w:rsidRPr="004575C3">
              <w:rPr>
                <w:noProof/>
                <w:webHidden/>
              </w:rPr>
            </w:r>
            <w:r w:rsidR="00BA550B" w:rsidRPr="004575C3">
              <w:rPr>
                <w:noProof/>
                <w:webHidden/>
              </w:rPr>
              <w:fldChar w:fldCharType="separate"/>
            </w:r>
            <w:r w:rsidR="00BA550B">
              <w:rPr>
                <w:noProof/>
                <w:webHidden/>
              </w:rPr>
              <w:t>28</w:t>
            </w:r>
            <w:r w:rsidR="00BA550B" w:rsidRPr="004575C3">
              <w:rPr>
                <w:noProof/>
                <w:webHidden/>
              </w:rPr>
              <w:fldChar w:fldCharType="end"/>
            </w:r>
          </w:hyperlink>
        </w:p>
        <w:p w:rsidR="00BA550B" w:rsidRPr="004575C3" w:rsidRDefault="00CD26D8" w:rsidP="00BA550B">
          <w:pPr>
            <w:pStyle w:val="TOC2"/>
            <w:tabs>
              <w:tab w:val="left" w:pos="1320"/>
            </w:tabs>
            <w:rPr>
              <w:rFonts w:asciiTheme="minorHAnsi" w:eastAsiaTheme="minorEastAsia" w:hAnsiTheme="minorHAnsi"/>
              <w:noProof/>
              <w:sz w:val="22"/>
              <w:lang w:eastAsia="en-GB"/>
            </w:rPr>
          </w:pPr>
          <w:hyperlink w:anchor="_Toc3188519" w:history="1">
            <w:r w:rsidR="00BA550B" w:rsidRPr="004575C3">
              <w:rPr>
                <w:rStyle w:val="Hyperlink"/>
                <w:noProof/>
              </w:rPr>
              <w:t>9.3.</w:t>
            </w:r>
            <w:r w:rsidR="00BA550B" w:rsidRPr="004575C3">
              <w:rPr>
                <w:rFonts w:asciiTheme="minorHAnsi" w:eastAsiaTheme="minorEastAsia" w:hAnsiTheme="minorHAnsi"/>
                <w:noProof/>
                <w:sz w:val="22"/>
                <w:lang w:eastAsia="en-GB"/>
              </w:rPr>
              <w:tab/>
            </w:r>
            <w:r w:rsidR="00BA550B" w:rsidRPr="004575C3">
              <w:rPr>
                <w:rStyle w:val="Hyperlink"/>
                <w:noProof/>
              </w:rPr>
              <w:t>EU and Western Balkans cooperation</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_Toc3188519 \h </w:instrText>
            </w:r>
            <w:r w:rsidR="00BA550B" w:rsidRPr="004575C3">
              <w:rPr>
                <w:noProof/>
                <w:webHidden/>
              </w:rPr>
            </w:r>
            <w:r w:rsidR="00BA550B" w:rsidRPr="004575C3">
              <w:rPr>
                <w:noProof/>
                <w:webHidden/>
              </w:rPr>
              <w:fldChar w:fldCharType="separate"/>
            </w:r>
            <w:r w:rsidR="00BA550B">
              <w:rPr>
                <w:noProof/>
                <w:webHidden/>
              </w:rPr>
              <w:t>29</w:t>
            </w:r>
            <w:r w:rsidR="00BA550B" w:rsidRPr="004575C3">
              <w:rPr>
                <w:noProof/>
                <w:webHidden/>
              </w:rPr>
              <w:fldChar w:fldCharType="end"/>
            </w:r>
          </w:hyperlink>
        </w:p>
        <w:p w:rsidR="00BA550B" w:rsidRPr="004575C3" w:rsidRDefault="00CD26D8" w:rsidP="00BA550B">
          <w:pPr>
            <w:pStyle w:val="TOC1"/>
            <w:rPr>
              <w:rFonts w:asciiTheme="minorHAnsi" w:eastAsiaTheme="minorEastAsia" w:hAnsiTheme="minorHAnsi"/>
              <w:noProof/>
              <w:sz w:val="22"/>
              <w:lang w:val="en-GB" w:eastAsia="en-GB"/>
            </w:rPr>
          </w:pPr>
          <w:hyperlink w:anchor="_Toc3188520" w:history="1">
            <w:r w:rsidR="00BA550B" w:rsidRPr="009E49A1">
              <w:rPr>
                <w:rStyle w:val="Hyperlink"/>
                <w:b/>
                <w:bCs/>
                <w:noProof/>
              </w:rPr>
              <w:t>10.</w:t>
            </w:r>
            <w:r w:rsidR="00BA550B" w:rsidRPr="009E49A1">
              <w:rPr>
                <w:rFonts w:asciiTheme="minorHAnsi" w:eastAsiaTheme="minorEastAsia" w:hAnsiTheme="minorHAnsi"/>
                <w:b/>
                <w:bCs/>
                <w:noProof/>
                <w:sz w:val="22"/>
                <w:lang w:val="en-GB" w:eastAsia="en-GB"/>
              </w:rPr>
              <w:tab/>
            </w:r>
            <w:r w:rsidR="00BA550B" w:rsidRPr="009E49A1">
              <w:rPr>
                <w:rStyle w:val="Hyperlink"/>
                <w:b/>
                <w:bCs/>
                <w:noProof/>
              </w:rPr>
              <w:t>Interoperability</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_Toc3188520 \h </w:instrText>
            </w:r>
            <w:r w:rsidR="00BA550B" w:rsidRPr="004575C3">
              <w:rPr>
                <w:noProof/>
                <w:webHidden/>
              </w:rPr>
            </w:r>
            <w:r w:rsidR="00BA550B" w:rsidRPr="004575C3">
              <w:rPr>
                <w:noProof/>
                <w:webHidden/>
              </w:rPr>
              <w:fldChar w:fldCharType="separate"/>
            </w:r>
            <w:r w:rsidR="00BA550B">
              <w:rPr>
                <w:noProof/>
                <w:webHidden/>
              </w:rPr>
              <w:t>30</w:t>
            </w:r>
            <w:r w:rsidR="00BA550B" w:rsidRPr="004575C3">
              <w:rPr>
                <w:noProof/>
                <w:webHidden/>
              </w:rPr>
              <w:fldChar w:fldCharType="end"/>
            </w:r>
          </w:hyperlink>
        </w:p>
        <w:p w:rsidR="00BA550B" w:rsidRPr="004575C3" w:rsidRDefault="00CD26D8" w:rsidP="00BA550B">
          <w:pPr>
            <w:pStyle w:val="TOC1"/>
            <w:rPr>
              <w:rFonts w:asciiTheme="minorHAnsi" w:eastAsiaTheme="minorEastAsia" w:hAnsiTheme="minorHAnsi"/>
              <w:noProof/>
              <w:sz w:val="22"/>
              <w:lang w:val="en-GB" w:eastAsia="en-GB"/>
            </w:rPr>
          </w:pPr>
          <w:hyperlink w:anchor="_Toc3188521" w:history="1">
            <w:r w:rsidR="00BA550B" w:rsidRPr="009E49A1">
              <w:rPr>
                <w:rStyle w:val="Hyperlink"/>
                <w:rFonts w:asciiTheme="majorBidi" w:hAnsiTheme="majorBidi" w:cstheme="majorBidi"/>
                <w:b/>
                <w:bCs/>
                <w:noProof/>
              </w:rPr>
              <w:t>11.</w:t>
            </w:r>
            <w:r w:rsidR="00BA550B" w:rsidRPr="009E49A1">
              <w:rPr>
                <w:rFonts w:asciiTheme="minorHAnsi" w:eastAsiaTheme="minorEastAsia" w:hAnsiTheme="minorHAnsi"/>
                <w:b/>
                <w:bCs/>
                <w:noProof/>
                <w:sz w:val="22"/>
                <w:lang w:val="en-GB" w:eastAsia="en-GB"/>
              </w:rPr>
              <w:tab/>
            </w:r>
            <w:r w:rsidR="00BA550B" w:rsidRPr="009E49A1">
              <w:rPr>
                <w:rStyle w:val="Hyperlink"/>
                <w:rFonts w:asciiTheme="majorBidi" w:hAnsiTheme="majorBidi" w:cstheme="majorBidi"/>
                <w:b/>
                <w:bCs/>
                <w:noProof/>
              </w:rPr>
              <w:t>Training</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_Toc3188521 \h </w:instrText>
            </w:r>
            <w:r w:rsidR="00BA550B" w:rsidRPr="004575C3">
              <w:rPr>
                <w:noProof/>
                <w:webHidden/>
              </w:rPr>
            </w:r>
            <w:r w:rsidR="00BA550B" w:rsidRPr="004575C3">
              <w:rPr>
                <w:noProof/>
                <w:webHidden/>
              </w:rPr>
              <w:fldChar w:fldCharType="separate"/>
            </w:r>
            <w:r w:rsidR="00BA550B">
              <w:rPr>
                <w:noProof/>
                <w:webHidden/>
              </w:rPr>
              <w:t>30</w:t>
            </w:r>
            <w:r w:rsidR="00BA550B" w:rsidRPr="004575C3">
              <w:rPr>
                <w:noProof/>
                <w:webHidden/>
              </w:rPr>
              <w:fldChar w:fldCharType="end"/>
            </w:r>
          </w:hyperlink>
        </w:p>
        <w:p w:rsidR="00BA550B" w:rsidRPr="009E49A1" w:rsidRDefault="00BA550B" w:rsidP="00BA550B">
          <w:pPr>
            <w:pStyle w:val="TOC2"/>
            <w:tabs>
              <w:tab w:val="left" w:pos="1320"/>
            </w:tabs>
            <w:ind w:left="567"/>
            <w:rPr>
              <w:rFonts w:asciiTheme="minorHAnsi" w:eastAsiaTheme="minorEastAsia" w:hAnsiTheme="minorHAnsi"/>
              <w:b/>
              <w:bCs/>
              <w:noProof/>
              <w:sz w:val="22"/>
              <w:lang w:eastAsia="en-GB"/>
            </w:rPr>
          </w:pPr>
          <w:r w:rsidRPr="009E49A1">
            <w:rPr>
              <w:rStyle w:val="Hyperlink"/>
              <w:rFonts w:eastAsia="Times New Roman"/>
              <w:b/>
              <w:bCs/>
              <w:noProof/>
              <w:color w:val="auto"/>
              <w:u w:val="none"/>
              <w:lang w:eastAsia="fr-BE"/>
            </w:rPr>
            <w:t>12.</w:t>
          </w:r>
          <w:hyperlink w:anchor="_Toc3188522" w:history="1">
            <w:r w:rsidRPr="009E49A1">
              <w:rPr>
                <w:rFonts w:asciiTheme="minorHAnsi" w:eastAsiaTheme="minorEastAsia" w:hAnsiTheme="minorHAnsi"/>
                <w:b/>
                <w:bCs/>
                <w:noProof/>
                <w:sz w:val="22"/>
                <w:lang w:eastAsia="en-GB"/>
              </w:rPr>
              <w:tab/>
            </w:r>
            <w:r w:rsidRPr="009E49A1">
              <w:rPr>
                <w:rStyle w:val="Hyperlink"/>
                <w:rFonts w:eastAsia="Times New Roman"/>
                <w:b/>
                <w:bCs/>
                <w:noProof/>
                <w:lang w:eastAsia="fr-BE"/>
              </w:rPr>
              <w:t>Role of the COSI Support Group</w:t>
            </w:r>
            <w:r w:rsidRPr="009E49A1">
              <w:rPr>
                <w:b/>
                <w:bCs/>
                <w:noProof/>
                <w:webHidden/>
              </w:rPr>
              <w:tab/>
            </w:r>
            <w:r w:rsidRPr="009E49A1">
              <w:rPr>
                <w:noProof/>
                <w:webHidden/>
              </w:rPr>
              <w:fldChar w:fldCharType="begin"/>
            </w:r>
            <w:r w:rsidRPr="009E49A1">
              <w:rPr>
                <w:noProof/>
                <w:webHidden/>
              </w:rPr>
              <w:instrText xml:space="preserve"> PAGEREF _Toc3188522 \h </w:instrText>
            </w:r>
            <w:r w:rsidRPr="009E49A1">
              <w:rPr>
                <w:noProof/>
                <w:webHidden/>
              </w:rPr>
            </w:r>
            <w:r w:rsidRPr="009E49A1">
              <w:rPr>
                <w:noProof/>
                <w:webHidden/>
              </w:rPr>
              <w:fldChar w:fldCharType="separate"/>
            </w:r>
            <w:r>
              <w:rPr>
                <w:noProof/>
                <w:webHidden/>
              </w:rPr>
              <w:t>31</w:t>
            </w:r>
            <w:r w:rsidRPr="009E49A1">
              <w:rPr>
                <w:noProof/>
                <w:webHidden/>
              </w:rPr>
              <w:fldChar w:fldCharType="end"/>
            </w:r>
          </w:hyperlink>
        </w:p>
        <w:p w:rsidR="00BA550B" w:rsidRPr="004575C3" w:rsidRDefault="00CD26D8" w:rsidP="00BA550B">
          <w:pPr>
            <w:pStyle w:val="TOC1"/>
            <w:rPr>
              <w:rFonts w:asciiTheme="minorHAnsi" w:eastAsiaTheme="minorEastAsia" w:hAnsiTheme="minorHAnsi"/>
              <w:noProof/>
              <w:sz w:val="22"/>
              <w:lang w:val="en-GB" w:eastAsia="en-GB"/>
            </w:rPr>
          </w:pPr>
          <w:hyperlink w:anchor="_Toc3188523" w:history="1">
            <w:r w:rsidR="00BA550B" w:rsidRPr="009E49A1">
              <w:rPr>
                <w:rStyle w:val="Hyperlink"/>
                <w:rFonts w:asciiTheme="majorBidi" w:eastAsia="Times New Roman" w:hAnsiTheme="majorBidi" w:cstheme="majorBidi"/>
                <w:b/>
                <w:bCs/>
                <w:noProof/>
                <w:lang w:eastAsia="fr-BE"/>
              </w:rPr>
              <w:t>13.</w:t>
            </w:r>
            <w:r w:rsidR="00BA550B" w:rsidRPr="009E49A1">
              <w:rPr>
                <w:rFonts w:asciiTheme="minorHAnsi" w:eastAsiaTheme="minorEastAsia" w:hAnsiTheme="minorHAnsi"/>
                <w:b/>
                <w:bCs/>
                <w:noProof/>
                <w:sz w:val="22"/>
                <w:lang w:val="en-GB" w:eastAsia="en-GB"/>
              </w:rPr>
              <w:tab/>
            </w:r>
            <w:r w:rsidR="00BA550B" w:rsidRPr="009E49A1">
              <w:rPr>
                <w:rStyle w:val="Hyperlink"/>
                <w:rFonts w:asciiTheme="majorBidi" w:eastAsia="Times New Roman" w:hAnsiTheme="majorBidi" w:cstheme="majorBidi"/>
                <w:b/>
                <w:bCs/>
                <w:noProof/>
                <w:lang w:eastAsia="fr-BE"/>
              </w:rPr>
              <w:t>Conclusion</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_Toc3188523 \h </w:instrText>
            </w:r>
            <w:r w:rsidR="00BA550B" w:rsidRPr="004575C3">
              <w:rPr>
                <w:noProof/>
                <w:webHidden/>
              </w:rPr>
            </w:r>
            <w:r w:rsidR="00BA550B" w:rsidRPr="004575C3">
              <w:rPr>
                <w:noProof/>
                <w:webHidden/>
              </w:rPr>
              <w:fldChar w:fldCharType="separate"/>
            </w:r>
            <w:r w:rsidR="00BA550B">
              <w:rPr>
                <w:noProof/>
                <w:webHidden/>
              </w:rPr>
              <w:t>31</w:t>
            </w:r>
            <w:r w:rsidR="00BA550B" w:rsidRPr="004575C3">
              <w:rPr>
                <w:noProof/>
                <w:webHidden/>
              </w:rPr>
              <w:fldChar w:fldCharType="end"/>
            </w:r>
          </w:hyperlink>
        </w:p>
        <w:p w:rsidR="00BA550B" w:rsidRPr="004575C3" w:rsidRDefault="00CD26D8" w:rsidP="00BA550B">
          <w:pPr>
            <w:pStyle w:val="TOC1"/>
            <w:rPr>
              <w:rFonts w:asciiTheme="minorHAnsi" w:eastAsiaTheme="minorEastAsia" w:hAnsiTheme="minorHAnsi"/>
              <w:noProof/>
              <w:sz w:val="22"/>
              <w:lang w:val="en-GB" w:eastAsia="en-GB"/>
            </w:rPr>
          </w:pPr>
          <w:hyperlink w:anchor="_Toc3188524" w:history="1">
            <w:r w:rsidR="00BA550B" w:rsidRPr="009E49A1">
              <w:rPr>
                <w:rStyle w:val="Hyperlink"/>
                <w:rFonts w:eastAsia="Times New Roman"/>
                <w:b/>
                <w:bCs/>
                <w:noProof/>
              </w:rPr>
              <w:t>14.</w:t>
            </w:r>
            <w:r w:rsidR="00BA550B" w:rsidRPr="009E49A1">
              <w:rPr>
                <w:rFonts w:asciiTheme="minorHAnsi" w:eastAsiaTheme="minorEastAsia" w:hAnsiTheme="minorHAnsi"/>
                <w:b/>
                <w:bCs/>
                <w:noProof/>
                <w:sz w:val="22"/>
                <w:lang w:val="en-GB" w:eastAsia="en-GB"/>
              </w:rPr>
              <w:tab/>
            </w:r>
            <w:r w:rsidR="00BA550B" w:rsidRPr="009E49A1">
              <w:rPr>
                <w:rStyle w:val="Hyperlink"/>
                <w:rFonts w:eastAsia="Times New Roman"/>
                <w:b/>
                <w:bCs/>
                <w:noProof/>
              </w:rPr>
              <w:t>Annex I - COSI &amp; COSI-PSC Meetings July 2017 - December 2018</w:t>
            </w:r>
            <w:r w:rsidR="00BA550B" w:rsidRPr="004575C3">
              <w:rPr>
                <w:noProof/>
                <w:webHidden/>
              </w:rPr>
              <w:tab/>
            </w:r>
            <w:r w:rsidR="00BA550B" w:rsidRPr="004575C3">
              <w:rPr>
                <w:noProof/>
                <w:webHidden/>
              </w:rPr>
              <w:fldChar w:fldCharType="begin"/>
            </w:r>
            <w:r w:rsidR="00BA550B" w:rsidRPr="004575C3">
              <w:rPr>
                <w:noProof/>
                <w:webHidden/>
              </w:rPr>
              <w:instrText xml:space="preserve"> PAGEREF _Toc3188524 \h </w:instrText>
            </w:r>
            <w:r w:rsidR="00BA550B" w:rsidRPr="004575C3">
              <w:rPr>
                <w:noProof/>
                <w:webHidden/>
              </w:rPr>
            </w:r>
            <w:r w:rsidR="00BA550B" w:rsidRPr="004575C3">
              <w:rPr>
                <w:noProof/>
                <w:webHidden/>
              </w:rPr>
              <w:fldChar w:fldCharType="separate"/>
            </w:r>
            <w:r w:rsidR="00BA550B">
              <w:rPr>
                <w:noProof/>
                <w:webHidden/>
              </w:rPr>
              <w:t>32</w:t>
            </w:r>
            <w:r w:rsidR="00BA550B" w:rsidRPr="004575C3">
              <w:rPr>
                <w:noProof/>
                <w:webHidden/>
              </w:rPr>
              <w:fldChar w:fldCharType="end"/>
            </w:r>
          </w:hyperlink>
        </w:p>
        <w:p w:rsidR="00BA550B" w:rsidRPr="004575C3" w:rsidRDefault="00BA550B" w:rsidP="00BA550B">
          <w:pPr>
            <w:pStyle w:val="TOC1"/>
          </w:pPr>
          <w:r w:rsidRPr="004575C3">
            <w:fldChar w:fldCharType="end"/>
          </w:r>
        </w:p>
      </w:sdtContent>
    </w:sdt>
    <w:p w:rsidR="00BA550B" w:rsidRPr="004575C3" w:rsidRDefault="00BA550B" w:rsidP="00BA550B">
      <w:pPr>
        <w:jc w:val="both"/>
        <w:rPr>
          <w:rFonts w:asciiTheme="majorBidi" w:hAnsiTheme="majorBidi" w:cstheme="majorBidi"/>
        </w:rPr>
      </w:pPr>
    </w:p>
    <w:p w:rsidR="00BA550B" w:rsidRPr="004C0441" w:rsidRDefault="00BA550B" w:rsidP="00BA550B">
      <w:pPr>
        <w:rPr>
          <w:rFonts w:asciiTheme="majorBidi" w:hAnsiTheme="majorBidi" w:cstheme="majorBidi"/>
        </w:rPr>
      </w:pPr>
      <w:r>
        <w:rPr>
          <w:rFonts w:asciiTheme="majorBidi" w:hAnsiTheme="majorBidi" w:cstheme="majorBidi"/>
        </w:rPr>
        <w:br w:type="page"/>
      </w:r>
      <w:r w:rsidRPr="004C0441">
        <w:rPr>
          <w:rFonts w:asciiTheme="majorBidi" w:hAnsiTheme="majorBidi" w:cstheme="majorBidi"/>
        </w:rPr>
        <w:lastRenderedPageBreak/>
        <w:t>This is the sixth report to the European Parliament and national Parliaments in accordance with Article 71 TFEU and Article 6(2) of Council Decision 2010/131/EU1 establishing the Standing Committee on operational cooperation on internal security (COSI), which provides that the Council shall keep the European Parliament and the national Parliaments informed of the proceed</w:t>
      </w:r>
      <w:r>
        <w:rPr>
          <w:rFonts w:asciiTheme="majorBidi" w:hAnsiTheme="majorBidi" w:cstheme="majorBidi"/>
        </w:rPr>
        <w:t>ings of the Standing Committee.</w:t>
      </w:r>
    </w:p>
    <w:p w:rsidR="00BA550B" w:rsidRPr="004C0441" w:rsidRDefault="00BA550B" w:rsidP="00BA550B">
      <w:pPr>
        <w:rPr>
          <w:rFonts w:asciiTheme="majorBidi" w:hAnsiTheme="majorBidi" w:cstheme="majorBidi"/>
        </w:rPr>
      </w:pPr>
      <w:r w:rsidRPr="004C0441">
        <w:rPr>
          <w:rFonts w:asciiTheme="majorBidi" w:hAnsiTheme="majorBidi" w:cstheme="majorBidi"/>
        </w:rPr>
        <w:t>This report presents the activities of COSI during the period of July 2017 - December 2018 under the Presidencies of Estonia, Bulgaria and Austria.</w:t>
      </w:r>
    </w:p>
    <w:p w:rsidR="00BA550B" w:rsidRPr="004C0441" w:rsidRDefault="00BA550B" w:rsidP="003D33B0">
      <w:pPr>
        <w:pStyle w:val="Heading123"/>
        <w:numPr>
          <w:ilvl w:val="0"/>
          <w:numId w:val="24"/>
        </w:numPr>
      </w:pPr>
      <w:r w:rsidRPr="004C0441">
        <w:rPr>
          <w:rFonts w:asciiTheme="majorBidi" w:hAnsiTheme="majorBidi" w:cstheme="majorBidi"/>
        </w:rPr>
        <w:br w:type="page"/>
      </w:r>
      <w:bookmarkStart w:id="3" w:name="_Toc1655392"/>
      <w:bookmarkStart w:id="4" w:name="_Toc3188488"/>
      <w:r w:rsidRPr="004C0441">
        <w:lastRenderedPageBreak/>
        <w:t>Summary</w:t>
      </w:r>
      <w:bookmarkEnd w:id="3"/>
      <w:bookmarkEnd w:id="4"/>
    </w:p>
    <w:p w:rsidR="00BA550B" w:rsidRPr="004C0441" w:rsidRDefault="00BA550B" w:rsidP="00BA550B">
      <w:pPr>
        <w:rPr>
          <w:rFonts w:asciiTheme="majorBidi" w:hAnsiTheme="majorBidi" w:cstheme="majorBidi"/>
          <w:b/>
          <w:bCs/>
          <w:i/>
          <w:iCs/>
        </w:rPr>
      </w:pPr>
      <w:r w:rsidRPr="004C0441">
        <w:rPr>
          <w:rFonts w:asciiTheme="majorBidi" w:hAnsiTheme="majorBidi" w:cstheme="majorBidi"/>
          <w:b/>
          <w:bCs/>
          <w:i/>
          <w:iCs/>
        </w:rPr>
        <w:t>Under the trio Presidency of Estonia, Bulgaria and Austria, COSI has continued to fulfil its mandate to facilitate, promote and strengthen the coordination of operational cooperation of the EU Member States in the field of internal security. In this capacity</w:t>
      </w:r>
      <w:r>
        <w:rPr>
          <w:rFonts w:asciiTheme="majorBidi" w:hAnsiTheme="majorBidi" w:cstheme="majorBidi"/>
          <w:b/>
          <w:bCs/>
          <w:i/>
          <w:iCs/>
        </w:rPr>
        <w:t>,</w:t>
      </w:r>
      <w:r w:rsidRPr="004C0441">
        <w:rPr>
          <w:rFonts w:asciiTheme="majorBidi" w:hAnsiTheme="majorBidi" w:cstheme="majorBidi"/>
          <w:b/>
          <w:bCs/>
          <w:i/>
          <w:iCs/>
        </w:rPr>
        <w:t xml:space="preserve"> COSI has acted as a monitoring, advisory and decision</w:t>
      </w:r>
      <w:r>
        <w:rPr>
          <w:rFonts w:asciiTheme="majorBidi" w:hAnsiTheme="majorBidi" w:cstheme="majorBidi"/>
          <w:b/>
          <w:bCs/>
          <w:i/>
          <w:iCs/>
        </w:rPr>
        <w:t>-</w:t>
      </w:r>
      <w:r w:rsidRPr="004C0441">
        <w:rPr>
          <w:rFonts w:asciiTheme="majorBidi" w:hAnsiTheme="majorBidi" w:cstheme="majorBidi"/>
          <w:b/>
          <w:bCs/>
          <w:i/>
          <w:iCs/>
        </w:rPr>
        <w:t>making body, with high representatives and experts from all EU Member States and</w:t>
      </w:r>
      <w:r>
        <w:rPr>
          <w:rFonts w:asciiTheme="majorBidi" w:hAnsiTheme="majorBidi" w:cstheme="majorBidi"/>
          <w:b/>
          <w:bCs/>
          <w:i/>
          <w:iCs/>
        </w:rPr>
        <w:t>,</w:t>
      </w:r>
      <w:r w:rsidRPr="004C0441">
        <w:rPr>
          <w:rFonts w:asciiTheme="majorBidi" w:hAnsiTheme="majorBidi" w:cstheme="majorBidi"/>
          <w:b/>
          <w:bCs/>
          <w:i/>
          <w:iCs/>
        </w:rPr>
        <w:t xml:space="preserve"> when necessary</w:t>
      </w:r>
      <w:r>
        <w:rPr>
          <w:rFonts w:asciiTheme="majorBidi" w:hAnsiTheme="majorBidi" w:cstheme="majorBidi"/>
          <w:b/>
          <w:bCs/>
          <w:i/>
          <w:iCs/>
        </w:rPr>
        <w:t>,</w:t>
      </w:r>
      <w:r w:rsidRPr="004C0441">
        <w:rPr>
          <w:rFonts w:asciiTheme="majorBidi" w:hAnsiTheme="majorBidi" w:cstheme="majorBidi"/>
          <w:b/>
          <w:bCs/>
          <w:i/>
          <w:iCs/>
        </w:rPr>
        <w:t xml:space="preserve"> the relevant JHA </w:t>
      </w:r>
      <w:r>
        <w:rPr>
          <w:rFonts w:asciiTheme="majorBidi" w:hAnsiTheme="majorBidi" w:cstheme="majorBidi"/>
          <w:b/>
          <w:bCs/>
          <w:i/>
          <w:iCs/>
        </w:rPr>
        <w:t>a</w:t>
      </w:r>
      <w:r w:rsidRPr="004C0441">
        <w:rPr>
          <w:rFonts w:asciiTheme="majorBidi" w:hAnsiTheme="majorBidi" w:cstheme="majorBidi"/>
          <w:b/>
          <w:bCs/>
          <w:i/>
          <w:iCs/>
        </w:rPr>
        <w:t>gencies, creating the necessary synergies between police, customs, border guards and judicial authorities and assisting in the direction of traini</w:t>
      </w:r>
      <w:r>
        <w:rPr>
          <w:rFonts w:asciiTheme="majorBidi" w:hAnsiTheme="majorBidi" w:cstheme="majorBidi"/>
          <w:b/>
          <w:bCs/>
          <w:i/>
          <w:iCs/>
        </w:rPr>
        <w:t>ng of law enforcement officers.</w:t>
      </w:r>
    </w:p>
    <w:p w:rsidR="00BA550B" w:rsidRPr="004C0441" w:rsidRDefault="00BA550B" w:rsidP="00BA550B">
      <w:pPr>
        <w:rPr>
          <w:rFonts w:asciiTheme="majorBidi" w:hAnsiTheme="majorBidi" w:cstheme="majorBidi"/>
          <w:b/>
          <w:bCs/>
          <w:i/>
          <w:iCs/>
        </w:rPr>
      </w:pPr>
      <w:r w:rsidRPr="004C0441">
        <w:rPr>
          <w:rFonts w:asciiTheme="majorBidi" w:hAnsiTheme="majorBidi" w:cstheme="majorBidi"/>
          <w:b/>
          <w:bCs/>
          <w:i/>
          <w:iCs/>
        </w:rPr>
        <w:t>COSI has witnessed many developments, advancements and concrete operational res</w:t>
      </w:r>
      <w:r>
        <w:rPr>
          <w:rFonts w:asciiTheme="majorBidi" w:hAnsiTheme="majorBidi" w:cstheme="majorBidi"/>
          <w:b/>
          <w:bCs/>
          <w:i/>
          <w:iCs/>
        </w:rPr>
        <w:t>ults under the trio Presidency.</w:t>
      </w:r>
    </w:p>
    <w:p w:rsidR="00BA550B" w:rsidRPr="004C0441" w:rsidRDefault="00BA550B" w:rsidP="00BA550B">
      <w:pPr>
        <w:rPr>
          <w:rFonts w:asciiTheme="majorBidi" w:hAnsiTheme="majorBidi" w:cstheme="majorBidi"/>
          <w:b/>
          <w:bCs/>
          <w:i/>
          <w:iCs/>
        </w:rPr>
      </w:pPr>
      <w:r w:rsidRPr="004C0441">
        <w:rPr>
          <w:rFonts w:asciiTheme="majorBidi" w:hAnsiTheme="majorBidi" w:cstheme="majorBidi"/>
          <w:b/>
          <w:bCs/>
          <w:i/>
          <w:iCs/>
        </w:rPr>
        <w:t>COSI oversees the implementation of the Internal Security Strategy. The trio Presidency coordinated to ensure that they had shared objectives to be brought before COSI. A mid-term review of the renewed ISS was carried out under the EE Presidency</w:t>
      </w:r>
      <w:r w:rsidRPr="004C0441">
        <w:rPr>
          <w:rStyle w:val="FootnoteReference"/>
          <w:rFonts w:asciiTheme="majorBidi" w:hAnsiTheme="majorBidi" w:cstheme="majorBidi"/>
          <w:bCs/>
          <w:i/>
          <w:iCs/>
        </w:rPr>
        <w:footnoteReference w:id="2"/>
      </w:r>
      <w:r w:rsidRPr="004C0441">
        <w:rPr>
          <w:rFonts w:asciiTheme="majorBidi" w:hAnsiTheme="majorBidi" w:cstheme="majorBidi"/>
          <w:b/>
          <w:bCs/>
          <w:i/>
          <w:iCs/>
        </w:rPr>
        <w:t>. It confirmed the priority areas in the fight against terrorism, serious and organised crime and cybercrime, identified in the Council conclusions on the renewed European Union Internal Security Strategy 2015-2020</w:t>
      </w:r>
      <w:r w:rsidRPr="004C0441">
        <w:rPr>
          <w:rStyle w:val="FootnoteReference"/>
          <w:rFonts w:asciiTheme="majorBidi" w:hAnsiTheme="majorBidi" w:cstheme="majorBidi"/>
          <w:bCs/>
          <w:i/>
          <w:iCs/>
        </w:rPr>
        <w:footnoteReference w:id="3"/>
      </w:r>
      <w:r w:rsidRPr="004C0441">
        <w:rPr>
          <w:rFonts w:asciiTheme="majorBidi" w:hAnsiTheme="majorBidi" w:cstheme="majorBidi"/>
          <w:b/>
          <w:bCs/>
          <w:i/>
          <w:iCs/>
        </w:rPr>
        <w:t>.</w:t>
      </w:r>
    </w:p>
    <w:p w:rsidR="00BA550B" w:rsidRPr="004C0441" w:rsidRDefault="00BA550B" w:rsidP="00BA550B">
      <w:pPr>
        <w:rPr>
          <w:rFonts w:asciiTheme="majorBidi" w:hAnsiTheme="majorBidi" w:cstheme="majorBidi"/>
          <w:b/>
          <w:bCs/>
          <w:i/>
          <w:iCs/>
        </w:rPr>
      </w:pPr>
      <w:r w:rsidRPr="004C0441">
        <w:rPr>
          <w:rFonts w:asciiTheme="majorBidi" w:hAnsiTheme="majorBidi" w:cstheme="majorBidi"/>
          <w:b/>
          <w:bCs/>
          <w:i/>
          <w:iCs/>
        </w:rPr>
        <w:t>Pursuant to th</w:t>
      </w:r>
      <w:r>
        <w:rPr>
          <w:rFonts w:asciiTheme="majorBidi" w:hAnsiTheme="majorBidi" w:cstheme="majorBidi"/>
          <w:b/>
          <w:bCs/>
          <w:i/>
          <w:iCs/>
        </w:rPr>
        <w:t>i</w:t>
      </w:r>
      <w:r w:rsidRPr="004C0441">
        <w:rPr>
          <w:rFonts w:asciiTheme="majorBidi" w:hAnsiTheme="majorBidi" w:cstheme="majorBidi"/>
          <w:b/>
          <w:bCs/>
          <w:i/>
          <w:iCs/>
        </w:rPr>
        <w:t>s mid-term review</w:t>
      </w:r>
      <w:r>
        <w:rPr>
          <w:rFonts w:asciiTheme="majorBidi" w:hAnsiTheme="majorBidi" w:cstheme="majorBidi"/>
          <w:b/>
          <w:bCs/>
          <w:i/>
          <w:iCs/>
        </w:rPr>
        <w:t>,</w:t>
      </w:r>
      <w:r w:rsidRPr="004C0441">
        <w:rPr>
          <w:rFonts w:asciiTheme="majorBidi" w:hAnsiTheme="majorBidi" w:cstheme="majorBidi"/>
          <w:b/>
          <w:bCs/>
          <w:i/>
          <w:iCs/>
        </w:rPr>
        <w:t xml:space="preserve"> a renewed approach for the monitoring of the implementation of the renewed ISS was introduced, on the basis of a joint Implementation Paper of the outgoing and incoming Presidencies, with a structure based on priorities, on the planning and implementation of the renewed EU ISS. These developments enabled COSI to have a more streamlined overview and efficient role in monitoring the implementation of the ISS and in providing strategic guidance.</w:t>
      </w:r>
    </w:p>
    <w:p w:rsidR="00BA550B" w:rsidRPr="004C0441" w:rsidRDefault="00BA550B" w:rsidP="00BA550B">
      <w:pPr>
        <w:rPr>
          <w:rFonts w:asciiTheme="majorBidi" w:hAnsiTheme="majorBidi" w:cstheme="majorBidi"/>
          <w:b/>
          <w:bCs/>
          <w:i/>
          <w:iCs/>
        </w:rPr>
      </w:pPr>
      <w:r w:rsidRPr="004C0441">
        <w:rPr>
          <w:rFonts w:asciiTheme="majorBidi" w:hAnsiTheme="majorBidi" w:cstheme="majorBidi"/>
          <w:b/>
          <w:bCs/>
          <w:i/>
          <w:iCs/>
        </w:rPr>
        <w:br w:type="page"/>
      </w:r>
      <w:r w:rsidRPr="004C0441">
        <w:rPr>
          <w:rFonts w:asciiTheme="majorBidi" w:hAnsiTheme="majorBidi" w:cstheme="majorBidi"/>
          <w:b/>
          <w:bCs/>
          <w:i/>
          <w:iCs/>
        </w:rPr>
        <w:lastRenderedPageBreak/>
        <w:t>Furthermore, under the AT Presidency</w:t>
      </w:r>
      <w:r>
        <w:rPr>
          <w:rFonts w:asciiTheme="majorBidi" w:hAnsiTheme="majorBidi" w:cstheme="majorBidi"/>
          <w:b/>
          <w:bCs/>
          <w:i/>
          <w:iCs/>
        </w:rPr>
        <w:t>,</w:t>
      </w:r>
      <w:r w:rsidRPr="004C0441">
        <w:rPr>
          <w:rFonts w:asciiTheme="majorBidi" w:hAnsiTheme="majorBidi" w:cstheme="majorBidi"/>
          <w:b/>
          <w:bCs/>
          <w:i/>
          <w:iCs/>
        </w:rPr>
        <w:t xml:space="preserve"> COSI prepared Council conclusions of the future strategic direction in the field of internal security, which were adopted by the Council in December 2018</w:t>
      </w:r>
      <w:r w:rsidRPr="004C0441">
        <w:rPr>
          <w:rStyle w:val="FootnoteReference"/>
          <w:rFonts w:asciiTheme="majorBidi" w:hAnsiTheme="majorBidi" w:cstheme="majorBidi"/>
          <w:bCs/>
          <w:i/>
          <w:iCs/>
        </w:rPr>
        <w:footnoteReference w:id="4"/>
      </w:r>
      <w:r w:rsidRPr="004C0441">
        <w:rPr>
          <w:rFonts w:asciiTheme="majorBidi" w:hAnsiTheme="majorBidi" w:cstheme="majorBidi"/>
          <w:b/>
          <w:bCs/>
          <w:i/>
          <w:iCs/>
        </w:rPr>
        <w:t>.</w:t>
      </w:r>
    </w:p>
    <w:p w:rsidR="00BA550B" w:rsidRPr="004C0441" w:rsidRDefault="00BA550B" w:rsidP="00BA550B">
      <w:pPr>
        <w:rPr>
          <w:rFonts w:asciiTheme="majorBidi" w:hAnsiTheme="majorBidi" w:cstheme="majorBidi"/>
          <w:b/>
          <w:bCs/>
          <w:i/>
          <w:iCs/>
        </w:rPr>
      </w:pPr>
      <w:r w:rsidRPr="004C0441">
        <w:rPr>
          <w:rFonts w:asciiTheme="majorBidi" w:hAnsiTheme="majorBidi" w:cstheme="majorBidi"/>
          <w:b/>
          <w:bCs/>
          <w:i/>
          <w:iCs/>
        </w:rPr>
        <w:t>Counter Terrorism (CT) remained a priority on the COSI agenda. In November 2017, COSI endorsed the way forward of the EU Threat Assessment in the field of CT aiming to optimise the process of drawing specific policy recommendations based on reports from E</w:t>
      </w:r>
      <w:r>
        <w:rPr>
          <w:rFonts w:asciiTheme="majorBidi" w:hAnsiTheme="majorBidi" w:cstheme="majorBidi"/>
          <w:b/>
          <w:bCs/>
          <w:i/>
          <w:iCs/>
        </w:rPr>
        <w:t>UROPOL</w:t>
      </w:r>
      <w:r w:rsidRPr="004C0441">
        <w:rPr>
          <w:rFonts w:asciiTheme="majorBidi" w:hAnsiTheme="majorBidi" w:cstheme="majorBidi"/>
          <w:b/>
          <w:bCs/>
          <w:i/>
          <w:iCs/>
        </w:rPr>
        <w:t xml:space="preserve"> and assessments from INTCEN</w:t>
      </w:r>
      <w:r w:rsidRPr="004C0441">
        <w:rPr>
          <w:rStyle w:val="FootnoteReference"/>
          <w:rFonts w:asciiTheme="majorBidi" w:hAnsiTheme="majorBidi" w:cstheme="majorBidi"/>
          <w:bCs/>
          <w:i/>
          <w:iCs/>
        </w:rPr>
        <w:footnoteReference w:id="5"/>
      </w:r>
      <w:r>
        <w:rPr>
          <w:rFonts w:asciiTheme="majorBidi" w:hAnsiTheme="majorBidi" w:cstheme="majorBidi"/>
          <w:b/>
          <w:bCs/>
          <w:i/>
          <w:iCs/>
        </w:rPr>
        <w:t>.</w:t>
      </w:r>
    </w:p>
    <w:p w:rsidR="00BA550B" w:rsidRPr="004C0441" w:rsidRDefault="00BA550B" w:rsidP="00BA550B">
      <w:pPr>
        <w:rPr>
          <w:rFonts w:asciiTheme="majorBidi" w:hAnsiTheme="majorBidi" w:cstheme="majorBidi"/>
          <w:b/>
          <w:bCs/>
          <w:i/>
          <w:iCs/>
        </w:rPr>
      </w:pPr>
      <w:r w:rsidRPr="004C0441">
        <w:rPr>
          <w:rFonts w:asciiTheme="majorBidi" w:hAnsiTheme="majorBidi" w:cstheme="majorBidi"/>
          <w:b/>
          <w:bCs/>
          <w:i/>
          <w:iCs/>
        </w:rPr>
        <w:t>COSI has also followed the work of the High</w:t>
      </w:r>
      <w:r>
        <w:rPr>
          <w:rFonts w:asciiTheme="majorBidi" w:hAnsiTheme="majorBidi" w:cstheme="majorBidi"/>
          <w:b/>
          <w:bCs/>
          <w:i/>
          <w:iCs/>
        </w:rPr>
        <w:t>-</w:t>
      </w:r>
      <w:r w:rsidRPr="004C0441">
        <w:rPr>
          <w:rFonts w:asciiTheme="majorBidi" w:hAnsiTheme="majorBidi" w:cstheme="majorBidi"/>
          <w:b/>
          <w:bCs/>
          <w:i/>
          <w:iCs/>
        </w:rPr>
        <w:t xml:space="preserve">Level Commission Expert Group on Radicalisation (HLCEG-R), which was established in the second semester of 2017, and based on the European Council </w:t>
      </w:r>
      <w:r>
        <w:rPr>
          <w:rFonts w:asciiTheme="majorBidi" w:hAnsiTheme="majorBidi" w:cstheme="majorBidi"/>
          <w:b/>
          <w:bCs/>
          <w:i/>
          <w:iCs/>
        </w:rPr>
        <w:t>c</w:t>
      </w:r>
      <w:r w:rsidRPr="004C0441">
        <w:rPr>
          <w:rFonts w:asciiTheme="majorBidi" w:hAnsiTheme="majorBidi" w:cstheme="majorBidi"/>
          <w:b/>
          <w:bCs/>
          <w:i/>
          <w:iCs/>
        </w:rPr>
        <w:t>onclusions of 22-23 June 2017. These conclusions highlighted the need to accelerate the collective efforts to share knowledge on foreign terrorist fighters as well as home-grown radicalised individuals</w:t>
      </w:r>
      <w:r>
        <w:rPr>
          <w:rFonts w:asciiTheme="majorBidi" w:hAnsiTheme="majorBidi" w:cstheme="majorBidi"/>
          <w:b/>
          <w:bCs/>
          <w:i/>
          <w:iCs/>
        </w:rPr>
        <w:t>,</w:t>
      </w:r>
      <w:r w:rsidRPr="004C0441">
        <w:rPr>
          <w:rFonts w:asciiTheme="majorBidi" w:hAnsiTheme="majorBidi" w:cstheme="majorBidi"/>
          <w:b/>
          <w:bCs/>
          <w:i/>
          <w:iCs/>
        </w:rPr>
        <w:t xml:space="preserve"> with the aim </w:t>
      </w:r>
      <w:r>
        <w:rPr>
          <w:rFonts w:asciiTheme="majorBidi" w:hAnsiTheme="majorBidi" w:cstheme="majorBidi"/>
          <w:b/>
          <w:bCs/>
          <w:i/>
          <w:iCs/>
        </w:rPr>
        <w:t>of</w:t>
      </w:r>
      <w:r w:rsidRPr="004C0441">
        <w:rPr>
          <w:rFonts w:asciiTheme="majorBidi" w:hAnsiTheme="majorBidi" w:cstheme="majorBidi"/>
          <w:b/>
          <w:bCs/>
          <w:i/>
          <w:iCs/>
        </w:rPr>
        <w:t xml:space="preserve"> implement</w:t>
      </w:r>
      <w:r>
        <w:rPr>
          <w:rFonts w:asciiTheme="majorBidi" w:hAnsiTheme="majorBidi" w:cstheme="majorBidi"/>
          <w:b/>
          <w:bCs/>
          <w:i/>
          <w:iCs/>
        </w:rPr>
        <w:t>ing</w:t>
      </w:r>
      <w:r w:rsidRPr="004C0441">
        <w:rPr>
          <w:rFonts w:asciiTheme="majorBidi" w:hAnsiTheme="majorBidi" w:cstheme="majorBidi"/>
          <w:b/>
          <w:bCs/>
          <w:i/>
          <w:iCs/>
        </w:rPr>
        <w:t xml:space="preserve"> policy and legal measures </w:t>
      </w:r>
      <w:r>
        <w:rPr>
          <w:rFonts w:asciiTheme="majorBidi" w:hAnsiTheme="majorBidi" w:cstheme="majorBidi"/>
          <w:b/>
          <w:bCs/>
          <w:i/>
          <w:iCs/>
        </w:rPr>
        <w:t>to manage the terrorist threat.</w:t>
      </w:r>
    </w:p>
    <w:p w:rsidR="00BA550B" w:rsidRPr="004C0441" w:rsidRDefault="00BA550B" w:rsidP="00BA550B">
      <w:pPr>
        <w:rPr>
          <w:rFonts w:asciiTheme="majorBidi" w:hAnsiTheme="majorBidi" w:cstheme="majorBidi"/>
          <w:b/>
          <w:bCs/>
          <w:i/>
          <w:iCs/>
        </w:rPr>
      </w:pPr>
      <w:r w:rsidRPr="004C0441">
        <w:rPr>
          <w:rFonts w:asciiTheme="majorBidi" w:hAnsiTheme="majorBidi" w:cstheme="majorBidi"/>
          <w:b/>
          <w:bCs/>
          <w:i/>
          <w:iCs/>
        </w:rPr>
        <w:t>Concerned about the travel movements of foreign terrorist fighters and returnees, under the Bulgarian Presidency COSI tasked</w:t>
      </w:r>
      <w:r>
        <w:rPr>
          <w:rFonts w:asciiTheme="majorBidi" w:hAnsiTheme="majorBidi" w:cstheme="majorBidi"/>
          <w:b/>
          <w:bCs/>
          <w:i/>
          <w:iCs/>
        </w:rPr>
        <w:t xml:space="preserve"> the</w:t>
      </w:r>
      <w:r w:rsidRPr="004C0441">
        <w:rPr>
          <w:rFonts w:asciiTheme="majorBidi" w:hAnsiTheme="majorBidi" w:cstheme="majorBidi"/>
          <w:b/>
          <w:bCs/>
          <w:i/>
          <w:iCs/>
        </w:rPr>
        <w:t xml:space="preserve"> SIS/SIRENE WP and the Terrorism Working Party (TWP) with identifying concrete practical solutions and recommendations</w:t>
      </w:r>
      <w:r>
        <w:rPr>
          <w:rFonts w:asciiTheme="majorBidi" w:hAnsiTheme="majorBidi" w:cstheme="majorBidi"/>
          <w:b/>
          <w:bCs/>
          <w:i/>
          <w:iCs/>
        </w:rPr>
        <w:t>,</w:t>
      </w:r>
      <w:r w:rsidRPr="004C0441">
        <w:rPr>
          <w:rFonts w:asciiTheme="majorBidi" w:hAnsiTheme="majorBidi" w:cstheme="majorBidi"/>
          <w:b/>
          <w:bCs/>
          <w:i/>
          <w:iCs/>
        </w:rPr>
        <w:t xml:space="preserve"> which resulted in Council </w:t>
      </w:r>
      <w:r>
        <w:rPr>
          <w:rFonts w:asciiTheme="majorBidi" w:hAnsiTheme="majorBidi" w:cstheme="majorBidi"/>
          <w:b/>
          <w:bCs/>
          <w:i/>
          <w:iCs/>
        </w:rPr>
        <w:t>c</w:t>
      </w:r>
      <w:r w:rsidRPr="004C0441">
        <w:rPr>
          <w:rFonts w:asciiTheme="majorBidi" w:hAnsiTheme="majorBidi" w:cstheme="majorBidi"/>
          <w:b/>
          <w:bCs/>
          <w:i/>
          <w:iCs/>
        </w:rPr>
        <w:t>onclusions on strengthening the cooperation and the use of the Schengen Information System (SIS) to deal with persons involved in terrorism or terrorist</w:t>
      </w:r>
      <w:r>
        <w:rPr>
          <w:rFonts w:asciiTheme="majorBidi" w:hAnsiTheme="majorBidi" w:cstheme="majorBidi"/>
          <w:b/>
          <w:bCs/>
          <w:i/>
          <w:iCs/>
        </w:rPr>
        <w:t>-</w:t>
      </w:r>
      <w:r w:rsidRPr="004C0441">
        <w:rPr>
          <w:rFonts w:asciiTheme="majorBidi" w:hAnsiTheme="majorBidi" w:cstheme="majorBidi"/>
          <w:b/>
          <w:bCs/>
          <w:i/>
          <w:iCs/>
        </w:rPr>
        <w:t>related activities</w:t>
      </w:r>
      <w:r w:rsidRPr="004C0441">
        <w:rPr>
          <w:rStyle w:val="FootnoteReference"/>
          <w:rFonts w:asciiTheme="majorBidi" w:hAnsiTheme="majorBidi" w:cstheme="majorBidi"/>
          <w:bCs/>
          <w:i/>
          <w:iCs/>
        </w:rPr>
        <w:footnoteReference w:id="6"/>
      </w:r>
      <w:r>
        <w:rPr>
          <w:rFonts w:asciiTheme="majorBidi" w:hAnsiTheme="majorBidi" w:cstheme="majorBidi"/>
          <w:b/>
          <w:bCs/>
          <w:i/>
          <w:iCs/>
        </w:rPr>
        <w:t>.</w:t>
      </w:r>
    </w:p>
    <w:p w:rsidR="00BA550B" w:rsidRPr="004C0441" w:rsidRDefault="00BA550B" w:rsidP="00BA550B">
      <w:pPr>
        <w:rPr>
          <w:rFonts w:asciiTheme="majorBidi" w:hAnsiTheme="majorBidi" w:cstheme="majorBidi"/>
          <w:b/>
          <w:bCs/>
          <w:i/>
          <w:iCs/>
        </w:rPr>
      </w:pPr>
      <w:r w:rsidRPr="004C0441">
        <w:rPr>
          <w:rFonts w:asciiTheme="majorBidi" w:hAnsiTheme="majorBidi" w:cstheme="majorBidi"/>
          <w:b/>
          <w:bCs/>
          <w:i/>
          <w:iCs/>
        </w:rPr>
        <w:t>COSI provided input on the Council conclusions on the strengthening the ATLAS Network</w:t>
      </w:r>
      <w:r w:rsidRPr="004C0441">
        <w:rPr>
          <w:rStyle w:val="FootnoteReference"/>
          <w:rFonts w:asciiTheme="majorBidi" w:hAnsiTheme="majorBidi" w:cstheme="majorBidi"/>
          <w:bCs/>
          <w:i/>
          <w:iCs/>
        </w:rPr>
        <w:footnoteReference w:id="7"/>
      </w:r>
      <w:r w:rsidRPr="004C0441">
        <w:rPr>
          <w:rFonts w:asciiTheme="majorBidi" w:hAnsiTheme="majorBidi" w:cstheme="majorBidi"/>
          <w:b/>
          <w:bCs/>
          <w:i/>
          <w:iCs/>
        </w:rPr>
        <w:t xml:space="preserve"> and the CBRN conclusions</w:t>
      </w:r>
      <w:r w:rsidRPr="004C0441">
        <w:rPr>
          <w:rStyle w:val="FootnoteReference"/>
          <w:rFonts w:asciiTheme="majorBidi" w:hAnsiTheme="majorBidi" w:cstheme="majorBidi"/>
          <w:bCs/>
          <w:i/>
          <w:iCs/>
        </w:rPr>
        <w:footnoteReference w:id="8"/>
      </w:r>
      <w:r w:rsidRPr="004C0441">
        <w:rPr>
          <w:rFonts w:asciiTheme="majorBidi" w:hAnsiTheme="majorBidi" w:cstheme="majorBidi"/>
          <w:b/>
          <w:bCs/>
          <w:i/>
          <w:iCs/>
        </w:rPr>
        <w:t xml:space="preserve"> from a strategic point of view to strengthen the coordination of operational cooperation in the field of CT.</w:t>
      </w:r>
    </w:p>
    <w:p w:rsidR="00BA550B" w:rsidRPr="004C0441" w:rsidRDefault="00BA550B" w:rsidP="00BA550B">
      <w:pPr>
        <w:suppressAutoHyphens/>
        <w:rPr>
          <w:rFonts w:asciiTheme="majorBidi" w:hAnsiTheme="majorBidi" w:cstheme="majorBidi"/>
          <w:b/>
          <w:bCs/>
          <w:i/>
          <w:iCs/>
        </w:rPr>
      </w:pPr>
      <w:r w:rsidRPr="004C0441">
        <w:rPr>
          <w:rFonts w:asciiTheme="majorBidi" w:hAnsiTheme="majorBidi" w:cstheme="majorBidi"/>
          <w:b/>
          <w:bCs/>
          <w:i/>
          <w:iCs/>
        </w:rPr>
        <w:br w:type="page"/>
      </w:r>
      <w:r w:rsidRPr="004C0441">
        <w:rPr>
          <w:rFonts w:asciiTheme="majorBidi" w:hAnsiTheme="majorBidi" w:cstheme="majorBidi"/>
          <w:b/>
          <w:bCs/>
          <w:i/>
          <w:iCs/>
        </w:rPr>
        <w:lastRenderedPageBreak/>
        <w:t>COSI has a central role in steering the EU Policy Cycle for organised and serious international crime/EMPACT. As set out in the EU Policy Cycle Terms of Reference (ToR)</w:t>
      </w:r>
      <w:r w:rsidRPr="004C0441">
        <w:rPr>
          <w:rStyle w:val="FootnoteReference"/>
          <w:rFonts w:asciiTheme="majorBidi" w:hAnsiTheme="majorBidi" w:cstheme="majorBidi"/>
          <w:bCs/>
          <w:i/>
          <w:iCs/>
        </w:rPr>
        <w:footnoteReference w:id="9"/>
      </w:r>
      <w:r w:rsidRPr="004C0441">
        <w:rPr>
          <w:rFonts w:asciiTheme="majorBidi" w:hAnsiTheme="majorBidi" w:cstheme="majorBidi"/>
          <w:b/>
          <w:bCs/>
          <w:i/>
          <w:iCs/>
        </w:rPr>
        <w:t xml:space="preserve">, COSI closely evaluates the implementation of the Operational Action Plans (OAPs), including the participation of Member States and other actors in order to ensure commitment and the required allocation of human and financial resources. The Committee monitors the progress of the OAPs every </w:t>
      </w:r>
      <w:r>
        <w:rPr>
          <w:rFonts w:asciiTheme="majorBidi" w:hAnsiTheme="majorBidi" w:cstheme="majorBidi"/>
          <w:b/>
          <w:bCs/>
          <w:i/>
          <w:iCs/>
        </w:rPr>
        <w:t>six</w:t>
      </w:r>
      <w:r w:rsidRPr="004C0441">
        <w:rPr>
          <w:rFonts w:asciiTheme="majorBidi" w:hAnsiTheme="majorBidi" w:cstheme="majorBidi"/>
          <w:b/>
          <w:bCs/>
          <w:i/>
          <w:iCs/>
        </w:rPr>
        <w:t xml:space="preserve"> months</w:t>
      </w:r>
      <w:r>
        <w:rPr>
          <w:rFonts w:asciiTheme="majorBidi" w:hAnsiTheme="majorBidi" w:cstheme="majorBidi"/>
          <w:b/>
          <w:bCs/>
          <w:i/>
          <w:iCs/>
        </w:rPr>
        <w:t>, including</w:t>
      </w:r>
      <w:r w:rsidRPr="004C0441">
        <w:rPr>
          <w:rFonts w:asciiTheme="majorBidi" w:hAnsiTheme="majorBidi" w:cstheme="majorBidi"/>
          <w:b/>
          <w:bCs/>
          <w:i/>
          <w:iCs/>
        </w:rPr>
        <w:t xml:space="preserve"> on the basis of Europol</w:t>
      </w:r>
      <w:r>
        <w:rPr>
          <w:rFonts w:asciiTheme="majorBidi" w:hAnsiTheme="majorBidi" w:cstheme="majorBidi"/>
          <w:b/>
          <w:bCs/>
          <w:i/>
          <w:iCs/>
        </w:rPr>
        <w:t>'</w:t>
      </w:r>
      <w:r w:rsidRPr="004C0441">
        <w:rPr>
          <w:rFonts w:asciiTheme="majorBidi" w:hAnsiTheme="majorBidi" w:cstheme="majorBidi"/>
          <w:b/>
          <w:bCs/>
          <w:i/>
          <w:iCs/>
        </w:rPr>
        <w:t>s findings on the implementation of OAPs, reports by the Drivers and the National EMPACT Coordinators (NEC).</w:t>
      </w:r>
    </w:p>
    <w:p w:rsidR="00BA550B" w:rsidRPr="004C0441" w:rsidRDefault="00BA550B" w:rsidP="00BA550B">
      <w:pPr>
        <w:suppressAutoHyphens/>
        <w:rPr>
          <w:rFonts w:asciiTheme="majorBidi" w:hAnsiTheme="majorBidi" w:cstheme="majorBidi"/>
          <w:b/>
          <w:bCs/>
          <w:i/>
          <w:iCs/>
        </w:rPr>
      </w:pPr>
      <w:r w:rsidRPr="004C0441">
        <w:rPr>
          <w:rFonts w:asciiTheme="majorBidi" w:hAnsiTheme="majorBidi" w:cstheme="majorBidi"/>
          <w:b/>
          <w:bCs/>
          <w:i/>
          <w:iCs/>
        </w:rPr>
        <w:t xml:space="preserve">The trio </w:t>
      </w:r>
      <w:r>
        <w:rPr>
          <w:rFonts w:asciiTheme="majorBidi" w:hAnsiTheme="majorBidi" w:cstheme="majorBidi"/>
          <w:b/>
          <w:bCs/>
          <w:i/>
          <w:iCs/>
        </w:rPr>
        <w:t>P</w:t>
      </w:r>
      <w:r w:rsidRPr="004C0441">
        <w:rPr>
          <w:rFonts w:asciiTheme="majorBidi" w:hAnsiTheme="majorBidi" w:cstheme="majorBidi"/>
          <w:b/>
          <w:bCs/>
          <w:i/>
          <w:iCs/>
        </w:rPr>
        <w:t>residency saw the end of the first full policy cycle with excellent tangible results and the launch of a new policy cycle for the period 2018-2021. The Joint Action Days are a clear indication of the effectiveness of the EU Policy Cycle under the strategic guidance of COSI. Over the years 2017 and 2018, 1</w:t>
      </w:r>
      <w:r>
        <w:rPr>
          <w:rFonts w:asciiTheme="majorBidi" w:hAnsiTheme="majorBidi" w:cstheme="majorBidi"/>
          <w:b/>
          <w:bCs/>
          <w:i/>
          <w:iCs/>
        </w:rPr>
        <w:t> </w:t>
      </w:r>
      <w:r w:rsidRPr="004C0441">
        <w:rPr>
          <w:rFonts w:asciiTheme="majorBidi" w:hAnsiTheme="majorBidi" w:cstheme="majorBidi"/>
          <w:b/>
          <w:bCs/>
          <w:i/>
          <w:iCs/>
        </w:rPr>
        <w:t>630 cases and investigations were initiated, 2</w:t>
      </w:r>
      <w:r>
        <w:rPr>
          <w:rFonts w:asciiTheme="majorBidi" w:hAnsiTheme="majorBidi" w:cstheme="majorBidi"/>
          <w:b/>
          <w:bCs/>
          <w:i/>
          <w:iCs/>
        </w:rPr>
        <w:t> </w:t>
      </w:r>
      <w:r w:rsidRPr="004C0441">
        <w:rPr>
          <w:rFonts w:asciiTheme="majorBidi" w:hAnsiTheme="majorBidi" w:cstheme="majorBidi"/>
          <w:b/>
          <w:bCs/>
          <w:i/>
          <w:iCs/>
        </w:rPr>
        <w:t>270 suspects arrested, 343 firearms seized and 1</w:t>
      </w:r>
      <w:r>
        <w:rPr>
          <w:rFonts w:asciiTheme="majorBidi" w:hAnsiTheme="majorBidi" w:cstheme="majorBidi"/>
          <w:b/>
          <w:bCs/>
          <w:i/>
          <w:iCs/>
        </w:rPr>
        <w:t> </w:t>
      </w:r>
      <w:r w:rsidRPr="004C0441">
        <w:rPr>
          <w:rFonts w:asciiTheme="majorBidi" w:hAnsiTheme="majorBidi" w:cstheme="majorBidi"/>
          <w:b/>
          <w:bCs/>
          <w:i/>
          <w:iCs/>
        </w:rPr>
        <w:t xml:space="preserve">528 human trafficking victims identified. Under the EE </w:t>
      </w:r>
      <w:r>
        <w:rPr>
          <w:rFonts w:asciiTheme="majorBidi" w:hAnsiTheme="majorBidi" w:cstheme="majorBidi"/>
          <w:b/>
          <w:bCs/>
          <w:i/>
          <w:iCs/>
        </w:rPr>
        <w:t>P</w:t>
      </w:r>
      <w:r w:rsidRPr="004C0441">
        <w:rPr>
          <w:rFonts w:asciiTheme="majorBidi" w:hAnsiTheme="majorBidi" w:cstheme="majorBidi"/>
          <w:b/>
          <w:bCs/>
          <w:i/>
          <w:iCs/>
        </w:rPr>
        <w:t>residency</w:t>
      </w:r>
      <w:r>
        <w:rPr>
          <w:rFonts w:asciiTheme="majorBidi" w:hAnsiTheme="majorBidi" w:cstheme="majorBidi"/>
          <w:b/>
          <w:bCs/>
          <w:i/>
          <w:iCs/>
        </w:rPr>
        <w:t>,</w:t>
      </w:r>
      <w:r w:rsidRPr="004C0441">
        <w:rPr>
          <w:rFonts w:asciiTheme="majorBidi" w:hAnsiTheme="majorBidi" w:cstheme="majorBidi"/>
          <w:b/>
          <w:bCs/>
          <w:i/>
          <w:iCs/>
        </w:rPr>
        <w:t xml:space="preserve"> a new reporting mechanism was introduced which was designed to streamline the reporting process for the </w:t>
      </w:r>
      <w:r>
        <w:rPr>
          <w:rFonts w:asciiTheme="majorBidi" w:hAnsiTheme="majorBidi" w:cstheme="majorBidi"/>
          <w:b/>
          <w:bCs/>
          <w:i/>
          <w:iCs/>
        </w:rPr>
        <w:t>D</w:t>
      </w:r>
      <w:r w:rsidRPr="004C0441">
        <w:rPr>
          <w:rFonts w:asciiTheme="majorBidi" w:hAnsiTheme="majorBidi" w:cstheme="majorBidi"/>
          <w:b/>
          <w:bCs/>
          <w:i/>
          <w:iCs/>
        </w:rPr>
        <w:t>rivers of the OAPs and make it more effective.</w:t>
      </w:r>
    </w:p>
    <w:p w:rsidR="00BA550B" w:rsidRPr="004C0441" w:rsidRDefault="00BA550B" w:rsidP="00BA550B">
      <w:pPr>
        <w:suppressAutoHyphens/>
        <w:rPr>
          <w:rFonts w:asciiTheme="majorBidi" w:hAnsiTheme="majorBidi" w:cstheme="majorBidi"/>
          <w:b/>
          <w:bCs/>
          <w:i/>
          <w:iCs/>
        </w:rPr>
      </w:pPr>
      <w:r w:rsidRPr="004C0441">
        <w:rPr>
          <w:rFonts w:asciiTheme="majorBidi" w:hAnsiTheme="majorBidi" w:cstheme="majorBidi"/>
          <w:b/>
          <w:bCs/>
          <w:i/>
          <w:iCs/>
        </w:rPr>
        <w:t>Consistent efforts were made at COSI level to support more efficient use of the available funding of the EU Policy Cycle.</w:t>
      </w:r>
    </w:p>
    <w:p w:rsidR="00BA550B" w:rsidRPr="004C0441" w:rsidRDefault="00BA550B" w:rsidP="00BA550B">
      <w:pPr>
        <w:suppressAutoHyphens/>
        <w:rPr>
          <w:rFonts w:asciiTheme="majorBidi" w:hAnsiTheme="majorBidi" w:cstheme="majorBidi"/>
          <w:b/>
          <w:bCs/>
          <w:i/>
          <w:iCs/>
        </w:rPr>
      </w:pPr>
      <w:r w:rsidRPr="004C0441">
        <w:rPr>
          <w:rFonts w:asciiTheme="majorBidi" w:hAnsiTheme="majorBidi" w:cstheme="majorBidi"/>
          <w:b/>
          <w:bCs/>
          <w:i/>
          <w:iCs/>
        </w:rPr>
        <w:t xml:space="preserve">Strengthening the identity of the EU Policy Cycle to foster the involvement of all relevant actors and improving the communication on operational results was another overarching theme during the reporting period. A set of recommendations on communication as identified by the media contact points from Member States and EU </w:t>
      </w:r>
      <w:r>
        <w:rPr>
          <w:rFonts w:asciiTheme="majorBidi" w:hAnsiTheme="majorBidi" w:cstheme="majorBidi"/>
          <w:b/>
          <w:bCs/>
          <w:i/>
          <w:iCs/>
        </w:rPr>
        <w:t>a</w:t>
      </w:r>
      <w:r w:rsidRPr="004C0441">
        <w:rPr>
          <w:rFonts w:asciiTheme="majorBidi" w:hAnsiTheme="majorBidi" w:cstheme="majorBidi"/>
          <w:b/>
          <w:bCs/>
          <w:i/>
          <w:iCs/>
        </w:rPr>
        <w:t>gencies and aiming at improving the visibility of the EU Policy Cycle, including through a dedicated logo</w:t>
      </w:r>
      <w:r>
        <w:rPr>
          <w:rFonts w:asciiTheme="majorBidi" w:hAnsiTheme="majorBidi" w:cstheme="majorBidi"/>
          <w:b/>
          <w:bCs/>
          <w:i/>
          <w:iCs/>
        </w:rPr>
        <w:t>,</w:t>
      </w:r>
      <w:r w:rsidRPr="004C0441">
        <w:rPr>
          <w:rFonts w:asciiTheme="majorBidi" w:hAnsiTheme="majorBidi" w:cstheme="majorBidi"/>
          <w:b/>
          <w:bCs/>
          <w:i/>
          <w:iCs/>
        </w:rPr>
        <w:t xml:space="preserve"> is now integrated in the EU Policy Cycle Terms of Reference. </w:t>
      </w:r>
    </w:p>
    <w:p w:rsidR="00BA550B" w:rsidRPr="004C0441" w:rsidRDefault="00BA550B" w:rsidP="00BA550B">
      <w:pPr>
        <w:suppressAutoHyphens/>
        <w:rPr>
          <w:rFonts w:asciiTheme="majorBidi" w:hAnsiTheme="majorBidi" w:cstheme="majorBidi"/>
          <w:b/>
          <w:bCs/>
          <w:i/>
          <w:iCs/>
        </w:rPr>
      </w:pPr>
      <w:r>
        <w:rPr>
          <w:rFonts w:asciiTheme="majorBidi" w:hAnsiTheme="majorBidi" w:cstheme="majorBidi"/>
          <w:b/>
          <w:bCs/>
          <w:i/>
          <w:iCs/>
        </w:rPr>
        <w:br w:type="page"/>
      </w:r>
      <w:r w:rsidRPr="004C0441">
        <w:rPr>
          <w:rFonts w:asciiTheme="majorBidi" w:hAnsiTheme="majorBidi" w:cstheme="majorBidi"/>
          <w:b/>
          <w:bCs/>
          <w:i/>
          <w:iCs/>
        </w:rPr>
        <w:t>At the JHA Council in June 2018, Ministers reiterated the added value of the EU Policy Cycle and its contribution to the internal security of the Union and the fight against serious and organised crime. The multi</w:t>
      </w:r>
      <w:r>
        <w:rPr>
          <w:rFonts w:asciiTheme="majorBidi" w:hAnsiTheme="majorBidi" w:cstheme="majorBidi"/>
          <w:b/>
          <w:bCs/>
          <w:i/>
          <w:iCs/>
        </w:rPr>
        <w:t>-disciplinary</w:t>
      </w:r>
      <w:r w:rsidRPr="004C0441">
        <w:rPr>
          <w:rFonts w:asciiTheme="majorBidi" w:hAnsiTheme="majorBidi" w:cstheme="majorBidi"/>
          <w:b/>
          <w:bCs/>
          <w:i/>
          <w:iCs/>
        </w:rPr>
        <w:t xml:space="preserve"> architecture providing a strong common operational platform for a broad range of actors at national and EU level</w:t>
      </w:r>
      <w:r>
        <w:rPr>
          <w:rFonts w:asciiTheme="majorBidi" w:hAnsiTheme="majorBidi" w:cstheme="majorBidi"/>
          <w:b/>
          <w:bCs/>
          <w:i/>
          <w:iCs/>
        </w:rPr>
        <w:t>,</w:t>
      </w:r>
      <w:r w:rsidRPr="004C0441">
        <w:rPr>
          <w:rFonts w:asciiTheme="majorBidi" w:hAnsiTheme="majorBidi" w:cstheme="majorBidi"/>
          <w:b/>
          <w:bCs/>
          <w:i/>
          <w:iCs/>
        </w:rPr>
        <w:t xml:space="preserve"> thus enhancing mutual trust</w:t>
      </w:r>
      <w:r>
        <w:rPr>
          <w:rFonts w:asciiTheme="majorBidi" w:hAnsiTheme="majorBidi" w:cstheme="majorBidi"/>
          <w:b/>
          <w:bCs/>
          <w:i/>
          <w:iCs/>
        </w:rPr>
        <w:t>,</w:t>
      </w:r>
      <w:r w:rsidRPr="004C0441">
        <w:rPr>
          <w:rFonts w:asciiTheme="majorBidi" w:hAnsiTheme="majorBidi" w:cstheme="majorBidi"/>
          <w:b/>
          <w:bCs/>
          <w:i/>
          <w:iCs/>
        </w:rPr>
        <w:t xml:space="preserve"> was highlighted in particular. This has allowed for a more flexible and coordinated multi</w:t>
      </w:r>
      <w:r>
        <w:rPr>
          <w:rFonts w:asciiTheme="majorBidi" w:hAnsiTheme="majorBidi" w:cstheme="majorBidi"/>
          <w:b/>
          <w:bCs/>
          <w:i/>
          <w:iCs/>
        </w:rPr>
        <w:t>-</w:t>
      </w:r>
      <w:r w:rsidRPr="004C0441">
        <w:rPr>
          <w:rFonts w:asciiTheme="majorBidi" w:hAnsiTheme="majorBidi" w:cstheme="majorBidi"/>
          <w:b/>
          <w:bCs/>
          <w:i/>
          <w:iCs/>
        </w:rPr>
        <w:t>agency approach and targeted responses to the evolving and complex nature of crime.</w:t>
      </w:r>
    </w:p>
    <w:p w:rsidR="00BA550B" w:rsidRPr="004C0441" w:rsidRDefault="00BA550B" w:rsidP="00BA550B">
      <w:pPr>
        <w:rPr>
          <w:rFonts w:asciiTheme="majorBidi" w:hAnsiTheme="majorBidi" w:cstheme="majorBidi"/>
          <w:b/>
          <w:bCs/>
          <w:i/>
          <w:iCs/>
        </w:rPr>
      </w:pPr>
      <w:r w:rsidRPr="004C0441">
        <w:rPr>
          <w:rFonts w:asciiTheme="majorBidi" w:hAnsiTheme="majorBidi" w:cstheme="majorBidi"/>
          <w:b/>
          <w:bCs/>
          <w:i/>
          <w:iCs/>
        </w:rPr>
        <w:t xml:space="preserve">Further to the call by the European Council in October 2018, COSI developed a comprehensive and operational set of measures with </w:t>
      </w:r>
      <w:r>
        <w:rPr>
          <w:rFonts w:asciiTheme="majorBidi" w:hAnsiTheme="majorBidi" w:cstheme="majorBidi"/>
          <w:b/>
          <w:bCs/>
          <w:i/>
          <w:iCs/>
        </w:rPr>
        <w:t xml:space="preserve">a </w:t>
      </w:r>
      <w:r w:rsidRPr="004C0441">
        <w:rPr>
          <w:rFonts w:asciiTheme="majorBidi" w:hAnsiTheme="majorBidi" w:cstheme="majorBidi"/>
          <w:b/>
          <w:bCs/>
          <w:i/>
          <w:iCs/>
        </w:rPr>
        <w:t xml:space="preserve">law enforcement focus to enhance the response to migrant smuggling networks. The set of measures draws on enhanced inter-agency approach both at EU and national level, optimising the synergies between available operational tools, maximising the use of </w:t>
      </w:r>
      <w:r>
        <w:rPr>
          <w:rFonts w:asciiTheme="majorBidi" w:hAnsiTheme="majorBidi" w:cstheme="majorBidi"/>
          <w:b/>
          <w:bCs/>
          <w:i/>
          <w:iCs/>
        </w:rPr>
        <w:t xml:space="preserve">the EU's </w:t>
      </w:r>
      <w:r w:rsidRPr="004C0441">
        <w:rPr>
          <w:rFonts w:asciiTheme="majorBidi" w:hAnsiTheme="majorBidi" w:cstheme="majorBidi"/>
          <w:b/>
          <w:bCs/>
          <w:i/>
          <w:iCs/>
        </w:rPr>
        <w:t xml:space="preserve">external assets, to enhance cooperation with priority third countries. </w:t>
      </w:r>
    </w:p>
    <w:p w:rsidR="00BA550B" w:rsidRPr="004C0441" w:rsidRDefault="00BA550B" w:rsidP="00BA550B">
      <w:pPr>
        <w:rPr>
          <w:rFonts w:asciiTheme="majorBidi" w:hAnsiTheme="majorBidi" w:cstheme="majorBidi"/>
          <w:b/>
          <w:bCs/>
          <w:i/>
          <w:iCs/>
        </w:rPr>
      </w:pPr>
      <w:r w:rsidRPr="004C0441">
        <w:rPr>
          <w:rFonts w:asciiTheme="majorBidi" w:hAnsiTheme="majorBidi" w:cstheme="majorBidi"/>
          <w:b/>
          <w:bCs/>
          <w:i/>
          <w:iCs/>
        </w:rPr>
        <w:t>It seeks to strengthen the implementation of already existing measures under the EU Action Plan against migrant smuggling (2015-2020) and includes new activities, for example the establishment of a Joint Liaison Task Force on migrant smuggling at Europol, or strengthening the capacity of the EU Internet Referral Unit within Europol to monitor and disrupt the online communications of smuggling networks. The set of operational measures was adopted by the Council on 6 December 2018</w:t>
      </w:r>
      <w:r w:rsidRPr="004C0441">
        <w:rPr>
          <w:rStyle w:val="FootnoteReference"/>
          <w:rFonts w:asciiTheme="majorBidi" w:hAnsiTheme="majorBidi" w:cstheme="majorBidi"/>
          <w:bCs/>
          <w:i/>
          <w:iCs/>
        </w:rPr>
        <w:footnoteReference w:id="10"/>
      </w:r>
      <w:r w:rsidRPr="004C0441">
        <w:rPr>
          <w:rFonts w:asciiTheme="majorBidi" w:hAnsiTheme="majorBidi" w:cstheme="majorBidi"/>
          <w:b/>
          <w:bCs/>
          <w:i/>
          <w:iCs/>
        </w:rPr>
        <w:t xml:space="preserve">. </w:t>
      </w:r>
    </w:p>
    <w:p w:rsidR="00BA550B" w:rsidRPr="004C0441" w:rsidRDefault="00BA550B" w:rsidP="00BA550B">
      <w:pPr>
        <w:suppressAutoHyphens/>
        <w:rPr>
          <w:rFonts w:asciiTheme="majorBidi" w:hAnsiTheme="majorBidi" w:cstheme="majorBidi"/>
          <w:b/>
          <w:bCs/>
          <w:i/>
          <w:iCs/>
        </w:rPr>
      </w:pPr>
      <w:r>
        <w:rPr>
          <w:rFonts w:asciiTheme="majorBidi" w:hAnsiTheme="majorBidi" w:cstheme="majorBidi"/>
          <w:b/>
          <w:bCs/>
          <w:i/>
          <w:iCs/>
        </w:rPr>
        <w:br w:type="page"/>
      </w:r>
      <w:r w:rsidRPr="004C0441">
        <w:rPr>
          <w:rFonts w:asciiTheme="majorBidi" w:hAnsiTheme="majorBidi" w:cstheme="majorBidi"/>
          <w:b/>
          <w:bCs/>
          <w:i/>
          <w:iCs/>
        </w:rPr>
        <w:t>The multidisciplinary inter</w:t>
      </w:r>
      <w:r>
        <w:rPr>
          <w:rFonts w:asciiTheme="majorBidi" w:hAnsiTheme="majorBidi" w:cstheme="majorBidi"/>
          <w:b/>
          <w:bCs/>
          <w:i/>
          <w:iCs/>
        </w:rPr>
        <w:t>-</w:t>
      </w:r>
      <w:r w:rsidRPr="004C0441">
        <w:rPr>
          <w:rFonts w:asciiTheme="majorBidi" w:hAnsiTheme="majorBidi" w:cstheme="majorBidi"/>
          <w:b/>
          <w:bCs/>
          <w:i/>
          <w:iCs/>
        </w:rPr>
        <w:t>agency outlook was guiding the strategic input by COSI for a more structured approach for enhancing customs contribution to internal security. Further to a thematic debate hosted by the BG Presidency in May 2018, the Committee endorsed a framework to guide further work in this area into three directions: institutional cooperation, operational cooperation, and the exchange of information and interoperability</w:t>
      </w:r>
      <w:r w:rsidRPr="004C0441">
        <w:rPr>
          <w:rStyle w:val="FootnoteReference"/>
          <w:rFonts w:asciiTheme="majorBidi" w:hAnsiTheme="majorBidi" w:cstheme="majorBidi"/>
          <w:bCs/>
          <w:i/>
          <w:iCs/>
        </w:rPr>
        <w:footnoteReference w:id="11"/>
      </w:r>
      <w:r w:rsidRPr="004C0441">
        <w:rPr>
          <w:rFonts w:asciiTheme="majorBidi" w:hAnsiTheme="majorBidi" w:cstheme="majorBidi"/>
          <w:b/>
          <w:bCs/>
          <w:i/>
          <w:iCs/>
        </w:rPr>
        <w:t xml:space="preserve">. The latter are consistent with the priorities of the Strategy for future customs law enforcement cooperation. To develop these work strands, the AT Presidency initiated a series of thematic discussions at the CCWP with COSI welcoming the </w:t>
      </w:r>
      <w:r>
        <w:rPr>
          <w:rFonts w:asciiTheme="majorBidi" w:hAnsiTheme="majorBidi" w:cstheme="majorBidi"/>
          <w:b/>
          <w:bCs/>
          <w:i/>
          <w:iCs/>
        </w:rPr>
        <w:t>i</w:t>
      </w:r>
      <w:r w:rsidRPr="004C0441">
        <w:rPr>
          <w:rFonts w:asciiTheme="majorBidi" w:hAnsiTheme="majorBidi" w:cstheme="majorBidi"/>
          <w:b/>
          <w:bCs/>
          <w:i/>
          <w:iCs/>
        </w:rPr>
        <w:t>nterim report</w:t>
      </w:r>
      <w:r w:rsidRPr="004C0441">
        <w:rPr>
          <w:rStyle w:val="FootnoteReference"/>
          <w:rFonts w:asciiTheme="majorBidi" w:hAnsiTheme="majorBidi" w:cstheme="majorBidi"/>
          <w:bCs/>
          <w:i/>
          <w:iCs/>
        </w:rPr>
        <w:footnoteReference w:id="12"/>
      </w:r>
      <w:r w:rsidRPr="004C0441">
        <w:rPr>
          <w:rFonts w:asciiTheme="majorBidi" w:hAnsiTheme="majorBidi" w:cstheme="majorBidi"/>
          <w:b/>
          <w:bCs/>
          <w:i/>
          <w:iCs/>
        </w:rPr>
        <w:t xml:space="preserve"> in November 2018 and encouraging further work on the specific measures. </w:t>
      </w:r>
    </w:p>
    <w:p w:rsidR="00BA550B" w:rsidRPr="004C0441" w:rsidRDefault="00BA550B" w:rsidP="00BA550B">
      <w:pPr>
        <w:suppressAutoHyphens/>
        <w:rPr>
          <w:rFonts w:asciiTheme="majorBidi" w:hAnsiTheme="majorBidi" w:cstheme="majorBidi"/>
          <w:b/>
          <w:bCs/>
          <w:i/>
          <w:iCs/>
        </w:rPr>
      </w:pPr>
      <w:r w:rsidRPr="004C0441">
        <w:rPr>
          <w:rFonts w:asciiTheme="majorBidi" w:hAnsiTheme="majorBidi" w:cstheme="majorBidi"/>
          <w:b/>
          <w:bCs/>
          <w:i/>
          <w:iCs/>
        </w:rPr>
        <w:t>Upon the initiative of the EE Presidency</w:t>
      </w:r>
      <w:r>
        <w:rPr>
          <w:rFonts w:asciiTheme="majorBidi" w:hAnsiTheme="majorBidi" w:cstheme="majorBidi"/>
          <w:b/>
          <w:bCs/>
          <w:i/>
          <w:iCs/>
        </w:rPr>
        <w:t>,</w:t>
      </w:r>
      <w:r w:rsidRPr="004C0441">
        <w:rPr>
          <w:rFonts w:asciiTheme="majorBidi" w:hAnsiTheme="majorBidi" w:cstheme="majorBidi"/>
          <w:b/>
          <w:bCs/>
          <w:i/>
          <w:iCs/>
        </w:rPr>
        <w:t xml:space="preserve"> COSI endorsed four concrete priorities for strengthening the EU law enforcement response to cybercrime by addressing criminality on the dark web, EU law enforcement response to major cyber attacks, defining law enforcement interests in the IP WHOIS database reform and improving the capability to investigate and attribute online crime</w:t>
      </w:r>
      <w:r w:rsidRPr="004C0441">
        <w:rPr>
          <w:rStyle w:val="FootnoteReference"/>
          <w:rFonts w:asciiTheme="majorBidi" w:hAnsiTheme="majorBidi" w:cstheme="majorBidi"/>
          <w:bCs/>
          <w:i/>
          <w:iCs/>
        </w:rPr>
        <w:footnoteReference w:id="13"/>
      </w:r>
      <w:r w:rsidRPr="004C0441">
        <w:rPr>
          <w:rFonts w:asciiTheme="majorBidi" w:hAnsiTheme="majorBidi" w:cstheme="majorBidi"/>
          <w:b/>
          <w:bCs/>
          <w:i/>
          <w:iCs/>
        </w:rPr>
        <w:t xml:space="preserve">. The priorities were addressed and developed </w:t>
      </w:r>
      <w:r>
        <w:rPr>
          <w:rFonts w:asciiTheme="majorBidi" w:hAnsiTheme="majorBidi" w:cstheme="majorBidi"/>
          <w:b/>
          <w:bCs/>
          <w:i/>
          <w:iCs/>
        </w:rPr>
        <w:t>over</w:t>
      </w:r>
      <w:r w:rsidRPr="004C0441">
        <w:rPr>
          <w:rFonts w:asciiTheme="majorBidi" w:hAnsiTheme="majorBidi" w:cstheme="majorBidi"/>
          <w:b/>
          <w:bCs/>
          <w:i/>
          <w:iCs/>
        </w:rPr>
        <w:t xml:space="preserve"> the 18 months. </w:t>
      </w:r>
    </w:p>
    <w:p w:rsidR="00BA550B" w:rsidRPr="004C0441" w:rsidRDefault="00BA550B" w:rsidP="00BA550B">
      <w:pPr>
        <w:suppressAutoHyphens/>
        <w:rPr>
          <w:rFonts w:asciiTheme="majorBidi" w:hAnsiTheme="majorBidi" w:cstheme="majorBidi"/>
          <w:b/>
          <w:bCs/>
          <w:i/>
          <w:iCs/>
        </w:rPr>
      </w:pPr>
      <w:r w:rsidRPr="004C0441">
        <w:rPr>
          <w:rFonts w:asciiTheme="majorBidi" w:hAnsiTheme="majorBidi" w:cstheme="majorBidi"/>
          <w:b/>
          <w:bCs/>
          <w:i/>
          <w:iCs/>
        </w:rPr>
        <w:t xml:space="preserve">COSI continued </w:t>
      </w:r>
      <w:r>
        <w:rPr>
          <w:rFonts w:asciiTheme="majorBidi" w:hAnsiTheme="majorBidi" w:cstheme="majorBidi"/>
          <w:b/>
          <w:bCs/>
          <w:i/>
          <w:iCs/>
        </w:rPr>
        <w:t xml:space="preserve">to </w:t>
      </w:r>
      <w:r w:rsidRPr="004C0441">
        <w:rPr>
          <w:rFonts w:asciiTheme="majorBidi" w:hAnsiTheme="majorBidi" w:cstheme="majorBidi"/>
          <w:b/>
          <w:bCs/>
          <w:i/>
          <w:iCs/>
        </w:rPr>
        <w:t>monitor relevant developments and progress in the area of information exchange and interoperability. COSI took note of the Report on the state of play on the implementation of the Roadmap to enhance information exchange and information management including interoperability solutions in the Justice and Home Affairs area on 26 June 2018</w:t>
      </w:r>
      <w:r w:rsidRPr="004C0441">
        <w:rPr>
          <w:rStyle w:val="FootnoteReference"/>
          <w:rFonts w:asciiTheme="majorBidi" w:hAnsiTheme="majorBidi" w:cstheme="majorBidi"/>
          <w:bCs/>
          <w:i/>
          <w:iCs/>
        </w:rPr>
        <w:footnoteReference w:id="14"/>
      </w:r>
      <w:r w:rsidRPr="004C0441">
        <w:rPr>
          <w:rFonts w:asciiTheme="majorBidi" w:hAnsiTheme="majorBidi" w:cstheme="majorBidi"/>
          <w:b/>
          <w:bCs/>
          <w:i/>
          <w:iCs/>
        </w:rPr>
        <w:t>.</w:t>
      </w:r>
    </w:p>
    <w:p w:rsidR="00BA550B" w:rsidRPr="004C0441" w:rsidRDefault="00BA550B" w:rsidP="00BA550B">
      <w:pPr>
        <w:suppressAutoHyphens/>
        <w:rPr>
          <w:rFonts w:asciiTheme="majorBidi" w:hAnsiTheme="majorBidi" w:cstheme="majorBidi"/>
          <w:b/>
          <w:bCs/>
          <w:i/>
          <w:iCs/>
        </w:rPr>
      </w:pPr>
      <w:r w:rsidRPr="004C0441">
        <w:rPr>
          <w:rFonts w:asciiTheme="majorBidi" w:hAnsiTheme="majorBidi" w:cstheme="majorBidi"/>
          <w:b/>
          <w:bCs/>
          <w:i/>
          <w:iCs/>
        </w:rPr>
        <w:t xml:space="preserve">The internal/external security nexus continued to </w:t>
      </w:r>
      <w:r>
        <w:rPr>
          <w:rFonts w:asciiTheme="majorBidi" w:hAnsiTheme="majorBidi" w:cstheme="majorBidi"/>
          <w:b/>
          <w:bCs/>
          <w:i/>
          <w:iCs/>
        </w:rPr>
        <w:t>fall</w:t>
      </w:r>
      <w:r w:rsidRPr="004C0441">
        <w:rPr>
          <w:rFonts w:asciiTheme="majorBidi" w:hAnsiTheme="majorBidi" w:cstheme="majorBidi"/>
          <w:b/>
          <w:bCs/>
          <w:i/>
          <w:iCs/>
        </w:rPr>
        <w:t xml:space="preserve"> </w:t>
      </w:r>
      <w:r>
        <w:rPr>
          <w:rFonts w:asciiTheme="majorBidi" w:hAnsiTheme="majorBidi" w:cstheme="majorBidi"/>
          <w:b/>
          <w:bCs/>
          <w:i/>
          <w:iCs/>
        </w:rPr>
        <w:t>with</w:t>
      </w:r>
      <w:r w:rsidRPr="004C0441">
        <w:rPr>
          <w:rFonts w:asciiTheme="majorBidi" w:hAnsiTheme="majorBidi" w:cstheme="majorBidi"/>
          <w:b/>
          <w:bCs/>
          <w:i/>
          <w:iCs/>
        </w:rPr>
        <w:t xml:space="preserve">in the focus of COSI, which explored the possibility of strengthening and expanding the cooperation. COSI and PSC hold regular joint meetings every semester in this context. The establishment of the pilot project on a Crime Information Cell (CIC) within EUNAVFOR MED </w:t>
      </w:r>
      <w:r>
        <w:rPr>
          <w:rFonts w:asciiTheme="majorBidi" w:hAnsiTheme="majorBidi" w:cstheme="majorBidi"/>
          <w:b/>
          <w:bCs/>
          <w:i/>
          <w:iCs/>
        </w:rPr>
        <w:t>o</w:t>
      </w:r>
      <w:r w:rsidRPr="004C0441">
        <w:rPr>
          <w:rFonts w:asciiTheme="majorBidi" w:hAnsiTheme="majorBidi" w:cstheme="majorBidi"/>
          <w:b/>
          <w:bCs/>
          <w:i/>
          <w:iCs/>
        </w:rPr>
        <w:t>peration Sophia brought tangible progress in enhancing operational cooperation between the Common Security and Defence Policy (CSDP) and Justice and Home Affairs (JHA) actors. The CIC was activated on 5 July 2018.</w:t>
      </w:r>
    </w:p>
    <w:p w:rsidR="00BA550B" w:rsidRPr="004C0441" w:rsidRDefault="00BA550B" w:rsidP="00BA550B">
      <w:pPr>
        <w:suppressAutoHyphens/>
        <w:rPr>
          <w:rFonts w:asciiTheme="majorBidi" w:hAnsiTheme="majorBidi" w:cstheme="majorBidi"/>
          <w:b/>
          <w:bCs/>
          <w:i/>
          <w:iCs/>
        </w:rPr>
      </w:pPr>
      <w:r>
        <w:rPr>
          <w:rFonts w:asciiTheme="majorBidi" w:hAnsiTheme="majorBidi" w:cstheme="majorBidi"/>
          <w:b/>
          <w:bCs/>
          <w:i/>
          <w:iCs/>
        </w:rPr>
        <w:br w:type="page"/>
      </w:r>
      <w:r w:rsidRPr="004C0441">
        <w:rPr>
          <w:rFonts w:asciiTheme="majorBidi" w:hAnsiTheme="majorBidi" w:cstheme="majorBidi"/>
          <w:b/>
          <w:bCs/>
          <w:i/>
          <w:iCs/>
        </w:rPr>
        <w:t>A joint report by EUNAVFOR MED Operation Sophia, Europol and FRONTEX on the final results of the pilot project was presented at the COSI/PSC meeting in November 2018</w:t>
      </w:r>
      <w:r w:rsidRPr="004C0441">
        <w:rPr>
          <w:rStyle w:val="FootnoteReference"/>
          <w:rFonts w:asciiTheme="majorBidi" w:hAnsiTheme="majorBidi" w:cstheme="majorBidi"/>
          <w:bCs/>
          <w:i/>
          <w:iCs/>
        </w:rPr>
        <w:footnoteReference w:id="15"/>
      </w:r>
      <w:r w:rsidRPr="004C0441">
        <w:rPr>
          <w:rFonts w:asciiTheme="majorBidi" w:hAnsiTheme="majorBidi" w:cstheme="majorBidi"/>
          <w:b/>
          <w:bCs/>
          <w:i/>
          <w:iCs/>
        </w:rPr>
        <w:t>. Overall</w:t>
      </w:r>
      <w:r>
        <w:rPr>
          <w:rFonts w:asciiTheme="majorBidi" w:hAnsiTheme="majorBidi" w:cstheme="majorBidi"/>
          <w:b/>
          <w:bCs/>
          <w:i/>
          <w:iCs/>
        </w:rPr>
        <w:t>,</w:t>
      </w:r>
      <w:r w:rsidRPr="004C0441">
        <w:rPr>
          <w:rFonts w:asciiTheme="majorBidi" w:hAnsiTheme="majorBidi" w:cstheme="majorBidi"/>
          <w:b/>
          <w:bCs/>
          <w:i/>
          <w:iCs/>
        </w:rPr>
        <w:t xml:space="preserve"> the pilot was considered to be a step forward, benefiting all parties and improving mutual awareness of the respective roles and responsibilities of the actors involved, with MSs supporting the continuation of the project, subject to a formal decision by PSC. </w:t>
      </w:r>
    </w:p>
    <w:p w:rsidR="00BA550B" w:rsidRPr="004C0441" w:rsidRDefault="00BA550B" w:rsidP="00BA550B">
      <w:pPr>
        <w:suppressAutoHyphens/>
        <w:rPr>
          <w:rFonts w:asciiTheme="majorBidi" w:hAnsiTheme="majorBidi" w:cstheme="majorBidi"/>
          <w:b/>
          <w:bCs/>
          <w:i/>
          <w:iCs/>
        </w:rPr>
      </w:pPr>
      <w:r w:rsidRPr="004C0441">
        <w:rPr>
          <w:rFonts w:asciiTheme="majorBidi" w:hAnsiTheme="majorBidi" w:cstheme="majorBidi"/>
          <w:b/>
          <w:bCs/>
          <w:i/>
          <w:iCs/>
        </w:rPr>
        <w:t>On 23 November 2018, COSI and PSC also took note of the Civilian CSDP Compact, which was approved by FAC on 19 November 2018</w:t>
      </w:r>
      <w:r w:rsidRPr="004C0441">
        <w:rPr>
          <w:rStyle w:val="FootnoteReference"/>
          <w:rFonts w:asciiTheme="majorBidi" w:hAnsiTheme="majorBidi" w:cstheme="majorBidi"/>
          <w:bCs/>
          <w:i/>
          <w:iCs/>
        </w:rPr>
        <w:footnoteReference w:id="16"/>
      </w:r>
      <w:r w:rsidRPr="004C0441">
        <w:rPr>
          <w:rFonts w:asciiTheme="majorBidi" w:hAnsiTheme="majorBidi" w:cstheme="majorBidi"/>
          <w:b/>
          <w:bCs/>
          <w:i/>
          <w:iCs/>
        </w:rPr>
        <w:t>, given its wider relevance to both internal and external security actors. The importance of MS' support for the initiative, including the National Implementation Plans, and the involvement of JHA actors was highlighted.</w:t>
      </w:r>
    </w:p>
    <w:p w:rsidR="00BA550B" w:rsidRPr="004C0441" w:rsidRDefault="00BA550B" w:rsidP="00BA550B">
      <w:pPr>
        <w:suppressAutoHyphens/>
        <w:rPr>
          <w:rFonts w:asciiTheme="majorBidi" w:hAnsiTheme="majorBidi" w:cstheme="majorBidi"/>
          <w:b/>
          <w:bCs/>
          <w:i/>
          <w:iCs/>
        </w:rPr>
      </w:pPr>
      <w:r w:rsidRPr="004C0441">
        <w:rPr>
          <w:rFonts w:asciiTheme="majorBidi" w:hAnsiTheme="majorBidi" w:cstheme="majorBidi"/>
          <w:b/>
          <w:bCs/>
          <w:i/>
          <w:iCs/>
        </w:rPr>
        <w:t xml:space="preserve">Cooperation with </w:t>
      </w:r>
      <w:r>
        <w:rPr>
          <w:rFonts w:asciiTheme="majorBidi" w:hAnsiTheme="majorBidi" w:cstheme="majorBidi"/>
          <w:b/>
          <w:bCs/>
          <w:i/>
          <w:iCs/>
        </w:rPr>
        <w:t xml:space="preserve">the </w:t>
      </w:r>
      <w:r w:rsidRPr="004C0441">
        <w:rPr>
          <w:rFonts w:asciiTheme="majorBidi" w:hAnsiTheme="majorBidi" w:cstheme="majorBidi"/>
          <w:b/>
          <w:bCs/>
          <w:i/>
          <w:iCs/>
        </w:rPr>
        <w:t xml:space="preserve">Western Balkans and Ukraine in the area of internal security has also been </w:t>
      </w:r>
      <w:r>
        <w:rPr>
          <w:rFonts w:asciiTheme="majorBidi" w:hAnsiTheme="majorBidi" w:cstheme="majorBidi"/>
          <w:b/>
          <w:bCs/>
          <w:i/>
          <w:iCs/>
        </w:rPr>
        <w:t xml:space="preserve">a </w:t>
      </w:r>
      <w:r w:rsidRPr="004C0441">
        <w:rPr>
          <w:rFonts w:asciiTheme="majorBidi" w:hAnsiTheme="majorBidi" w:cstheme="majorBidi"/>
          <w:b/>
          <w:bCs/>
          <w:i/>
          <w:iCs/>
        </w:rPr>
        <w:t xml:space="preserve">prominent part </w:t>
      </w:r>
      <w:r>
        <w:rPr>
          <w:rFonts w:asciiTheme="majorBidi" w:hAnsiTheme="majorBidi" w:cstheme="majorBidi"/>
          <w:b/>
          <w:bCs/>
          <w:i/>
          <w:iCs/>
        </w:rPr>
        <w:t>of</w:t>
      </w:r>
      <w:r w:rsidRPr="004C0441">
        <w:rPr>
          <w:rFonts w:asciiTheme="majorBidi" w:hAnsiTheme="majorBidi" w:cstheme="majorBidi"/>
          <w:b/>
          <w:bCs/>
          <w:i/>
          <w:iCs/>
        </w:rPr>
        <w:t xml:space="preserve"> COSI activities</w:t>
      </w:r>
      <w:r>
        <w:rPr>
          <w:rFonts w:asciiTheme="majorBidi" w:hAnsiTheme="majorBidi" w:cstheme="majorBidi"/>
          <w:b/>
          <w:bCs/>
          <w:i/>
          <w:iCs/>
        </w:rPr>
        <w:t>,</w:t>
      </w:r>
      <w:r w:rsidRPr="004C0441">
        <w:rPr>
          <w:rFonts w:asciiTheme="majorBidi" w:hAnsiTheme="majorBidi" w:cstheme="majorBidi"/>
          <w:b/>
          <w:bCs/>
          <w:i/>
          <w:iCs/>
        </w:rPr>
        <w:t xml:space="preserve"> highlighting the </w:t>
      </w:r>
      <w:r>
        <w:rPr>
          <w:rFonts w:asciiTheme="majorBidi" w:hAnsiTheme="majorBidi" w:cstheme="majorBidi"/>
          <w:b/>
          <w:bCs/>
          <w:i/>
          <w:iCs/>
        </w:rPr>
        <w:t>need</w:t>
      </w:r>
      <w:r w:rsidRPr="004C0441">
        <w:rPr>
          <w:rFonts w:asciiTheme="majorBidi" w:hAnsiTheme="majorBidi" w:cstheme="majorBidi"/>
          <w:b/>
          <w:bCs/>
          <w:i/>
          <w:iCs/>
        </w:rPr>
        <w:t xml:space="preserve"> to step up efforts in this context. </w:t>
      </w:r>
      <w:bookmarkStart w:id="5" w:name="_Toc1655393"/>
    </w:p>
    <w:p w:rsidR="00BA550B" w:rsidRPr="004C0441" w:rsidRDefault="00BA550B" w:rsidP="003D33B0">
      <w:pPr>
        <w:pStyle w:val="Heading123"/>
        <w:numPr>
          <w:ilvl w:val="0"/>
          <w:numId w:val="24"/>
        </w:numPr>
      </w:pPr>
      <w:r w:rsidRPr="004C0441">
        <w:br w:type="page"/>
      </w:r>
      <w:bookmarkStart w:id="6" w:name="_Toc3188489"/>
      <w:r w:rsidRPr="004C0441">
        <w:t>Implementation of the renewed Internal Security Strategy</w:t>
      </w:r>
      <w:bookmarkEnd w:id="5"/>
      <w:bookmarkEnd w:id="6"/>
    </w:p>
    <w:p w:rsidR="00BA550B" w:rsidRPr="004C0441" w:rsidRDefault="00BA550B" w:rsidP="00BA550B">
      <w:pPr>
        <w:rPr>
          <w:rFonts w:asciiTheme="majorBidi" w:hAnsiTheme="majorBidi" w:cstheme="majorBidi"/>
        </w:rPr>
      </w:pPr>
      <w:r w:rsidRPr="004C0441">
        <w:rPr>
          <w:rFonts w:asciiTheme="majorBidi" w:hAnsiTheme="majorBidi" w:cstheme="majorBidi"/>
        </w:rPr>
        <w:t>A mid-term review of the renewed ISS was carried out under the EE Presidency</w:t>
      </w:r>
      <w:r w:rsidRPr="004C0441">
        <w:rPr>
          <w:rStyle w:val="FootnoteReference"/>
          <w:rFonts w:asciiTheme="majorBidi" w:hAnsiTheme="majorBidi" w:cstheme="majorBidi"/>
        </w:rPr>
        <w:footnoteReference w:id="17"/>
      </w:r>
      <w:r w:rsidRPr="004C0441">
        <w:rPr>
          <w:rFonts w:asciiTheme="majorBidi" w:hAnsiTheme="majorBidi" w:cstheme="majorBidi"/>
        </w:rPr>
        <w:t>. This review took into account the results of the Comprehensive Assessment of EU Security Policy</w:t>
      </w:r>
      <w:r w:rsidRPr="004C0441">
        <w:rPr>
          <w:rStyle w:val="FootnoteReference"/>
          <w:rFonts w:asciiTheme="majorBidi" w:hAnsiTheme="majorBidi" w:cstheme="majorBidi"/>
        </w:rPr>
        <w:footnoteReference w:id="18"/>
      </w:r>
      <w:r w:rsidRPr="004C0441">
        <w:rPr>
          <w:rFonts w:asciiTheme="majorBidi" w:hAnsiTheme="majorBidi" w:cstheme="majorBidi"/>
        </w:rPr>
        <w:t>, undertaken by the Commission. It confirmed the priority areas in the fight against terrorism, serious and organised crime and cybercrime, noted as priorities in the Council conclusions on the renewed European Union Internal Security Strategy 2015-2020</w:t>
      </w:r>
      <w:r w:rsidRPr="004C0441">
        <w:rPr>
          <w:rStyle w:val="FootnoteReference"/>
          <w:rFonts w:asciiTheme="majorBidi" w:hAnsiTheme="majorBidi" w:cstheme="majorBidi"/>
        </w:rPr>
        <w:footnoteReference w:id="19"/>
      </w:r>
      <w:r w:rsidRPr="004C0441">
        <w:rPr>
          <w:rFonts w:asciiTheme="majorBidi" w:hAnsiTheme="majorBidi" w:cstheme="majorBidi"/>
        </w:rPr>
        <w:t>.</w:t>
      </w:r>
    </w:p>
    <w:p w:rsidR="00BA550B" w:rsidRPr="004C0441" w:rsidRDefault="00BA550B" w:rsidP="00BA550B">
      <w:pPr>
        <w:rPr>
          <w:rFonts w:asciiTheme="majorBidi" w:hAnsiTheme="majorBidi" w:cstheme="majorBidi"/>
          <w:bCs/>
        </w:rPr>
      </w:pPr>
      <w:r w:rsidRPr="004C0441">
        <w:rPr>
          <w:rFonts w:asciiTheme="majorBidi" w:hAnsiTheme="majorBidi" w:cstheme="majorBidi"/>
        </w:rPr>
        <w:t xml:space="preserve">Pursuant to discussions under the Maltese and Estonian Presidencies and </w:t>
      </w:r>
      <w:r>
        <w:rPr>
          <w:rFonts w:asciiTheme="majorBidi" w:hAnsiTheme="majorBidi" w:cstheme="majorBidi"/>
        </w:rPr>
        <w:t xml:space="preserve">as a </w:t>
      </w:r>
      <w:r w:rsidRPr="004C0441">
        <w:rPr>
          <w:rFonts w:asciiTheme="majorBidi" w:hAnsiTheme="majorBidi" w:cstheme="majorBidi"/>
        </w:rPr>
        <w:t>result</w:t>
      </w:r>
      <w:r>
        <w:rPr>
          <w:rFonts w:asciiTheme="majorBidi" w:hAnsiTheme="majorBidi" w:cstheme="majorBidi"/>
        </w:rPr>
        <w:t xml:space="preserve"> of</w:t>
      </w:r>
      <w:r w:rsidRPr="004C0441">
        <w:rPr>
          <w:rFonts w:asciiTheme="majorBidi" w:hAnsiTheme="majorBidi" w:cstheme="majorBidi"/>
        </w:rPr>
        <w:t xml:space="preserve"> a mid-term review carried out by the EE Presidency of the implementation of the Internal Security Strategy (ISS)</w:t>
      </w:r>
      <w:r>
        <w:rPr>
          <w:rFonts w:asciiTheme="majorBidi" w:hAnsiTheme="majorBidi" w:cstheme="majorBidi"/>
        </w:rPr>
        <w:t>,</w:t>
      </w:r>
      <w:r w:rsidRPr="004C0441">
        <w:rPr>
          <w:rFonts w:asciiTheme="majorBidi" w:hAnsiTheme="majorBidi" w:cstheme="majorBidi"/>
        </w:rPr>
        <w:t xml:space="preserve"> there was a call from Member States for a more streamlined overview of the implementation of the ISS. The necessity for trio Presidency coordination regarding the implementation of the renewed EU ISS 2015–2020 was raised, so as to ensure a shared vision for COSI proceedings over an 18-month period</w:t>
      </w:r>
      <w:r w:rsidRPr="004C0441">
        <w:rPr>
          <w:rStyle w:val="FootnoteReference"/>
          <w:rFonts w:asciiTheme="majorBidi" w:hAnsiTheme="majorBidi" w:cstheme="majorBidi"/>
          <w:bCs/>
        </w:rPr>
        <w:footnoteReference w:id="20"/>
      </w:r>
      <w:r w:rsidRPr="004C0441">
        <w:rPr>
          <w:rFonts w:asciiTheme="majorBidi" w:hAnsiTheme="majorBidi" w:cstheme="majorBidi"/>
          <w:bCs/>
        </w:rPr>
        <w:t>.</w:t>
      </w:r>
    </w:p>
    <w:p w:rsidR="00BA550B" w:rsidRPr="004C0441" w:rsidRDefault="00BA550B" w:rsidP="00BA550B">
      <w:pPr>
        <w:rPr>
          <w:rFonts w:asciiTheme="majorBidi" w:hAnsiTheme="majorBidi" w:cstheme="majorBidi"/>
          <w:i/>
          <w:iCs/>
        </w:rPr>
      </w:pPr>
      <w:r w:rsidRPr="004C0441">
        <w:rPr>
          <w:rFonts w:asciiTheme="majorBidi" w:hAnsiTheme="majorBidi" w:cstheme="majorBidi"/>
        </w:rPr>
        <w:t>The Council conclusions of 12 October 2017 on the mid-term review of the Renewed Internal Security Strategy</w:t>
      </w:r>
      <w:r w:rsidRPr="004C0441">
        <w:rPr>
          <w:rFonts w:asciiTheme="majorBidi" w:hAnsiTheme="majorBidi" w:cstheme="majorBidi"/>
          <w:b/>
          <w:vertAlign w:val="superscript"/>
        </w:rPr>
        <w:footnoteReference w:id="21"/>
      </w:r>
      <w:r w:rsidRPr="004C0441">
        <w:rPr>
          <w:rFonts w:asciiTheme="majorBidi" w:hAnsiTheme="majorBidi" w:cstheme="majorBidi"/>
        </w:rPr>
        <w:t xml:space="preserve"> envisage that COSI should </w:t>
      </w:r>
      <w:r w:rsidRPr="006A766E">
        <w:rPr>
          <w:rFonts w:asciiTheme="majorBidi" w:hAnsiTheme="majorBidi" w:cstheme="majorBidi"/>
          <w:i/>
          <w:iCs/>
        </w:rPr>
        <w:t>'</w:t>
      </w:r>
      <w:r w:rsidRPr="004C0441">
        <w:rPr>
          <w:rFonts w:asciiTheme="majorBidi" w:hAnsiTheme="majorBidi" w:cstheme="majorBidi"/>
          <w:i/>
          <w:iCs/>
        </w:rPr>
        <w:t>monitor the joint Implementation Paper of the outgoing and incoming Presidencies, with a structure based on priorities, on the planning and implementation of the renewed EU Internal Security Strategy.</w:t>
      </w:r>
      <w:r>
        <w:rPr>
          <w:rFonts w:asciiTheme="majorBidi" w:hAnsiTheme="majorBidi" w:cstheme="majorBidi"/>
          <w:i/>
          <w:iCs/>
        </w:rPr>
        <w:t>'</w:t>
      </w:r>
    </w:p>
    <w:p w:rsidR="00BA550B" w:rsidRPr="004C0441" w:rsidRDefault="00BA550B" w:rsidP="00BA550B">
      <w:pPr>
        <w:rPr>
          <w:rFonts w:asciiTheme="majorBidi" w:hAnsiTheme="majorBidi" w:cstheme="majorBidi"/>
        </w:rPr>
      </w:pPr>
      <w:r>
        <w:rPr>
          <w:rFonts w:asciiTheme="majorBidi" w:hAnsiTheme="majorBidi" w:cstheme="majorBidi"/>
        </w:rPr>
        <w:br w:type="page"/>
      </w:r>
      <w:r w:rsidRPr="004C0441">
        <w:rPr>
          <w:rFonts w:asciiTheme="majorBidi" w:hAnsiTheme="majorBidi" w:cstheme="majorBidi"/>
        </w:rPr>
        <w:t>Pursuant to the Council conclusions</w:t>
      </w:r>
      <w:r>
        <w:rPr>
          <w:rFonts w:asciiTheme="majorBidi" w:hAnsiTheme="majorBidi" w:cstheme="majorBidi"/>
        </w:rPr>
        <w:t>,</w:t>
      </w:r>
      <w:r w:rsidRPr="004C0441">
        <w:rPr>
          <w:rFonts w:asciiTheme="majorBidi" w:hAnsiTheme="majorBidi" w:cstheme="majorBidi"/>
        </w:rPr>
        <w:t xml:space="preserve"> the Bulgarian (BG) </w:t>
      </w:r>
      <w:r>
        <w:rPr>
          <w:rFonts w:asciiTheme="majorBidi" w:hAnsiTheme="majorBidi" w:cstheme="majorBidi"/>
        </w:rPr>
        <w:t xml:space="preserve">Presidency </w:t>
      </w:r>
      <w:r w:rsidRPr="004C0441">
        <w:rPr>
          <w:rFonts w:asciiTheme="majorBidi" w:hAnsiTheme="majorBidi" w:cstheme="majorBidi"/>
        </w:rPr>
        <w:t>put forward a new structure of the duo Presidency paper</w:t>
      </w:r>
      <w:r>
        <w:rPr>
          <w:rFonts w:asciiTheme="majorBidi" w:hAnsiTheme="majorBidi" w:cstheme="majorBidi"/>
        </w:rPr>
        <w:t xml:space="preserve">, </w:t>
      </w:r>
      <w:r w:rsidRPr="004C0441">
        <w:rPr>
          <w:rFonts w:asciiTheme="majorBidi" w:hAnsiTheme="majorBidi" w:cstheme="majorBidi"/>
        </w:rPr>
        <w:t>consisting of two parts</w:t>
      </w:r>
      <w:r w:rsidRPr="004C0441">
        <w:rPr>
          <w:rStyle w:val="FootnoteReference"/>
          <w:rFonts w:asciiTheme="majorBidi" w:hAnsiTheme="majorBidi" w:cstheme="majorBidi"/>
        </w:rPr>
        <w:footnoteReference w:id="22"/>
      </w:r>
      <w:r w:rsidRPr="004C0441">
        <w:rPr>
          <w:rFonts w:asciiTheme="majorBidi" w:hAnsiTheme="majorBidi" w:cstheme="majorBidi"/>
        </w:rPr>
        <w:t>:</w:t>
      </w:r>
    </w:p>
    <w:p w:rsidR="00BA550B" w:rsidRPr="004C0441" w:rsidRDefault="00BA550B" w:rsidP="003D33B0">
      <w:pPr>
        <w:pStyle w:val="Bullet"/>
        <w:numPr>
          <w:ilvl w:val="0"/>
          <w:numId w:val="22"/>
        </w:numPr>
        <w:rPr>
          <w:rFonts w:asciiTheme="majorBidi" w:hAnsiTheme="majorBidi" w:cstheme="majorBidi"/>
        </w:rPr>
      </w:pPr>
      <w:r w:rsidRPr="004C0441">
        <w:rPr>
          <w:rFonts w:asciiTheme="majorBidi" w:hAnsiTheme="majorBidi" w:cstheme="majorBidi"/>
          <w:b/>
          <w:bCs/>
        </w:rPr>
        <w:t>A general report</w:t>
      </w:r>
      <w:r w:rsidRPr="004C0441">
        <w:rPr>
          <w:rFonts w:asciiTheme="majorBidi" w:hAnsiTheme="majorBidi" w:cstheme="majorBidi"/>
        </w:rPr>
        <w:t xml:space="preserve"> providing an overview of the progress achieved during the reporting period in the main priorities of the renewed ISS and a number of cross-cutting priority areas, while focusing on the main achievements and setting out the follow</w:t>
      </w:r>
      <w:r>
        <w:rPr>
          <w:rFonts w:asciiTheme="majorBidi" w:hAnsiTheme="majorBidi" w:cstheme="majorBidi"/>
        </w:rPr>
        <w:t>-</w:t>
      </w:r>
      <w:r w:rsidRPr="004C0441">
        <w:rPr>
          <w:rFonts w:asciiTheme="majorBidi" w:hAnsiTheme="majorBidi" w:cstheme="majorBidi"/>
        </w:rPr>
        <w:t>up envisaged by the current Presidency, as relevant.</w:t>
      </w:r>
    </w:p>
    <w:p w:rsidR="00BA550B" w:rsidRPr="004C0441" w:rsidRDefault="00BA550B" w:rsidP="003D33B0">
      <w:pPr>
        <w:pStyle w:val="Bullet"/>
        <w:numPr>
          <w:ilvl w:val="0"/>
          <w:numId w:val="22"/>
        </w:numPr>
        <w:rPr>
          <w:rFonts w:asciiTheme="majorBidi" w:hAnsiTheme="majorBidi" w:cstheme="majorBidi"/>
          <w:b/>
          <w:bCs/>
        </w:rPr>
      </w:pPr>
      <w:r w:rsidRPr="004C0441">
        <w:rPr>
          <w:rFonts w:asciiTheme="majorBidi" w:hAnsiTheme="majorBidi" w:cstheme="majorBidi"/>
          <w:b/>
          <w:bCs/>
        </w:rPr>
        <w:t>Technical follow-up on specific measures</w:t>
      </w:r>
    </w:p>
    <w:p w:rsidR="00BA550B" w:rsidRPr="004C0441" w:rsidRDefault="00BA550B" w:rsidP="00BA550B">
      <w:pPr>
        <w:pStyle w:val="Bullet"/>
        <w:numPr>
          <w:ilvl w:val="0"/>
          <w:numId w:val="0"/>
        </w:numPr>
        <w:ind w:left="567" w:hanging="567"/>
        <w:rPr>
          <w:rFonts w:asciiTheme="majorBidi" w:hAnsiTheme="majorBidi" w:cstheme="majorBidi"/>
        </w:rPr>
      </w:pPr>
      <w:r w:rsidRPr="004C0441">
        <w:rPr>
          <w:rFonts w:asciiTheme="majorBidi" w:hAnsiTheme="majorBidi" w:cstheme="majorBidi"/>
        </w:rPr>
        <w:t xml:space="preserve">COSI regularly monitors the implementation of the renewed ISS on that basis. </w:t>
      </w:r>
    </w:p>
    <w:p w:rsidR="00BA550B" w:rsidRPr="004C0441" w:rsidRDefault="00BA550B" w:rsidP="003D33B0">
      <w:pPr>
        <w:pStyle w:val="Heading123"/>
        <w:numPr>
          <w:ilvl w:val="0"/>
          <w:numId w:val="24"/>
        </w:numPr>
      </w:pPr>
      <w:bookmarkStart w:id="7" w:name="_Toc1655396"/>
      <w:bookmarkStart w:id="8" w:name="_Toc3188490"/>
      <w:r w:rsidRPr="004C0441">
        <w:t>Counter Terrorism</w:t>
      </w:r>
      <w:bookmarkEnd w:id="7"/>
      <w:bookmarkEnd w:id="8"/>
    </w:p>
    <w:p w:rsidR="00BA550B" w:rsidRPr="004C0441" w:rsidRDefault="00BA550B" w:rsidP="00BA550B">
      <w:pPr>
        <w:pStyle w:val="Heading2"/>
        <w:spacing w:before="120" w:after="120"/>
        <w:rPr>
          <w:rFonts w:asciiTheme="majorBidi" w:eastAsia="Times New Roman" w:hAnsiTheme="majorBidi"/>
          <w:b/>
          <w:bCs/>
          <w:color w:val="auto"/>
          <w:sz w:val="24"/>
          <w:szCs w:val="24"/>
          <w:lang w:val="en-GB"/>
        </w:rPr>
      </w:pPr>
      <w:bookmarkStart w:id="9" w:name="_Toc1655397"/>
      <w:bookmarkStart w:id="10" w:name="_Toc1673345"/>
      <w:bookmarkStart w:id="11" w:name="_Toc3188491"/>
      <w:r w:rsidRPr="004C0441">
        <w:rPr>
          <w:rFonts w:asciiTheme="majorBidi" w:eastAsia="Times New Roman" w:hAnsiTheme="majorBidi"/>
          <w:b/>
          <w:bCs/>
          <w:color w:val="auto"/>
          <w:sz w:val="24"/>
          <w:szCs w:val="24"/>
          <w:lang w:val="en-GB"/>
        </w:rPr>
        <w:t>3.1.</w:t>
      </w:r>
      <w:r w:rsidRPr="004C0441">
        <w:rPr>
          <w:rFonts w:asciiTheme="majorBidi" w:eastAsia="Times New Roman" w:hAnsiTheme="majorBidi"/>
          <w:b/>
          <w:bCs/>
          <w:color w:val="auto"/>
          <w:sz w:val="24"/>
          <w:szCs w:val="24"/>
          <w:lang w:val="en-GB"/>
        </w:rPr>
        <w:tab/>
        <w:t>EU Threat Assessment</w:t>
      </w:r>
      <w:bookmarkEnd w:id="9"/>
      <w:bookmarkEnd w:id="10"/>
      <w:bookmarkEnd w:id="11"/>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The years 2017 and 2018 witnessed a decline in the number and impact of terrorist attacks, but Counter Terrorism (CT) remains a top priority on the COSI agenda, requiring </w:t>
      </w:r>
      <w:r>
        <w:rPr>
          <w:rFonts w:asciiTheme="majorBidi" w:hAnsiTheme="majorBidi" w:cstheme="majorBidi"/>
        </w:rPr>
        <w:t>a</w:t>
      </w:r>
      <w:r w:rsidRPr="004C0441">
        <w:rPr>
          <w:rFonts w:asciiTheme="majorBidi" w:hAnsiTheme="majorBidi" w:cstheme="majorBidi"/>
        </w:rPr>
        <w:t xml:space="preserve"> multidisciplinary approach to tackle this threat to the security of the EU.</w:t>
      </w:r>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COSI endorsed the way forward of the </w:t>
      </w:r>
      <w:r w:rsidRPr="004C0441">
        <w:rPr>
          <w:rFonts w:asciiTheme="majorBidi" w:hAnsiTheme="majorBidi" w:cstheme="majorBidi"/>
          <w:b/>
          <w:bCs/>
        </w:rPr>
        <w:t>EU threat assessment</w:t>
      </w:r>
      <w:r w:rsidRPr="004C0441">
        <w:rPr>
          <w:rFonts w:asciiTheme="majorBidi" w:hAnsiTheme="majorBidi" w:cstheme="majorBidi"/>
        </w:rPr>
        <w:t xml:space="preserve"> in the field of counter-terrorism</w:t>
      </w:r>
      <w:r w:rsidRPr="004C0441">
        <w:rPr>
          <w:rStyle w:val="FootnoteReference"/>
          <w:rFonts w:asciiTheme="majorBidi" w:hAnsiTheme="majorBidi" w:cstheme="majorBidi"/>
        </w:rPr>
        <w:footnoteReference w:id="23"/>
      </w:r>
      <w:r w:rsidRPr="004C0441">
        <w:rPr>
          <w:rFonts w:asciiTheme="majorBidi" w:hAnsiTheme="majorBidi" w:cstheme="majorBidi"/>
        </w:rPr>
        <w:t>, following discussions at TWP. Since the exercise started in 2016, every six months a set of conclusions and policy recommendations has been prepared on the basis of Europol</w:t>
      </w:r>
      <w:r>
        <w:rPr>
          <w:rFonts w:asciiTheme="majorBidi" w:hAnsiTheme="majorBidi" w:cstheme="majorBidi"/>
        </w:rPr>
        <w:t>'</w:t>
      </w:r>
      <w:r w:rsidRPr="004C0441">
        <w:rPr>
          <w:rFonts w:asciiTheme="majorBidi" w:hAnsiTheme="majorBidi" w:cstheme="majorBidi"/>
        </w:rPr>
        <w:t>s reports and INTCEN</w:t>
      </w:r>
      <w:r>
        <w:rPr>
          <w:rFonts w:asciiTheme="majorBidi" w:hAnsiTheme="majorBidi" w:cstheme="majorBidi"/>
        </w:rPr>
        <w:t>'</w:t>
      </w:r>
      <w:r w:rsidRPr="004C0441">
        <w:rPr>
          <w:rFonts w:asciiTheme="majorBidi" w:hAnsiTheme="majorBidi" w:cstheme="majorBidi"/>
        </w:rPr>
        <w:t>s assessments. In 2017, it was specified that recommendations should only be amended</w:t>
      </w:r>
      <w:r>
        <w:rPr>
          <w:rFonts w:asciiTheme="majorBidi" w:hAnsiTheme="majorBidi" w:cstheme="majorBidi"/>
        </w:rPr>
        <w:t xml:space="preserve"> or </w:t>
      </w:r>
      <w:r w:rsidRPr="004C0441">
        <w:rPr>
          <w:rFonts w:asciiTheme="majorBidi" w:hAnsiTheme="majorBidi" w:cstheme="majorBidi"/>
        </w:rPr>
        <w:t xml:space="preserve">drawn up </w:t>
      </w:r>
      <w:r>
        <w:rPr>
          <w:rFonts w:asciiTheme="majorBidi" w:hAnsiTheme="majorBidi" w:cstheme="majorBidi"/>
        </w:rPr>
        <w:t>if</w:t>
      </w:r>
      <w:r w:rsidRPr="004C0441">
        <w:rPr>
          <w:rFonts w:asciiTheme="majorBidi" w:hAnsiTheme="majorBidi" w:cstheme="majorBidi"/>
        </w:rPr>
        <w:t xml:space="preserve"> the threat picture has changed or </w:t>
      </w:r>
      <w:r>
        <w:rPr>
          <w:rFonts w:asciiTheme="majorBidi" w:hAnsiTheme="majorBidi" w:cstheme="majorBidi"/>
        </w:rPr>
        <w:t>requires</w:t>
      </w:r>
      <w:r w:rsidRPr="004C0441">
        <w:rPr>
          <w:rFonts w:asciiTheme="majorBidi" w:hAnsiTheme="majorBidi" w:cstheme="majorBidi"/>
        </w:rPr>
        <w:t xml:space="preserve"> adjustment</w:t>
      </w:r>
      <w:r w:rsidRPr="004C0441">
        <w:rPr>
          <w:rStyle w:val="FootnoteReference"/>
          <w:rFonts w:asciiTheme="majorBidi" w:hAnsiTheme="majorBidi" w:cstheme="majorBidi"/>
        </w:rPr>
        <w:footnoteReference w:id="24"/>
      </w:r>
      <w:r w:rsidRPr="004C0441">
        <w:rPr>
          <w:rFonts w:asciiTheme="majorBidi" w:hAnsiTheme="majorBidi" w:cstheme="majorBidi"/>
        </w:rPr>
        <w:t>. Furthermore, COSI received regular presentations from INTCEN and EUROPOL on specific aspects related to the terrorist threat, including the presentation of TE-SAT 2018</w:t>
      </w:r>
      <w:r w:rsidRPr="004C0441">
        <w:rPr>
          <w:rStyle w:val="FootnoteReference"/>
          <w:rFonts w:asciiTheme="majorBidi" w:hAnsiTheme="majorBidi" w:cstheme="majorBidi"/>
        </w:rPr>
        <w:footnoteReference w:id="25"/>
      </w:r>
      <w:r w:rsidRPr="004C0441">
        <w:rPr>
          <w:rFonts w:asciiTheme="majorBidi" w:hAnsiTheme="majorBidi" w:cstheme="majorBidi"/>
        </w:rPr>
        <w:t>. The Counter Terrorism Group (CTG) has provided updates about the current cooperation on CT on enhancing information exchange and cooperation between competent authorities and with Europol.</w:t>
      </w:r>
    </w:p>
    <w:p w:rsidR="00BA550B" w:rsidRPr="004C0441" w:rsidRDefault="00BA550B" w:rsidP="00BA550B">
      <w:pPr>
        <w:pStyle w:val="Heading2"/>
        <w:spacing w:before="120" w:after="120"/>
        <w:rPr>
          <w:rFonts w:asciiTheme="majorBidi" w:eastAsia="Times New Roman" w:hAnsiTheme="majorBidi"/>
          <w:b/>
          <w:bCs/>
          <w:color w:val="auto"/>
          <w:sz w:val="24"/>
          <w:szCs w:val="24"/>
          <w:lang w:val="en-GB"/>
        </w:rPr>
      </w:pPr>
      <w:bookmarkStart w:id="12" w:name="_Toc1655398"/>
      <w:bookmarkStart w:id="13" w:name="_Toc1673346"/>
      <w:r w:rsidRPr="004C0441">
        <w:rPr>
          <w:rFonts w:asciiTheme="majorBidi" w:eastAsia="Times New Roman" w:hAnsiTheme="majorBidi"/>
          <w:b/>
          <w:bCs/>
          <w:color w:val="auto"/>
          <w:sz w:val="24"/>
          <w:szCs w:val="24"/>
          <w:lang w:val="en-GB"/>
        </w:rPr>
        <w:br w:type="page"/>
      </w:r>
      <w:bookmarkStart w:id="14" w:name="_Toc3188492"/>
      <w:r w:rsidRPr="004C0441">
        <w:rPr>
          <w:rFonts w:asciiTheme="majorBidi" w:eastAsia="Times New Roman" w:hAnsiTheme="majorBidi"/>
          <w:b/>
          <w:bCs/>
          <w:color w:val="auto"/>
          <w:sz w:val="24"/>
          <w:szCs w:val="24"/>
          <w:lang w:val="en-GB"/>
        </w:rPr>
        <w:t>3.2.</w:t>
      </w:r>
      <w:r w:rsidRPr="004C0441">
        <w:rPr>
          <w:rFonts w:asciiTheme="majorBidi" w:eastAsia="Times New Roman" w:hAnsiTheme="majorBidi"/>
          <w:b/>
          <w:bCs/>
          <w:color w:val="auto"/>
          <w:sz w:val="24"/>
          <w:szCs w:val="24"/>
          <w:lang w:val="en-GB"/>
        </w:rPr>
        <w:tab/>
        <w:t>JHA Agencies</w:t>
      </w:r>
      <w:bookmarkEnd w:id="12"/>
      <w:bookmarkEnd w:id="13"/>
      <w:bookmarkEnd w:id="14"/>
    </w:p>
    <w:p w:rsidR="00BA550B" w:rsidRPr="004C0441" w:rsidRDefault="00BA550B" w:rsidP="00BA550B">
      <w:pPr>
        <w:rPr>
          <w:rFonts w:asciiTheme="majorBidi" w:hAnsiTheme="majorBidi" w:cstheme="majorBidi"/>
        </w:rPr>
      </w:pPr>
      <w:r w:rsidRPr="004C0441">
        <w:rPr>
          <w:rFonts w:asciiTheme="majorBidi" w:hAnsiTheme="majorBidi" w:cstheme="majorBidi"/>
          <w:b/>
          <w:bCs/>
        </w:rPr>
        <w:t xml:space="preserve">JHA </w:t>
      </w:r>
      <w:r>
        <w:rPr>
          <w:rFonts w:asciiTheme="majorBidi" w:hAnsiTheme="majorBidi" w:cstheme="majorBidi"/>
          <w:b/>
          <w:bCs/>
        </w:rPr>
        <w:t>a</w:t>
      </w:r>
      <w:r w:rsidRPr="004C0441">
        <w:rPr>
          <w:rFonts w:asciiTheme="majorBidi" w:hAnsiTheme="majorBidi" w:cstheme="majorBidi"/>
          <w:b/>
          <w:bCs/>
        </w:rPr>
        <w:t>gencies' role in counter-terrorism</w:t>
      </w:r>
      <w:r>
        <w:rPr>
          <w:rFonts w:asciiTheme="majorBidi" w:hAnsiTheme="majorBidi" w:cstheme="majorBidi"/>
          <w:b/>
          <w:bCs/>
        </w:rPr>
        <w:t xml:space="preserve"> </w:t>
      </w:r>
      <w:r w:rsidRPr="004C0441">
        <w:rPr>
          <w:rFonts w:asciiTheme="majorBidi" w:hAnsiTheme="majorBidi" w:cstheme="majorBidi"/>
          <w:b/>
          <w:bCs/>
        </w:rPr>
        <w:t>is increasing</w:t>
      </w:r>
      <w:r w:rsidRPr="004C0441">
        <w:rPr>
          <w:rFonts w:asciiTheme="majorBidi" w:hAnsiTheme="majorBidi" w:cstheme="majorBidi"/>
        </w:rPr>
        <w:t>. The mandates of the agencies (notably Europol, Eurojust, F</w:t>
      </w:r>
      <w:r>
        <w:rPr>
          <w:rFonts w:asciiTheme="majorBidi" w:hAnsiTheme="majorBidi" w:cstheme="majorBidi"/>
        </w:rPr>
        <w:t>RONTEX</w:t>
      </w:r>
      <w:r w:rsidRPr="004C0441">
        <w:rPr>
          <w:rFonts w:asciiTheme="majorBidi" w:hAnsiTheme="majorBidi" w:cstheme="majorBidi"/>
        </w:rPr>
        <w:t>/EBCGA, CEPOL and eu-LISA) have been strengthened during recent years. Today they are much more involved in supporting the CT efforts of the Member States. On the basis of a paper from the EU CTC</w:t>
      </w:r>
      <w:r w:rsidRPr="004C0441">
        <w:rPr>
          <w:rStyle w:val="FootnoteReference"/>
          <w:rFonts w:asciiTheme="majorBidi" w:hAnsiTheme="majorBidi" w:cstheme="majorBidi"/>
        </w:rPr>
        <w:footnoteReference w:id="26"/>
      </w:r>
      <w:r w:rsidRPr="004C0441">
        <w:rPr>
          <w:rFonts w:asciiTheme="majorBidi" w:hAnsiTheme="majorBidi" w:cstheme="majorBidi"/>
        </w:rPr>
        <w:t>, COSI discussed possible ways of enhancing the cooperation and coordination of the work of the agencies.</w:t>
      </w:r>
    </w:p>
    <w:p w:rsidR="00BA550B" w:rsidRPr="004C0441" w:rsidRDefault="00BA550B" w:rsidP="00BA550B">
      <w:pPr>
        <w:pStyle w:val="Heading2"/>
        <w:spacing w:before="240" w:after="120"/>
        <w:rPr>
          <w:rFonts w:asciiTheme="majorBidi" w:eastAsia="Times New Roman" w:hAnsiTheme="majorBidi"/>
          <w:b/>
          <w:bCs/>
          <w:color w:val="auto"/>
          <w:sz w:val="24"/>
          <w:szCs w:val="24"/>
          <w:lang w:val="en-GB"/>
        </w:rPr>
      </w:pPr>
      <w:bookmarkStart w:id="15" w:name="_Toc1655399"/>
      <w:bookmarkStart w:id="16" w:name="_Toc1673347"/>
      <w:bookmarkStart w:id="17" w:name="_Toc3188493"/>
      <w:r w:rsidRPr="004C0441">
        <w:rPr>
          <w:rFonts w:asciiTheme="majorBidi" w:eastAsia="Times New Roman" w:hAnsiTheme="majorBidi"/>
          <w:b/>
          <w:bCs/>
          <w:color w:val="auto"/>
          <w:sz w:val="24"/>
          <w:szCs w:val="24"/>
          <w:lang w:val="en-GB"/>
        </w:rPr>
        <w:t>3.3.</w:t>
      </w:r>
      <w:r w:rsidRPr="004C0441">
        <w:rPr>
          <w:rFonts w:asciiTheme="majorBidi" w:eastAsia="Times New Roman" w:hAnsiTheme="majorBidi"/>
          <w:b/>
          <w:bCs/>
          <w:color w:val="auto"/>
          <w:sz w:val="24"/>
          <w:szCs w:val="24"/>
          <w:lang w:val="en-GB"/>
        </w:rPr>
        <w:tab/>
        <w:t>High-Level Commission Expert Group on Radicalisation</w:t>
      </w:r>
      <w:bookmarkEnd w:id="15"/>
      <w:bookmarkEnd w:id="16"/>
      <w:bookmarkEnd w:id="17"/>
    </w:p>
    <w:p w:rsidR="00BA550B" w:rsidRPr="004C0441" w:rsidRDefault="00BA550B" w:rsidP="00BA550B">
      <w:pPr>
        <w:rPr>
          <w:rFonts w:asciiTheme="majorBidi" w:hAnsiTheme="majorBidi" w:cstheme="majorBidi"/>
        </w:rPr>
      </w:pPr>
      <w:r w:rsidRPr="004C0441">
        <w:rPr>
          <w:rFonts w:asciiTheme="majorBidi" w:hAnsiTheme="majorBidi" w:cstheme="majorBidi"/>
        </w:rPr>
        <w:t>The European Council conclusions of 22-23 June 2017</w:t>
      </w:r>
      <w:r w:rsidRPr="004C0441">
        <w:rPr>
          <w:rStyle w:val="FootnoteReference"/>
          <w:rFonts w:asciiTheme="majorBidi" w:hAnsiTheme="majorBidi" w:cstheme="majorBidi"/>
        </w:rPr>
        <w:footnoteReference w:id="27"/>
      </w:r>
      <w:r w:rsidRPr="004C0441">
        <w:rPr>
          <w:rFonts w:asciiTheme="majorBidi" w:hAnsiTheme="majorBidi" w:cstheme="majorBidi"/>
        </w:rPr>
        <w:t xml:space="preserve"> highlighted the need to accelerate the collective efforts to share knowledge on foreign terrorist fighters as well as home-grown radicalised individuals and take forward policy and legal measures to manage the terrorist threat. This consequently led to the establishment of the </w:t>
      </w:r>
      <w:r w:rsidRPr="004C0441">
        <w:rPr>
          <w:rFonts w:asciiTheme="majorBidi" w:hAnsiTheme="majorBidi" w:cstheme="majorBidi"/>
          <w:b/>
          <w:bCs/>
        </w:rPr>
        <w:t>High-Level Commission Expert Group on Radicalisation</w:t>
      </w:r>
      <w:r w:rsidRPr="004C0441">
        <w:rPr>
          <w:rFonts w:asciiTheme="majorBidi" w:hAnsiTheme="majorBidi" w:cstheme="majorBidi"/>
        </w:rPr>
        <w:t xml:space="preserve"> (HLCEG-R) in July 2017</w:t>
      </w:r>
      <w:r w:rsidRPr="004C0441">
        <w:rPr>
          <w:rStyle w:val="FootnoteReference"/>
          <w:rFonts w:asciiTheme="majorBidi" w:hAnsiTheme="majorBidi" w:cstheme="majorBidi"/>
        </w:rPr>
        <w:footnoteReference w:id="28"/>
      </w:r>
      <w:r w:rsidRPr="004C0441">
        <w:rPr>
          <w:rFonts w:asciiTheme="majorBidi" w:hAnsiTheme="majorBidi" w:cstheme="majorBidi"/>
        </w:rPr>
        <w:t>. The Standing Committee followed the work of the HLCEG-R</w:t>
      </w:r>
      <w:r>
        <w:rPr>
          <w:rFonts w:asciiTheme="majorBidi" w:hAnsiTheme="majorBidi" w:cstheme="majorBidi"/>
        </w:rPr>
        <w:t>,</w:t>
      </w:r>
      <w:r w:rsidRPr="004C0441">
        <w:rPr>
          <w:rFonts w:asciiTheme="majorBidi" w:hAnsiTheme="majorBidi" w:cstheme="majorBidi"/>
        </w:rPr>
        <w:t xml:space="preserve"> which met for the first time in September 2017. COSI exchanged views</w:t>
      </w:r>
      <w:r w:rsidRPr="004C0441">
        <w:rPr>
          <w:rStyle w:val="FootnoteReference"/>
          <w:rFonts w:asciiTheme="majorBidi" w:hAnsiTheme="majorBidi" w:cstheme="majorBidi"/>
        </w:rPr>
        <w:footnoteReference w:id="29"/>
      </w:r>
      <w:r w:rsidRPr="004C0441">
        <w:rPr>
          <w:rFonts w:asciiTheme="majorBidi" w:hAnsiTheme="majorBidi" w:cstheme="majorBidi"/>
        </w:rPr>
        <w:t xml:space="preserve"> on the final report of the HLCEG-R in June 2018, which was considered a good basis for further work, including the structures and the new working methods suggested (peer reviews and enhanced study visits). The actions decided as priorities are part of a comprehensive approach on preventing radicalisation including manifestations of right-wing/left-wing extremism. </w:t>
      </w:r>
    </w:p>
    <w:p w:rsidR="00BA550B" w:rsidRPr="004C0441" w:rsidRDefault="00BA550B" w:rsidP="00BA550B">
      <w:pPr>
        <w:rPr>
          <w:rFonts w:asciiTheme="majorBidi" w:hAnsiTheme="majorBidi" w:cstheme="majorBidi"/>
        </w:rPr>
      </w:pPr>
      <w:r w:rsidRPr="004C0441">
        <w:rPr>
          <w:rFonts w:asciiTheme="majorBidi" w:hAnsiTheme="majorBidi" w:cstheme="majorBidi"/>
        </w:rPr>
        <w:t>In the framework of COSI and TWP, Member States also receive regular updates on the EU Internet Forum, the Radicalisation Awareness Network (RAN) Centre of Excellence and the European Strategic Communications Network (ESCN).</w:t>
      </w:r>
    </w:p>
    <w:p w:rsidR="00BA550B" w:rsidRPr="004B1E9A" w:rsidRDefault="00BA550B" w:rsidP="00BA550B">
      <w:pPr>
        <w:rPr>
          <w:rFonts w:asciiTheme="majorBidi" w:hAnsiTheme="majorBidi" w:cstheme="majorBidi"/>
          <w:sz w:val="2"/>
          <w:szCs w:val="2"/>
        </w:rPr>
      </w:pPr>
      <w:r w:rsidRPr="004C0441">
        <w:rPr>
          <w:rFonts w:asciiTheme="majorBidi" w:hAnsiTheme="majorBidi" w:cstheme="majorBidi"/>
        </w:rPr>
        <w:br w:type="page"/>
      </w:r>
    </w:p>
    <w:p w:rsidR="00BA550B" w:rsidRPr="004B1E9A" w:rsidRDefault="00BA550B" w:rsidP="00BA550B">
      <w:pPr>
        <w:pStyle w:val="Heading2"/>
        <w:spacing w:before="120" w:after="120"/>
        <w:rPr>
          <w:rFonts w:asciiTheme="majorBidi" w:eastAsia="Times New Roman" w:hAnsiTheme="majorBidi"/>
          <w:color w:val="auto"/>
          <w:szCs w:val="24"/>
          <w:lang w:val="en-GB"/>
        </w:rPr>
      </w:pPr>
      <w:bookmarkStart w:id="18" w:name="_Toc3188494"/>
      <w:r w:rsidRPr="004C0441">
        <w:rPr>
          <w:rFonts w:asciiTheme="majorBidi" w:eastAsia="Times New Roman" w:hAnsiTheme="majorBidi"/>
          <w:b/>
          <w:bCs/>
          <w:color w:val="auto"/>
          <w:sz w:val="24"/>
          <w:szCs w:val="24"/>
          <w:lang w:val="en-GB"/>
        </w:rPr>
        <w:t>3.4.</w:t>
      </w:r>
      <w:r w:rsidRPr="004C0441">
        <w:rPr>
          <w:rFonts w:asciiTheme="majorBidi" w:eastAsia="Times New Roman" w:hAnsiTheme="majorBidi"/>
          <w:b/>
          <w:bCs/>
          <w:color w:val="auto"/>
          <w:sz w:val="24"/>
          <w:szCs w:val="24"/>
          <w:lang w:val="en-GB"/>
        </w:rPr>
        <w:tab/>
        <w:t xml:space="preserve">Foreign terrorist fighters and </w:t>
      </w:r>
      <w:r w:rsidRPr="004B1E9A">
        <w:rPr>
          <w:rFonts w:asciiTheme="majorBidi" w:eastAsia="Times New Roman" w:hAnsiTheme="majorBidi"/>
          <w:b/>
          <w:bCs/>
          <w:color w:val="auto"/>
          <w:sz w:val="24"/>
          <w:szCs w:val="24"/>
          <w:lang w:val="en-GB"/>
        </w:rPr>
        <w:t>returnees</w:t>
      </w:r>
      <w:bookmarkEnd w:id="18"/>
    </w:p>
    <w:p w:rsidR="00BA550B" w:rsidRPr="004C0441" w:rsidRDefault="00BA550B" w:rsidP="00BA550B">
      <w:pPr>
        <w:rPr>
          <w:rFonts w:asciiTheme="majorBidi" w:hAnsiTheme="majorBidi" w:cstheme="majorBidi"/>
        </w:rPr>
      </w:pPr>
      <w:r w:rsidRPr="004B1E9A">
        <w:rPr>
          <w:rFonts w:asciiTheme="majorBidi" w:hAnsiTheme="majorBidi" w:cstheme="majorBidi"/>
        </w:rPr>
        <w:t xml:space="preserve">The Committee, concerned about the travel movements of </w:t>
      </w:r>
      <w:r w:rsidRPr="004B1E9A">
        <w:rPr>
          <w:rFonts w:asciiTheme="majorBidi" w:hAnsiTheme="majorBidi" w:cstheme="majorBidi"/>
          <w:b/>
          <w:bCs/>
        </w:rPr>
        <w:t>FTFs and returnees</w:t>
      </w:r>
      <w:r w:rsidRPr="004B1E9A">
        <w:rPr>
          <w:rFonts w:asciiTheme="majorBidi" w:hAnsiTheme="majorBidi" w:cstheme="majorBidi"/>
        </w:rPr>
        <w:t xml:space="preserve">, expressed general support for the Bulgarian Presidency initiative </w:t>
      </w:r>
      <w:r w:rsidRPr="004B1E9A">
        <w:t>aiming, among other things, to streamline the follow-up in respect of FTFs movements following a hit under an Article 36 SIS II alert</w:t>
      </w:r>
      <w:r w:rsidRPr="004B1E9A">
        <w:rPr>
          <w:rStyle w:val="FootnoteReference"/>
          <w:rFonts w:asciiTheme="majorBidi" w:hAnsiTheme="majorBidi" w:cstheme="majorBidi"/>
        </w:rPr>
        <w:footnoteReference w:id="30"/>
      </w:r>
      <w:r w:rsidRPr="004B1E9A">
        <w:rPr>
          <w:rFonts w:asciiTheme="majorBidi" w:hAnsiTheme="majorBidi" w:cstheme="majorBidi"/>
        </w:rPr>
        <w:t xml:space="preserve">. The Committee tasked the SIS/SIRENE WP and TWP with identifying concrete </w:t>
      </w:r>
      <w:r w:rsidRPr="004C0441">
        <w:rPr>
          <w:rFonts w:asciiTheme="majorBidi" w:hAnsiTheme="majorBidi" w:cstheme="majorBidi"/>
        </w:rPr>
        <w:t>practical solutions and recommendations in this respect. In June 2018</w:t>
      </w:r>
      <w:r w:rsidRPr="004C0441">
        <w:rPr>
          <w:rStyle w:val="FootnoteReference"/>
          <w:rFonts w:asciiTheme="majorBidi" w:hAnsiTheme="majorBidi" w:cstheme="majorBidi"/>
        </w:rPr>
        <w:footnoteReference w:id="31"/>
      </w:r>
      <w:r w:rsidRPr="004C0441">
        <w:rPr>
          <w:rFonts w:asciiTheme="majorBidi" w:hAnsiTheme="majorBidi" w:cstheme="majorBidi"/>
        </w:rPr>
        <w:t xml:space="preserve">, the Council adopted </w:t>
      </w:r>
      <w:r>
        <w:rPr>
          <w:rFonts w:asciiTheme="majorBidi" w:hAnsiTheme="majorBidi" w:cstheme="majorBidi"/>
        </w:rPr>
        <w:t>c</w:t>
      </w:r>
      <w:r w:rsidRPr="004C0441">
        <w:rPr>
          <w:rFonts w:asciiTheme="majorBidi" w:hAnsiTheme="majorBidi" w:cstheme="majorBidi"/>
        </w:rPr>
        <w:t xml:space="preserve">onclusions on strengthening the cooperation and the use of the Schengen Information System (SIS) to deal with persons involved in terrorism or terrorism-related activities, including foreign terrorist fighters, which had been </w:t>
      </w:r>
      <w:r>
        <w:rPr>
          <w:rFonts w:asciiTheme="majorBidi" w:hAnsiTheme="majorBidi" w:cstheme="majorBidi"/>
        </w:rPr>
        <w:t>drawn up</w:t>
      </w:r>
      <w:r w:rsidRPr="004C0441">
        <w:rPr>
          <w:rFonts w:asciiTheme="majorBidi" w:hAnsiTheme="majorBidi" w:cstheme="majorBidi"/>
        </w:rPr>
        <w:t xml:space="preserve"> by the TWP. </w:t>
      </w:r>
    </w:p>
    <w:p w:rsidR="00BA550B" w:rsidRPr="004C0441" w:rsidRDefault="00BA550B" w:rsidP="00BA550B">
      <w:pPr>
        <w:rPr>
          <w:rFonts w:asciiTheme="majorBidi" w:hAnsiTheme="majorBidi" w:cstheme="majorBidi"/>
        </w:rPr>
      </w:pPr>
      <w:r w:rsidRPr="004C0441">
        <w:rPr>
          <w:rFonts w:asciiTheme="majorBidi" w:hAnsiTheme="majorBidi" w:cstheme="majorBidi"/>
        </w:rPr>
        <w:t>COSI has been also informed about the results</w:t>
      </w:r>
      <w:r w:rsidRPr="004C0441">
        <w:rPr>
          <w:rStyle w:val="FootnoteReference"/>
          <w:rFonts w:asciiTheme="majorBidi" w:hAnsiTheme="majorBidi" w:cstheme="majorBidi"/>
        </w:rPr>
        <w:footnoteReference w:id="32"/>
      </w:r>
      <w:r w:rsidRPr="004C0441">
        <w:rPr>
          <w:rFonts w:asciiTheme="majorBidi" w:hAnsiTheme="majorBidi" w:cstheme="majorBidi"/>
        </w:rPr>
        <w:t xml:space="preserve"> of the questionnaire</w:t>
      </w:r>
      <w:r w:rsidRPr="004C0441">
        <w:rPr>
          <w:rStyle w:val="FootnoteReference"/>
          <w:rFonts w:asciiTheme="majorBidi" w:hAnsiTheme="majorBidi" w:cstheme="majorBidi"/>
        </w:rPr>
        <w:footnoteReference w:id="33"/>
      </w:r>
      <w:r w:rsidRPr="004C0441">
        <w:rPr>
          <w:rFonts w:asciiTheme="majorBidi" w:hAnsiTheme="majorBidi" w:cstheme="majorBidi"/>
        </w:rPr>
        <w:t xml:space="preserve"> on approaches to dealing with accompanying family members of Foreign Terrorist Fighter (FTF) Returnees, in particular children, which was presented by the EU CTC Office.</w:t>
      </w:r>
    </w:p>
    <w:p w:rsidR="00BA550B" w:rsidRPr="004C0441" w:rsidRDefault="00BA550B" w:rsidP="00BA550B">
      <w:pPr>
        <w:pStyle w:val="Heading2"/>
        <w:spacing w:before="240" w:after="120"/>
        <w:rPr>
          <w:rFonts w:asciiTheme="majorBidi" w:eastAsia="Times New Roman" w:hAnsiTheme="majorBidi"/>
          <w:b/>
          <w:bCs/>
          <w:color w:val="auto"/>
          <w:sz w:val="24"/>
          <w:szCs w:val="24"/>
          <w:lang w:val="en-GB"/>
        </w:rPr>
      </w:pPr>
      <w:bookmarkStart w:id="19" w:name="_Toc1655400"/>
      <w:bookmarkStart w:id="20" w:name="_Toc1673348"/>
      <w:bookmarkStart w:id="21" w:name="_Toc3188495"/>
      <w:r w:rsidRPr="004C0441">
        <w:rPr>
          <w:rFonts w:asciiTheme="majorBidi" w:eastAsia="Times New Roman" w:hAnsiTheme="majorBidi"/>
          <w:b/>
          <w:bCs/>
          <w:color w:val="auto"/>
          <w:sz w:val="24"/>
          <w:szCs w:val="24"/>
          <w:lang w:val="en-GB"/>
        </w:rPr>
        <w:t>3.5.</w:t>
      </w:r>
      <w:r w:rsidRPr="004C0441">
        <w:rPr>
          <w:rFonts w:asciiTheme="majorBidi" w:eastAsia="Times New Roman" w:hAnsiTheme="majorBidi"/>
          <w:b/>
          <w:bCs/>
          <w:color w:val="auto"/>
          <w:sz w:val="24"/>
          <w:szCs w:val="24"/>
          <w:lang w:val="en-GB"/>
        </w:rPr>
        <w:tab/>
        <w:t>ATLAS Network</w:t>
      </w:r>
      <w:bookmarkEnd w:id="19"/>
      <w:bookmarkEnd w:id="20"/>
      <w:bookmarkEnd w:id="21"/>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In November 2017, COSI agreed on the draft Council </w:t>
      </w:r>
      <w:r>
        <w:rPr>
          <w:rFonts w:asciiTheme="majorBidi" w:hAnsiTheme="majorBidi" w:cstheme="majorBidi"/>
        </w:rPr>
        <w:t>c</w:t>
      </w:r>
      <w:r w:rsidRPr="004C0441">
        <w:rPr>
          <w:rFonts w:asciiTheme="majorBidi" w:hAnsiTheme="majorBidi" w:cstheme="majorBidi"/>
        </w:rPr>
        <w:t xml:space="preserve">onclusions on the strengthening of the </w:t>
      </w:r>
      <w:r w:rsidRPr="004C0441">
        <w:rPr>
          <w:rFonts w:asciiTheme="majorBidi" w:hAnsiTheme="majorBidi" w:cstheme="majorBidi"/>
          <w:b/>
          <w:bCs/>
        </w:rPr>
        <w:t>ATLAS Network</w:t>
      </w:r>
      <w:r w:rsidRPr="004C0441">
        <w:rPr>
          <w:rStyle w:val="FootnoteReference"/>
          <w:rFonts w:asciiTheme="majorBidi" w:hAnsiTheme="majorBidi" w:cstheme="majorBidi"/>
        </w:rPr>
        <w:footnoteReference w:id="34"/>
      </w:r>
      <w:r w:rsidRPr="004C0441">
        <w:rPr>
          <w:rStyle w:val="FootnoteReference"/>
          <w:rFonts w:asciiTheme="majorBidi" w:hAnsiTheme="majorBidi" w:cstheme="majorBidi"/>
        </w:rPr>
        <w:footnoteReference w:id="35"/>
      </w:r>
      <w:r w:rsidRPr="006A766E">
        <w:rPr>
          <w:rFonts w:asciiTheme="majorBidi" w:hAnsiTheme="majorBidi" w:cstheme="majorBidi"/>
        </w:rPr>
        <w:t>,</w:t>
      </w:r>
      <w:r w:rsidRPr="004C0441">
        <w:rPr>
          <w:rFonts w:asciiTheme="majorBidi" w:hAnsiTheme="majorBidi" w:cstheme="majorBidi"/>
        </w:rPr>
        <w:t xml:space="preserve"> which were subsequently approved by the JHA Council the following month. COSI continued </w:t>
      </w:r>
      <w:r>
        <w:rPr>
          <w:rFonts w:asciiTheme="majorBidi" w:hAnsiTheme="majorBidi" w:cstheme="majorBidi"/>
        </w:rPr>
        <w:t xml:space="preserve">to </w:t>
      </w:r>
      <w:r w:rsidRPr="004C0441">
        <w:rPr>
          <w:rFonts w:asciiTheme="majorBidi" w:hAnsiTheme="majorBidi" w:cstheme="majorBidi"/>
        </w:rPr>
        <w:t>monitor the implementation of the conclusions. The Committee was informed about the Terms of Reference for the cooperation between the ATLAS Network and Europol signed on 10 October 2018, including the establishment of a permanent office, the ATLAS Network Support Office</w:t>
      </w:r>
      <w:r>
        <w:rPr>
          <w:rFonts w:asciiTheme="majorBidi" w:hAnsiTheme="majorBidi" w:cstheme="majorBidi"/>
        </w:rPr>
        <w:t>,</w:t>
      </w:r>
      <w:r w:rsidRPr="004C0441">
        <w:rPr>
          <w:rFonts w:asciiTheme="majorBidi" w:hAnsiTheme="majorBidi" w:cstheme="majorBidi"/>
        </w:rPr>
        <w:t xml:space="preserve"> within the European Counter Terrorism Centre at Europol, which is planned </w:t>
      </w:r>
      <w:r>
        <w:rPr>
          <w:rFonts w:asciiTheme="majorBidi" w:hAnsiTheme="majorBidi" w:cstheme="majorBidi"/>
        </w:rPr>
        <w:t>to be operational in July 2019.</w:t>
      </w:r>
    </w:p>
    <w:p w:rsidR="00BA550B" w:rsidRPr="004C0441" w:rsidRDefault="00BA550B" w:rsidP="00BA550B">
      <w:pPr>
        <w:pStyle w:val="Heading2"/>
        <w:spacing w:before="120" w:after="120"/>
        <w:rPr>
          <w:rFonts w:asciiTheme="majorBidi" w:eastAsia="Times New Roman" w:hAnsiTheme="majorBidi"/>
          <w:b/>
          <w:bCs/>
          <w:color w:val="auto"/>
          <w:sz w:val="24"/>
          <w:szCs w:val="24"/>
          <w:lang w:val="en-GB"/>
        </w:rPr>
      </w:pPr>
      <w:bookmarkStart w:id="22" w:name="_Toc1655401"/>
      <w:bookmarkStart w:id="23" w:name="_Toc1673349"/>
      <w:r w:rsidRPr="004C0441">
        <w:rPr>
          <w:rFonts w:asciiTheme="majorBidi" w:eastAsia="Times New Roman" w:hAnsiTheme="majorBidi"/>
          <w:b/>
          <w:bCs/>
          <w:color w:val="auto"/>
          <w:sz w:val="24"/>
          <w:szCs w:val="24"/>
          <w:lang w:val="en-GB"/>
        </w:rPr>
        <w:br w:type="page"/>
      </w:r>
      <w:bookmarkStart w:id="24" w:name="_Toc3188496"/>
      <w:r w:rsidRPr="004C0441">
        <w:rPr>
          <w:rFonts w:asciiTheme="majorBidi" w:eastAsia="Times New Roman" w:hAnsiTheme="majorBidi"/>
          <w:b/>
          <w:bCs/>
          <w:color w:val="auto"/>
          <w:sz w:val="24"/>
          <w:szCs w:val="24"/>
          <w:lang w:val="en-GB"/>
        </w:rPr>
        <w:t>3.6.</w:t>
      </w:r>
      <w:r w:rsidRPr="004C0441">
        <w:rPr>
          <w:rFonts w:asciiTheme="majorBidi" w:eastAsia="Times New Roman" w:hAnsiTheme="majorBidi"/>
          <w:b/>
          <w:bCs/>
          <w:color w:val="auto"/>
          <w:sz w:val="24"/>
          <w:szCs w:val="24"/>
          <w:lang w:val="en-GB"/>
        </w:rPr>
        <w:tab/>
        <w:t>CBRN Threat</w:t>
      </w:r>
      <w:bookmarkEnd w:id="22"/>
      <w:bookmarkEnd w:id="23"/>
      <w:bookmarkEnd w:id="24"/>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The </w:t>
      </w:r>
      <w:r w:rsidRPr="004C0441">
        <w:rPr>
          <w:rFonts w:asciiTheme="majorBidi" w:hAnsiTheme="majorBidi" w:cstheme="majorBidi"/>
          <w:b/>
          <w:bCs/>
        </w:rPr>
        <w:t>CBRN threat</w:t>
      </w:r>
      <w:r w:rsidRPr="004C0441">
        <w:rPr>
          <w:rFonts w:asciiTheme="majorBidi" w:hAnsiTheme="majorBidi" w:cstheme="majorBidi"/>
        </w:rPr>
        <w:t xml:space="preserve"> (chemical, biological, radiological and nuclear) remains relevant, especially after the Salisbury nerve agent attack in March 2018 and the ricin-related incident in Cologne in June 2018. The Committee provided its input on the CBRN draft conclusions ahead of the December 2017 JHA Council. COSI will continue to monitor the progress on the implementation of the Action Plan</w:t>
      </w:r>
      <w:r w:rsidRPr="004C0441">
        <w:rPr>
          <w:rStyle w:val="FootnoteReference"/>
          <w:rFonts w:asciiTheme="majorBidi" w:hAnsiTheme="majorBidi" w:cstheme="majorBidi"/>
        </w:rPr>
        <w:footnoteReference w:id="36"/>
      </w:r>
      <w:r w:rsidRPr="004C0441">
        <w:rPr>
          <w:rFonts w:asciiTheme="majorBidi" w:hAnsiTheme="majorBidi" w:cstheme="majorBidi"/>
        </w:rPr>
        <w:t xml:space="preserve"> to enhance preparedness against CBRN security risks and encourage progress in this area.</w:t>
      </w:r>
    </w:p>
    <w:p w:rsidR="00BA550B" w:rsidRPr="004C0441" w:rsidRDefault="00BA550B" w:rsidP="00BA550B">
      <w:pPr>
        <w:pStyle w:val="Heading2"/>
        <w:spacing w:before="240" w:after="120"/>
        <w:rPr>
          <w:rFonts w:asciiTheme="majorBidi" w:eastAsia="Times New Roman" w:hAnsiTheme="majorBidi"/>
          <w:b/>
          <w:bCs/>
          <w:color w:val="auto"/>
          <w:sz w:val="24"/>
          <w:szCs w:val="24"/>
          <w:lang w:val="en-GB"/>
        </w:rPr>
      </w:pPr>
      <w:bookmarkStart w:id="25" w:name="_Toc3188497"/>
      <w:r w:rsidRPr="004C0441">
        <w:rPr>
          <w:rFonts w:asciiTheme="majorBidi" w:eastAsia="Times New Roman" w:hAnsiTheme="majorBidi"/>
          <w:b/>
          <w:bCs/>
          <w:color w:val="auto"/>
          <w:sz w:val="24"/>
          <w:szCs w:val="24"/>
          <w:lang w:val="en-GB"/>
        </w:rPr>
        <w:t>3.7.</w:t>
      </w:r>
      <w:r w:rsidRPr="004C0441">
        <w:rPr>
          <w:rFonts w:asciiTheme="majorBidi" w:eastAsia="Times New Roman" w:hAnsiTheme="majorBidi"/>
          <w:b/>
          <w:bCs/>
          <w:color w:val="auto"/>
          <w:sz w:val="24"/>
          <w:szCs w:val="24"/>
          <w:lang w:val="en-GB"/>
        </w:rPr>
        <w:tab/>
        <w:t>Financing</w:t>
      </w:r>
      <w:r>
        <w:rPr>
          <w:rFonts w:asciiTheme="majorBidi" w:eastAsia="Times New Roman" w:hAnsiTheme="majorBidi"/>
          <w:b/>
          <w:bCs/>
          <w:color w:val="auto"/>
          <w:sz w:val="24"/>
          <w:szCs w:val="24"/>
          <w:lang w:val="en-GB"/>
        </w:rPr>
        <w:t xml:space="preserve"> of terrorism</w:t>
      </w:r>
      <w:bookmarkEnd w:id="25"/>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COSI examined the role of criminal </w:t>
      </w:r>
      <w:r>
        <w:rPr>
          <w:rFonts w:asciiTheme="majorBidi" w:hAnsiTheme="majorBidi" w:cstheme="majorBidi"/>
        </w:rPr>
        <w:t>'h</w:t>
      </w:r>
      <w:r w:rsidRPr="004C0441">
        <w:rPr>
          <w:rFonts w:asciiTheme="majorBidi" w:hAnsiTheme="majorBidi" w:cstheme="majorBidi"/>
        </w:rPr>
        <w:t>awala</w:t>
      </w:r>
      <w:r>
        <w:rPr>
          <w:rFonts w:asciiTheme="majorBidi" w:hAnsiTheme="majorBidi" w:cstheme="majorBidi"/>
        </w:rPr>
        <w:t>'</w:t>
      </w:r>
      <w:r w:rsidRPr="004C0441">
        <w:rPr>
          <w:rFonts w:asciiTheme="majorBidi" w:hAnsiTheme="majorBidi" w:cstheme="majorBidi"/>
        </w:rPr>
        <w:t xml:space="preserve"> and other similar service providers</w:t>
      </w:r>
      <w:r w:rsidRPr="004C0441">
        <w:rPr>
          <w:rStyle w:val="FootnoteReference"/>
          <w:rFonts w:asciiTheme="majorBidi" w:hAnsiTheme="majorBidi" w:cstheme="majorBidi"/>
        </w:rPr>
        <w:footnoteReference w:id="37"/>
      </w:r>
      <w:r w:rsidRPr="004C0441">
        <w:rPr>
          <w:rFonts w:asciiTheme="majorBidi" w:hAnsiTheme="majorBidi" w:cstheme="majorBidi"/>
        </w:rPr>
        <w:t xml:space="preserve">. In November 2017 the Committee also took note of the information regarding the </w:t>
      </w:r>
      <w:r>
        <w:rPr>
          <w:rFonts w:asciiTheme="majorBidi" w:hAnsiTheme="majorBidi" w:cstheme="majorBidi"/>
        </w:rPr>
        <w:t>h</w:t>
      </w:r>
      <w:r w:rsidRPr="004C0441">
        <w:rPr>
          <w:rFonts w:asciiTheme="majorBidi" w:hAnsiTheme="majorBidi" w:cstheme="majorBidi"/>
        </w:rPr>
        <w:t>igh</w:t>
      </w:r>
      <w:r>
        <w:rPr>
          <w:rFonts w:asciiTheme="majorBidi" w:hAnsiTheme="majorBidi" w:cstheme="majorBidi"/>
        </w:rPr>
        <w:t>-l</w:t>
      </w:r>
      <w:r w:rsidRPr="004C0441">
        <w:rPr>
          <w:rFonts w:asciiTheme="majorBidi" w:hAnsiTheme="majorBidi" w:cstheme="majorBidi"/>
        </w:rPr>
        <w:t>evel meeting organised by the Commission, on assessing the need for additional measures to facilitate access to financial information.</w:t>
      </w:r>
      <w:bookmarkStart w:id="26" w:name="_gjdgxs" w:colFirst="0" w:colLast="0"/>
      <w:bookmarkEnd w:id="26"/>
    </w:p>
    <w:p w:rsidR="00BA550B" w:rsidRPr="004C0441" w:rsidRDefault="00BA550B" w:rsidP="003D33B0">
      <w:pPr>
        <w:pStyle w:val="Heading123"/>
        <w:numPr>
          <w:ilvl w:val="0"/>
          <w:numId w:val="24"/>
        </w:numPr>
      </w:pPr>
      <w:bookmarkStart w:id="27" w:name="_Toc1655402"/>
      <w:bookmarkStart w:id="28" w:name="_Toc3188498"/>
      <w:r>
        <w:t>The EU Policy Cycle for organised and serious international crime</w:t>
      </w:r>
      <w:r w:rsidRPr="004C0441">
        <w:t>/</w:t>
      </w:r>
      <w:r>
        <w:t>EMPACT</w:t>
      </w:r>
      <w:bookmarkEnd w:id="27"/>
      <w:bookmarkEnd w:id="28"/>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Since its establishment in 2010, the EU Policy Cycle for organised and serious international crime/EMPACT (hereinafter 'EU Policy Cycle') </w:t>
      </w:r>
      <w:r>
        <w:rPr>
          <w:rFonts w:asciiTheme="majorBidi" w:hAnsiTheme="majorBidi" w:cstheme="majorBidi"/>
        </w:rPr>
        <w:t xml:space="preserve">has </w:t>
      </w:r>
      <w:r w:rsidRPr="004C0441">
        <w:rPr>
          <w:rFonts w:asciiTheme="majorBidi" w:hAnsiTheme="majorBidi" w:cstheme="majorBidi"/>
        </w:rPr>
        <w:t>provide</w:t>
      </w:r>
      <w:r>
        <w:rPr>
          <w:rFonts w:asciiTheme="majorBidi" w:hAnsiTheme="majorBidi" w:cstheme="majorBidi"/>
        </w:rPr>
        <w:t>d</w:t>
      </w:r>
      <w:r w:rsidRPr="004C0441">
        <w:rPr>
          <w:rFonts w:asciiTheme="majorBidi" w:hAnsiTheme="majorBidi" w:cstheme="majorBidi"/>
        </w:rPr>
        <w:t xml:space="preserve"> the main framework for operational cooperation across the European Union to tackle the main criminal threats affecting the internal security of the Union. </w:t>
      </w:r>
    </w:p>
    <w:p w:rsidR="00BA550B" w:rsidRPr="004C0441" w:rsidRDefault="00BA550B" w:rsidP="00BA550B">
      <w:pPr>
        <w:rPr>
          <w:rFonts w:asciiTheme="majorBidi" w:hAnsiTheme="majorBidi" w:cstheme="majorBidi"/>
        </w:rPr>
      </w:pPr>
      <w:r w:rsidRPr="004C0441">
        <w:rPr>
          <w:rFonts w:asciiTheme="majorBidi" w:hAnsiTheme="majorBidi" w:cstheme="majorBidi"/>
        </w:rPr>
        <w:t>One of the key features of the EU Policy Cycle is its integrated multidisciplinary character, both in terms of using and aligning the complementary contribution of all multi-disciplinary and multi-agency actors, and integrating different types of tools and activities to tackle EU crime priorities</w:t>
      </w:r>
      <w:r w:rsidRPr="004C0441">
        <w:rPr>
          <w:rStyle w:val="FootnoteReference"/>
          <w:rFonts w:asciiTheme="majorBidi" w:hAnsiTheme="majorBidi" w:cstheme="majorBidi"/>
        </w:rPr>
        <w:footnoteReference w:id="38"/>
      </w:r>
      <w:r w:rsidRPr="004C0441">
        <w:rPr>
          <w:rFonts w:asciiTheme="majorBidi" w:hAnsiTheme="majorBidi" w:cstheme="majorBidi"/>
        </w:rPr>
        <w:t>.</w:t>
      </w:r>
    </w:p>
    <w:p w:rsidR="00BA550B" w:rsidRPr="004C0441" w:rsidRDefault="00BA550B" w:rsidP="00BA550B">
      <w:pPr>
        <w:rPr>
          <w:rFonts w:asciiTheme="majorBidi" w:hAnsiTheme="majorBidi" w:cstheme="majorBidi"/>
        </w:rPr>
      </w:pPr>
      <w:r>
        <w:rPr>
          <w:rFonts w:asciiTheme="majorBidi" w:hAnsiTheme="majorBidi" w:cstheme="majorBidi"/>
        </w:rPr>
        <w:br w:type="page"/>
      </w:r>
      <w:r w:rsidRPr="004C0441">
        <w:rPr>
          <w:rFonts w:asciiTheme="majorBidi" w:hAnsiTheme="majorBidi" w:cstheme="majorBidi"/>
        </w:rPr>
        <w:t>This multi-disciplinary approach is prompted mainly by two types of consideration: (1) the difference in competence, mandate and working methods of the various players involved at national and EU level and in the context of internal or external action and (2) the complex and cross-border nature of serious and organised crime that requires the use of a vast range of tools and approaches to counteract it effectively.</w:t>
      </w:r>
    </w:p>
    <w:p w:rsidR="00BA550B" w:rsidRPr="004C0441" w:rsidRDefault="00BA550B" w:rsidP="00BA550B">
      <w:pPr>
        <w:rPr>
          <w:rFonts w:asciiTheme="majorBidi" w:hAnsiTheme="majorBidi" w:cstheme="majorBidi"/>
        </w:rPr>
      </w:pPr>
      <w:r w:rsidRPr="004C0441">
        <w:rPr>
          <w:rFonts w:asciiTheme="majorBidi" w:hAnsiTheme="majorBidi" w:cstheme="majorBidi"/>
        </w:rPr>
        <w:t>The achievements of the EU Policy Cycle are demonstrated by solid operational results</w:t>
      </w:r>
      <w:r w:rsidRPr="004C0441">
        <w:rPr>
          <w:rStyle w:val="FootnoteReference"/>
          <w:rFonts w:asciiTheme="majorBidi" w:hAnsiTheme="majorBidi" w:cstheme="majorBidi"/>
        </w:rPr>
        <w:footnoteReference w:id="39"/>
      </w:r>
      <w:r w:rsidRPr="004C0441">
        <w:rPr>
          <w:rFonts w:asciiTheme="majorBidi" w:hAnsiTheme="majorBidi" w:cstheme="majorBidi"/>
        </w:rPr>
        <w:t xml:space="preserve">, reported regularly by the Operational Action Plan Drivers and </w:t>
      </w:r>
      <w:r>
        <w:rPr>
          <w:rFonts w:asciiTheme="majorBidi" w:hAnsiTheme="majorBidi" w:cstheme="majorBidi"/>
        </w:rPr>
        <w:t xml:space="preserve">also </w:t>
      </w:r>
      <w:r w:rsidRPr="004C0441">
        <w:rPr>
          <w:rFonts w:asciiTheme="majorBidi" w:hAnsiTheme="majorBidi" w:cstheme="majorBidi"/>
        </w:rPr>
        <w:t>generated through the Joint Action Days (JADs). Equally important</w:t>
      </w:r>
      <w:r>
        <w:rPr>
          <w:rFonts w:asciiTheme="majorBidi" w:hAnsiTheme="majorBidi" w:cstheme="majorBidi"/>
        </w:rPr>
        <w:t>,</w:t>
      </w:r>
      <w:r w:rsidRPr="004C0441">
        <w:rPr>
          <w:rFonts w:asciiTheme="majorBidi" w:hAnsiTheme="majorBidi" w:cstheme="majorBidi"/>
        </w:rPr>
        <w:t xml:space="preserve"> the EU Policy Cycle has brought a new dimension of cooperation across the established structures at national and EU level and has provided opportunities to develop new approaches based on its multidisciplinary setting.</w:t>
      </w:r>
    </w:p>
    <w:p w:rsidR="00BA550B" w:rsidRPr="004C0441" w:rsidRDefault="00BA550B" w:rsidP="00BA550B">
      <w:pPr>
        <w:rPr>
          <w:rFonts w:asciiTheme="majorBidi" w:hAnsiTheme="majorBidi" w:cstheme="majorBidi"/>
          <w:lang w:eastAsia="fr-BE"/>
        </w:rPr>
      </w:pPr>
      <w:r w:rsidRPr="004C0441">
        <w:rPr>
          <w:rFonts w:asciiTheme="majorBidi" w:hAnsiTheme="majorBidi" w:cstheme="majorBidi"/>
          <w:lang w:eastAsia="fr-BE"/>
        </w:rPr>
        <w:t xml:space="preserve">In June 2018, </w:t>
      </w:r>
      <w:r>
        <w:rPr>
          <w:rFonts w:asciiTheme="majorBidi" w:hAnsiTheme="majorBidi" w:cstheme="majorBidi"/>
          <w:lang w:eastAsia="fr-BE"/>
        </w:rPr>
        <w:t>m</w:t>
      </w:r>
      <w:r w:rsidRPr="004C0441">
        <w:rPr>
          <w:rFonts w:asciiTheme="majorBidi" w:hAnsiTheme="majorBidi" w:cstheme="majorBidi"/>
          <w:lang w:eastAsia="fr-BE"/>
        </w:rPr>
        <w:t xml:space="preserve">inisters took stock of the impact of the EU policy cycle for organised and serious crime, following the completion of the first full EU Policy Cycle (2014-2017). They confirmed its added value and highlighted its multidisciplinary component as a clear example of a successful EU initiative. </w:t>
      </w:r>
    </w:p>
    <w:p w:rsidR="00BA550B" w:rsidRPr="004C0441" w:rsidRDefault="00BA550B" w:rsidP="00BA550B">
      <w:pPr>
        <w:pStyle w:val="Heading2"/>
        <w:spacing w:before="240" w:after="120"/>
        <w:rPr>
          <w:rFonts w:asciiTheme="majorBidi" w:eastAsia="Times New Roman" w:hAnsiTheme="majorBidi"/>
          <w:b/>
          <w:bCs/>
          <w:color w:val="auto"/>
          <w:sz w:val="24"/>
          <w:szCs w:val="24"/>
          <w:lang w:val="en-GB"/>
        </w:rPr>
      </w:pPr>
      <w:bookmarkStart w:id="29" w:name="_Toc1655403"/>
      <w:r>
        <w:rPr>
          <w:rFonts w:asciiTheme="majorBidi" w:eastAsia="Times New Roman" w:hAnsiTheme="majorBidi"/>
          <w:b/>
          <w:bCs/>
          <w:color w:val="auto"/>
          <w:sz w:val="24"/>
          <w:szCs w:val="24"/>
          <w:lang w:val="en-GB"/>
        </w:rPr>
        <w:br w:type="page"/>
      </w:r>
      <w:bookmarkStart w:id="30" w:name="_Toc3188499"/>
      <w:r w:rsidRPr="004C0441">
        <w:rPr>
          <w:rFonts w:asciiTheme="majorBidi" w:eastAsia="Times New Roman" w:hAnsiTheme="majorBidi"/>
          <w:b/>
          <w:bCs/>
          <w:color w:val="auto"/>
          <w:sz w:val="24"/>
          <w:szCs w:val="24"/>
          <w:lang w:val="en-GB"/>
        </w:rPr>
        <w:t>4.1.</w:t>
      </w:r>
      <w:r w:rsidRPr="004C0441">
        <w:rPr>
          <w:rFonts w:asciiTheme="majorBidi" w:eastAsia="Times New Roman" w:hAnsiTheme="majorBidi"/>
          <w:b/>
          <w:bCs/>
          <w:color w:val="auto"/>
          <w:sz w:val="24"/>
          <w:szCs w:val="24"/>
          <w:lang w:val="en-GB"/>
        </w:rPr>
        <w:tab/>
        <w:t>Implementation of the EU Policy Cycle</w:t>
      </w:r>
      <w:bookmarkEnd w:id="29"/>
      <w:bookmarkEnd w:id="30"/>
    </w:p>
    <w:p w:rsidR="00BA550B" w:rsidRPr="004C0441" w:rsidRDefault="00BA550B" w:rsidP="00BA550B">
      <w:pPr>
        <w:rPr>
          <w:rFonts w:asciiTheme="majorBidi" w:hAnsiTheme="majorBidi" w:cstheme="majorBidi"/>
        </w:rPr>
      </w:pPr>
      <w:r w:rsidRPr="004C0441">
        <w:rPr>
          <w:rFonts w:asciiTheme="majorBidi" w:hAnsiTheme="majorBidi" w:cstheme="majorBidi"/>
        </w:rPr>
        <w:t>During the EE Presidency the new EU Policy Cycle 2018-2021 was launched. One general (four</w:t>
      </w:r>
      <w:r>
        <w:rPr>
          <w:rFonts w:asciiTheme="majorBidi" w:hAnsiTheme="majorBidi" w:cstheme="majorBidi"/>
        </w:rPr>
        <w:t>-</w:t>
      </w:r>
      <w:r w:rsidRPr="004C0441">
        <w:rPr>
          <w:rFonts w:asciiTheme="majorBidi" w:hAnsiTheme="majorBidi" w:cstheme="majorBidi"/>
        </w:rPr>
        <w:t xml:space="preserve">year) Multi-Annual Strategic Plan </w:t>
      </w:r>
      <w:r>
        <w:rPr>
          <w:rFonts w:asciiTheme="majorBidi" w:hAnsiTheme="majorBidi" w:cstheme="majorBidi"/>
        </w:rPr>
        <w:t>(</w:t>
      </w:r>
      <w:r w:rsidRPr="004C0441">
        <w:rPr>
          <w:rFonts w:asciiTheme="majorBidi" w:hAnsiTheme="majorBidi" w:cstheme="majorBidi"/>
        </w:rPr>
        <w:t>MASP</w:t>
      </w:r>
      <w:r>
        <w:rPr>
          <w:rFonts w:asciiTheme="majorBidi" w:hAnsiTheme="majorBidi" w:cstheme="majorBidi"/>
        </w:rPr>
        <w:t>)</w:t>
      </w:r>
      <w:r w:rsidRPr="004C0441">
        <w:rPr>
          <w:rFonts w:asciiTheme="majorBidi" w:hAnsiTheme="majorBidi" w:cstheme="majorBidi"/>
        </w:rPr>
        <w:t xml:space="preserve"> relating to a common minimum horizontal strategic goal</w:t>
      </w:r>
      <w:r w:rsidRPr="004C0441">
        <w:rPr>
          <w:rStyle w:val="FootnoteReference"/>
          <w:rFonts w:asciiTheme="majorBidi" w:hAnsiTheme="majorBidi" w:cstheme="majorBidi"/>
        </w:rPr>
        <w:footnoteReference w:id="40"/>
      </w:r>
      <w:r w:rsidRPr="004C0441">
        <w:rPr>
          <w:rFonts w:asciiTheme="majorBidi" w:hAnsiTheme="majorBidi" w:cstheme="majorBidi"/>
        </w:rPr>
        <w:t xml:space="preserve">, the 13 MASPs for the EU Policy Cycle 2018-2021 and the Operational Action Plans (OAPs) 2018, </w:t>
      </w:r>
      <w:r>
        <w:rPr>
          <w:rFonts w:asciiTheme="majorBidi" w:hAnsiTheme="majorBidi" w:cstheme="majorBidi"/>
        </w:rPr>
        <w:t>which</w:t>
      </w:r>
      <w:r w:rsidRPr="004C0441">
        <w:rPr>
          <w:rFonts w:asciiTheme="majorBidi" w:hAnsiTheme="majorBidi" w:cstheme="majorBidi"/>
        </w:rPr>
        <w:t xml:space="preserve"> are produced on a yearly basis</w:t>
      </w:r>
      <w:r>
        <w:rPr>
          <w:rFonts w:asciiTheme="majorBidi" w:hAnsiTheme="majorBidi" w:cstheme="majorBidi"/>
        </w:rPr>
        <w:t>,</w:t>
      </w:r>
      <w:r w:rsidRPr="004C0441">
        <w:rPr>
          <w:rFonts w:asciiTheme="majorBidi" w:hAnsiTheme="majorBidi" w:cstheme="majorBidi"/>
        </w:rPr>
        <w:t xml:space="preserve"> were adopted</w:t>
      </w:r>
      <w:r w:rsidRPr="004C0441">
        <w:rPr>
          <w:rStyle w:val="FootnoteReference"/>
          <w:rFonts w:asciiTheme="majorBidi" w:hAnsiTheme="majorBidi" w:cstheme="majorBidi"/>
        </w:rPr>
        <w:footnoteReference w:id="41"/>
      </w:r>
      <w:r w:rsidRPr="004C0441">
        <w:rPr>
          <w:rFonts w:asciiTheme="majorBidi" w:hAnsiTheme="majorBidi" w:cstheme="majorBidi"/>
        </w:rPr>
        <w:t>.</w:t>
      </w:r>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The development </w:t>
      </w:r>
      <w:r>
        <w:rPr>
          <w:rFonts w:asciiTheme="majorBidi" w:hAnsiTheme="majorBidi" w:cstheme="majorBidi"/>
        </w:rPr>
        <w:t>of</w:t>
      </w:r>
      <w:r w:rsidRPr="004C0441">
        <w:rPr>
          <w:rFonts w:asciiTheme="majorBidi" w:hAnsiTheme="majorBidi" w:cstheme="majorBidi"/>
        </w:rPr>
        <w:t xml:space="preserve"> a methodology for a new </w:t>
      </w:r>
      <w:r>
        <w:rPr>
          <w:rFonts w:asciiTheme="majorBidi" w:hAnsiTheme="majorBidi" w:cstheme="majorBidi"/>
        </w:rPr>
        <w:t>p</w:t>
      </w:r>
      <w:r w:rsidRPr="004C0441">
        <w:rPr>
          <w:rFonts w:asciiTheme="majorBidi" w:hAnsiTheme="majorBidi" w:cstheme="majorBidi"/>
        </w:rPr>
        <w:t xml:space="preserve">olicy </w:t>
      </w:r>
      <w:r>
        <w:rPr>
          <w:rFonts w:asciiTheme="majorBidi" w:hAnsiTheme="majorBidi" w:cstheme="majorBidi"/>
        </w:rPr>
        <w:t>c</w:t>
      </w:r>
      <w:r w:rsidRPr="004C0441">
        <w:rPr>
          <w:rFonts w:asciiTheme="majorBidi" w:hAnsiTheme="majorBidi" w:cstheme="majorBidi"/>
        </w:rPr>
        <w:t xml:space="preserve">ycle 2018-2021 concluded with the adoption of the new reporting mechanism, which was agreed by COSI on 14 December 2017. </w:t>
      </w:r>
    </w:p>
    <w:p w:rsidR="00BA550B" w:rsidRPr="004C0441" w:rsidRDefault="00BA550B" w:rsidP="00BA550B">
      <w:pPr>
        <w:rPr>
          <w:rFonts w:asciiTheme="majorBidi" w:hAnsiTheme="majorBidi" w:cstheme="majorBidi"/>
          <w:lang w:eastAsia="fr-BE"/>
        </w:rPr>
      </w:pPr>
      <w:r w:rsidRPr="004C0441">
        <w:rPr>
          <w:rFonts w:asciiTheme="majorBidi" w:hAnsiTheme="majorBidi" w:cstheme="majorBidi"/>
          <w:lang w:eastAsia="fr-BE"/>
        </w:rPr>
        <w:t>COSI and COSI-SG are giving special attention to the implementation of the two horizontal priorities in the context of the new EU Policy Cycle: document fraud and criminal finances. The strong commitment of all relevant actors in this respect is crucial for the successful implementation of these priorities. This is particularly relevant for the document fraud priority, which does not have dedicated funding and should rely</w:t>
      </w:r>
      <w:r>
        <w:rPr>
          <w:rFonts w:asciiTheme="majorBidi" w:hAnsiTheme="majorBidi" w:cstheme="majorBidi"/>
          <w:lang w:eastAsia="fr-BE"/>
        </w:rPr>
        <w:t>,</w:t>
      </w:r>
      <w:r w:rsidRPr="004C0441">
        <w:rPr>
          <w:rFonts w:asciiTheme="majorBidi" w:hAnsiTheme="majorBidi" w:cstheme="majorBidi"/>
          <w:lang w:eastAsia="fr-BE"/>
        </w:rPr>
        <w:t xml:space="preserve"> to that end</w:t>
      </w:r>
      <w:r>
        <w:rPr>
          <w:rFonts w:asciiTheme="majorBidi" w:hAnsiTheme="majorBidi" w:cstheme="majorBidi"/>
          <w:lang w:eastAsia="fr-BE"/>
        </w:rPr>
        <w:t>,</w:t>
      </w:r>
      <w:r w:rsidRPr="004C0441">
        <w:rPr>
          <w:rFonts w:asciiTheme="majorBidi" w:hAnsiTheme="majorBidi" w:cstheme="majorBidi"/>
          <w:lang w:eastAsia="fr-BE"/>
        </w:rPr>
        <w:t xml:space="preserve"> </w:t>
      </w:r>
      <w:r>
        <w:rPr>
          <w:rFonts w:asciiTheme="majorBidi" w:hAnsiTheme="majorBidi" w:cstheme="majorBidi"/>
          <w:lang w:eastAsia="fr-BE"/>
        </w:rPr>
        <w:t>on</w:t>
      </w:r>
      <w:r w:rsidRPr="004C0441">
        <w:rPr>
          <w:rFonts w:asciiTheme="majorBidi" w:hAnsiTheme="majorBidi" w:cstheme="majorBidi"/>
          <w:lang w:eastAsia="fr-BE"/>
        </w:rPr>
        <w:t xml:space="preserve"> the support of the drivers of the other priorities.</w:t>
      </w:r>
    </w:p>
    <w:p w:rsidR="00BA550B" w:rsidRPr="004C0441" w:rsidRDefault="00BA550B" w:rsidP="00BA550B">
      <w:pPr>
        <w:rPr>
          <w:rFonts w:asciiTheme="majorBidi" w:hAnsiTheme="majorBidi" w:cstheme="majorBidi"/>
        </w:rPr>
      </w:pPr>
      <w:r w:rsidRPr="004C0441">
        <w:rPr>
          <w:rFonts w:asciiTheme="majorBidi" w:hAnsiTheme="majorBidi" w:cstheme="majorBidi"/>
        </w:rPr>
        <w:t>As a means to monitor the implementation of the EU Policy Cycle, COSI will conduct a mid-term and final assessment of the results of the actions to measure the achievement of the strategic goals to improve operational implementation.</w:t>
      </w:r>
    </w:p>
    <w:p w:rsidR="00BA550B" w:rsidRPr="004C0441" w:rsidRDefault="00BA550B" w:rsidP="00BA550B">
      <w:pPr>
        <w:rPr>
          <w:rFonts w:asciiTheme="majorBidi" w:hAnsiTheme="majorBidi" w:cstheme="majorBidi"/>
          <w:color w:val="000000"/>
          <w:lang w:eastAsia="en-GB"/>
        </w:rPr>
      </w:pPr>
      <w:r w:rsidRPr="004C0441">
        <w:rPr>
          <w:rFonts w:asciiTheme="majorBidi" w:hAnsiTheme="majorBidi" w:cstheme="majorBidi"/>
        </w:rPr>
        <w:t>On 5 May 2018 there was an exchange of views between delegations at COSI in relation to the OAP 2017 closing reports, the National EMPACT Coordinator (NEC) report and Europol's finding</w:t>
      </w:r>
      <w:r>
        <w:rPr>
          <w:rFonts w:asciiTheme="majorBidi" w:hAnsiTheme="majorBidi" w:cstheme="majorBidi"/>
        </w:rPr>
        <w:t>s</w:t>
      </w:r>
      <w:r w:rsidRPr="004C0441">
        <w:rPr>
          <w:rFonts w:asciiTheme="majorBidi" w:hAnsiTheme="majorBidi" w:cstheme="majorBidi"/>
        </w:rPr>
        <w:t xml:space="preserve"> report. </w:t>
      </w:r>
      <w:r w:rsidRPr="004C0441">
        <w:rPr>
          <w:rFonts w:asciiTheme="majorBidi" w:hAnsiTheme="majorBidi" w:cstheme="majorBidi"/>
          <w:color w:val="000000"/>
          <w:lang w:eastAsia="en-GB"/>
        </w:rPr>
        <w:t>In the context of the 2017 monitoring exercise</w:t>
      </w:r>
      <w:r w:rsidRPr="004C0441">
        <w:rPr>
          <w:rStyle w:val="FootnoteReference"/>
          <w:rFonts w:asciiTheme="majorBidi" w:hAnsiTheme="majorBidi" w:cstheme="majorBidi"/>
          <w:color w:val="000000"/>
          <w:lang w:eastAsia="en-GB"/>
        </w:rPr>
        <w:footnoteReference w:id="42"/>
      </w:r>
      <w:r w:rsidRPr="004C0441">
        <w:rPr>
          <w:rFonts w:asciiTheme="majorBidi" w:hAnsiTheme="majorBidi" w:cstheme="majorBidi"/>
          <w:color w:val="000000"/>
          <w:lang w:eastAsia="en-GB"/>
        </w:rPr>
        <w:t xml:space="preserve"> COSI</w:t>
      </w:r>
      <w:r w:rsidRPr="004C0441">
        <w:rPr>
          <w:rFonts w:asciiTheme="majorBidi" w:hAnsiTheme="majorBidi" w:cstheme="majorBidi"/>
        </w:rPr>
        <w:t xml:space="preserve"> </w:t>
      </w:r>
      <w:r w:rsidRPr="004C0441">
        <w:rPr>
          <w:rFonts w:asciiTheme="majorBidi" w:hAnsiTheme="majorBidi" w:cstheme="majorBidi"/>
          <w:color w:val="000000"/>
          <w:lang w:eastAsia="en-GB"/>
        </w:rPr>
        <w:t>agreed on the need to ensure the quality and timely submission of the OAP implementation reports</w:t>
      </w:r>
      <w:r>
        <w:rPr>
          <w:rFonts w:asciiTheme="majorBidi" w:hAnsiTheme="majorBidi" w:cstheme="majorBidi"/>
          <w:color w:val="000000"/>
          <w:lang w:eastAsia="en-GB"/>
        </w:rPr>
        <w:t>,</w:t>
      </w:r>
      <w:r w:rsidRPr="004C0441">
        <w:rPr>
          <w:rFonts w:asciiTheme="majorBidi" w:hAnsiTheme="majorBidi" w:cstheme="majorBidi"/>
          <w:color w:val="000000"/>
          <w:lang w:eastAsia="en-GB"/>
        </w:rPr>
        <w:t xml:space="preserve"> exchanged views on the possible development of an online reporting tool</w:t>
      </w:r>
      <w:r>
        <w:rPr>
          <w:rFonts w:asciiTheme="majorBidi" w:hAnsiTheme="majorBidi" w:cstheme="majorBidi"/>
          <w:color w:val="000000"/>
          <w:lang w:eastAsia="en-GB"/>
        </w:rPr>
        <w:t>,</w:t>
      </w:r>
      <w:r w:rsidRPr="004C0441">
        <w:rPr>
          <w:rFonts w:asciiTheme="majorBidi" w:hAnsiTheme="majorBidi" w:cstheme="majorBidi"/>
          <w:color w:val="000000"/>
          <w:lang w:eastAsia="en-GB"/>
        </w:rPr>
        <w:t xml:space="preserve"> and agreed on the NEC</w:t>
      </w:r>
      <w:r>
        <w:rPr>
          <w:rFonts w:asciiTheme="majorBidi" w:hAnsiTheme="majorBidi" w:cstheme="majorBidi"/>
          <w:color w:val="000000"/>
          <w:lang w:eastAsia="en-GB"/>
        </w:rPr>
        <w:t>'</w:t>
      </w:r>
      <w:r w:rsidRPr="004C0441">
        <w:rPr>
          <w:rFonts w:asciiTheme="majorBidi" w:hAnsiTheme="majorBidi" w:cstheme="majorBidi"/>
          <w:color w:val="000000"/>
          <w:lang w:eastAsia="en-GB"/>
        </w:rPr>
        <w:t xml:space="preserve">s proposal to establish a pilot project for online reporting for the EU Policy Cycle in the OAP on Organised Property Crime. </w:t>
      </w:r>
    </w:p>
    <w:p w:rsidR="00BA550B" w:rsidRPr="004C0441" w:rsidRDefault="00BA550B" w:rsidP="00BA550B">
      <w:pPr>
        <w:rPr>
          <w:rFonts w:asciiTheme="majorBidi" w:hAnsiTheme="majorBidi" w:cstheme="majorBidi"/>
          <w:lang w:eastAsia="en-GB"/>
        </w:rPr>
      </w:pPr>
      <w:r>
        <w:rPr>
          <w:rFonts w:asciiTheme="majorBidi" w:hAnsiTheme="majorBidi" w:cstheme="majorBidi"/>
        </w:rPr>
        <w:br w:type="page"/>
      </w:r>
      <w:r w:rsidRPr="004C0441">
        <w:rPr>
          <w:rFonts w:asciiTheme="majorBidi" w:hAnsiTheme="majorBidi" w:cstheme="majorBidi"/>
        </w:rPr>
        <w:t>COSI</w:t>
      </w:r>
      <w:r>
        <w:rPr>
          <w:rFonts w:asciiTheme="majorBidi" w:hAnsiTheme="majorBidi" w:cstheme="majorBidi"/>
        </w:rPr>
        <w:t>-</w:t>
      </w:r>
      <w:r w:rsidRPr="004C0441">
        <w:rPr>
          <w:rFonts w:asciiTheme="majorBidi" w:hAnsiTheme="majorBidi" w:cstheme="majorBidi"/>
        </w:rPr>
        <w:t>SG has assumed a stronger role in concluding a number of more procedural items. This allowed the 13 EU Policy Cycle OAPs for 2019</w:t>
      </w:r>
      <w:r w:rsidRPr="004C0441">
        <w:rPr>
          <w:rStyle w:val="FootnoteReference"/>
          <w:rFonts w:asciiTheme="majorBidi" w:hAnsiTheme="majorBidi" w:cstheme="majorBidi"/>
        </w:rPr>
        <w:footnoteReference w:id="43"/>
      </w:r>
      <w:r w:rsidRPr="004C0441">
        <w:rPr>
          <w:rFonts w:asciiTheme="majorBidi" w:hAnsiTheme="majorBidi" w:cstheme="majorBidi"/>
        </w:rPr>
        <w:t xml:space="preserve"> </w:t>
      </w:r>
      <w:r>
        <w:rPr>
          <w:rFonts w:asciiTheme="majorBidi" w:hAnsiTheme="majorBidi" w:cstheme="majorBidi"/>
        </w:rPr>
        <w:t xml:space="preserve">to </w:t>
      </w:r>
      <w:r w:rsidRPr="004C0441">
        <w:rPr>
          <w:rFonts w:asciiTheme="majorBidi" w:hAnsiTheme="majorBidi" w:cstheme="majorBidi"/>
        </w:rPr>
        <w:t>be adopted at the COSI SG meeting on 16 November 2018 ahead of COSI</w:t>
      </w:r>
      <w:r>
        <w:rPr>
          <w:rFonts w:asciiTheme="majorBidi" w:hAnsiTheme="majorBidi" w:cstheme="majorBidi"/>
        </w:rPr>
        <w:t>,</w:t>
      </w:r>
      <w:r w:rsidRPr="004C0441">
        <w:rPr>
          <w:rFonts w:asciiTheme="majorBidi" w:hAnsiTheme="majorBidi" w:cstheme="majorBidi"/>
        </w:rPr>
        <w:t xml:space="preserve"> which enabled Europol </w:t>
      </w:r>
      <w:r>
        <w:rPr>
          <w:rFonts w:asciiTheme="majorBidi" w:hAnsiTheme="majorBidi" w:cstheme="majorBidi"/>
        </w:rPr>
        <w:t xml:space="preserve">to </w:t>
      </w:r>
      <w:r w:rsidRPr="004C0441">
        <w:rPr>
          <w:rFonts w:asciiTheme="majorBidi" w:hAnsiTheme="majorBidi" w:cstheme="majorBidi"/>
        </w:rPr>
        <w:t>releas</w:t>
      </w:r>
      <w:r>
        <w:rPr>
          <w:rFonts w:asciiTheme="majorBidi" w:hAnsiTheme="majorBidi" w:cstheme="majorBidi"/>
        </w:rPr>
        <w:t>e</w:t>
      </w:r>
      <w:r w:rsidRPr="004C0441">
        <w:rPr>
          <w:rFonts w:asciiTheme="majorBidi" w:hAnsiTheme="majorBidi" w:cstheme="majorBidi"/>
        </w:rPr>
        <w:t xml:space="preserve"> the 2019 funding calls for proposals earlier.</w:t>
      </w:r>
    </w:p>
    <w:p w:rsidR="00BA550B" w:rsidRPr="004C0441" w:rsidRDefault="00BA550B" w:rsidP="00BA550B">
      <w:pPr>
        <w:pStyle w:val="Heading2"/>
        <w:spacing w:before="120" w:after="120"/>
        <w:rPr>
          <w:rFonts w:asciiTheme="majorBidi" w:eastAsia="Times New Roman" w:hAnsiTheme="majorBidi"/>
          <w:b/>
          <w:bCs/>
          <w:color w:val="auto"/>
          <w:sz w:val="24"/>
          <w:szCs w:val="24"/>
          <w:lang w:val="en-GB"/>
        </w:rPr>
      </w:pPr>
      <w:bookmarkStart w:id="31" w:name="_Toc1655404"/>
      <w:bookmarkStart w:id="32" w:name="_Toc3188500"/>
      <w:r w:rsidRPr="004C0441">
        <w:rPr>
          <w:rFonts w:asciiTheme="majorBidi" w:eastAsia="Times New Roman" w:hAnsiTheme="majorBidi"/>
          <w:b/>
          <w:bCs/>
          <w:color w:val="auto"/>
          <w:sz w:val="24"/>
          <w:szCs w:val="24"/>
          <w:lang w:val="en-GB"/>
        </w:rPr>
        <w:t>4.2.</w:t>
      </w:r>
      <w:r w:rsidRPr="004C0441">
        <w:rPr>
          <w:rFonts w:asciiTheme="majorBidi" w:eastAsia="Times New Roman" w:hAnsiTheme="majorBidi"/>
          <w:b/>
          <w:bCs/>
          <w:color w:val="auto"/>
          <w:sz w:val="24"/>
          <w:szCs w:val="24"/>
          <w:lang w:val="en-GB"/>
        </w:rPr>
        <w:tab/>
        <w:t>Funding</w:t>
      </w:r>
      <w:bookmarkEnd w:id="31"/>
      <w:bookmarkEnd w:id="32"/>
    </w:p>
    <w:p w:rsidR="00BA550B" w:rsidRPr="004C0441" w:rsidRDefault="00BA550B" w:rsidP="00BA550B">
      <w:pPr>
        <w:rPr>
          <w:rFonts w:asciiTheme="majorBidi" w:hAnsiTheme="majorBidi" w:cstheme="majorBidi"/>
        </w:rPr>
      </w:pPr>
      <w:r w:rsidRPr="004C0441">
        <w:rPr>
          <w:rFonts w:asciiTheme="majorBidi" w:hAnsiTheme="majorBidi" w:cstheme="majorBidi"/>
        </w:rPr>
        <w:t>On 21 February 2018 the Committee expressed overall support for the measures put forward in the Presidency paper</w:t>
      </w:r>
      <w:r w:rsidRPr="004C0441">
        <w:rPr>
          <w:rStyle w:val="FootnoteReference"/>
          <w:rFonts w:asciiTheme="majorBidi" w:hAnsiTheme="majorBidi" w:cstheme="majorBidi"/>
        </w:rPr>
        <w:footnoteReference w:id="44"/>
      </w:r>
      <w:r w:rsidRPr="004C0441">
        <w:rPr>
          <w:rFonts w:asciiTheme="majorBidi" w:hAnsiTheme="majorBidi" w:cstheme="majorBidi"/>
        </w:rPr>
        <w:t xml:space="preserve"> for more efficient use of the Policy Cycle budget in the future, including taking stock of the state of play of the budget use in September. Europol also presented an explanatory note on the current financial rules and implementation practices in managing the EU Policy Cycle budget</w:t>
      </w:r>
      <w:r w:rsidRPr="004C0441">
        <w:rPr>
          <w:rStyle w:val="FootnoteReference"/>
          <w:rFonts w:asciiTheme="majorBidi" w:hAnsiTheme="majorBidi" w:cstheme="majorBidi"/>
        </w:rPr>
        <w:footnoteReference w:id="45"/>
      </w:r>
      <w:r w:rsidRPr="004C0441">
        <w:rPr>
          <w:rFonts w:asciiTheme="majorBidi" w:hAnsiTheme="majorBidi" w:cstheme="majorBidi"/>
        </w:rPr>
        <w:t>. Delegations underlined the need for transparency and flexibility, including when it comes to holding meetings outside Europol and the funding of non-EU countries' participation. AT suggested establishing a subgroup of funding experts from volunteering Member States under the auspices of the NEC meeting to identify technical and legal options for an improved and</w:t>
      </w:r>
      <w:r>
        <w:rPr>
          <w:rFonts w:asciiTheme="majorBidi" w:hAnsiTheme="majorBidi" w:cstheme="majorBidi"/>
        </w:rPr>
        <w:t>,</w:t>
      </w:r>
      <w:r w:rsidRPr="004C0441">
        <w:rPr>
          <w:rFonts w:asciiTheme="majorBidi" w:hAnsiTheme="majorBidi" w:cstheme="majorBidi"/>
        </w:rPr>
        <w:t xml:space="preserve"> in general</w:t>
      </w:r>
      <w:r>
        <w:rPr>
          <w:rFonts w:asciiTheme="majorBidi" w:hAnsiTheme="majorBidi" w:cstheme="majorBidi"/>
        </w:rPr>
        <w:t>,</w:t>
      </w:r>
      <w:r w:rsidRPr="004C0441">
        <w:rPr>
          <w:rFonts w:asciiTheme="majorBidi" w:hAnsiTheme="majorBidi" w:cstheme="majorBidi"/>
        </w:rPr>
        <w:t xml:space="preserve"> more flexible funding procedure for the EU Policy Cycle. CEPOL will continue to provide training with a view to enhancing knowledge and practical understanding of funding requirements.</w:t>
      </w:r>
    </w:p>
    <w:p w:rsidR="00BA550B" w:rsidRPr="004C0441" w:rsidRDefault="00BA550B" w:rsidP="00BA550B">
      <w:pPr>
        <w:rPr>
          <w:lang w:eastAsia="en-GB"/>
        </w:rPr>
      </w:pPr>
      <w:r w:rsidRPr="004C0441">
        <w:rPr>
          <w:lang w:eastAsia="en-GB"/>
        </w:rPr>
        <w:t>In September 2018 COSI endorsed the short</w:t>
      </w:r>
      <w:r>
        <w:rPr>
          <w:lang w:eastAsia="en-GB"/>
        </w:rPr>
        <w:t>-</w:t>
      </w:r>
      <w:r w:rsidRPr="004C0441">
        <w:rPr>
          <w:lang w:eastAsia="en-GB"/>
        </w:rPr>
        <w:t>term recommendations of the ad hoc expert group on funding, chaired by AT and FR, established under the auspices</w:t>
      </w:r>
      <w:r>
        <w:rPr>
          <w:lang w:eastAsia="en-GB"/>
        </w:rPr>
        <w:t xml:space="preserve"> of the </w:t>
      </w:r>
      <w:r w:rsidRPr="004C0441">
        <w:rPr>
          <w:lang w:eastAsia="en-GB"/>
        </w:rPr>
        <w:t>NEC in April 2018</w:t>
      </w:r>
      <w:r w:rsidRPr="004C0441">
        <w:rPr>
          <w:rStyle w:val="FootnoteReference"/>
          <w:rFonts w:asciiTheme="majorBidi" w:hAnsiTheme="majorBidi" w:cstheme="majorBidi"/>
          <w:lang w:eastAsia="en-GB"/>
        </w:rPr>
        <w:footnoteReference w:id="46"/>
      </w:r>
      <w:r w:rsidRPr="004C0441">
        <w:rPr>
          <w:lang w:eastAsia="en-GB"/>
        </w:rPr>
        <w:t>. Some of these recommendations are already reflected in the allocation of EU Policy Cycle funding in 2019. Work on the mid- and long-term recommendations</w:t>
      </w:r>
      <w:r w:rsidRPr="004C0441">
        <w:rPr>
          <w:rStyle w:val="FootnoteReference"/>
          <w:rFonts w:asciiTheme="majorBidi" w:hAnsiTheme="majorBidi" w:cstheme="majorBidi"/>
          <w:lang w:eastAsia="en-GB"/>
        </w:rPr>
        <w:footnoteReference w:id="47"/>
      </w:r>
      <w:r w:rsidRPr="004C0441">
        <w:rPr>
          <w:lang w:eastAsia="en-GB"/>
        </w:rPr>
        <w:t xml:space="preserve"> will continue in the expert group and a report will be presented to COSI in a future meeting.</w:t>
      </w:r>
    </w:p>
    <w:p w:rsidR="00BA550B" w:rsidRPr="004C0441" w:rsidRDefault="00BA550B" w:rsidP="00BA550B">
      <w:pPr>
        <w:rPr>
          <w:rFonts w:asciiTheme="majorBidi" w:hAnsiTheme="majorBidi" w:cstheme="majorBidi"/>
          <w:color w:val="000000"/>
        </w:rPr>
      </w:pPr>
      <w:r>
        <w:rPr>
          <w:rFonts w:asciiTheme="majorBidi" w:hAnsiTheme="majorBidi" w:cstheme="majorBidi"/>
          <w:iCs/>
        </w:rPr>
        <w:br w:type="page"/>
      </w:r>
      <w:r w:rsidRPr="004C0441">
        <w:rPr>
          <w:rFonts w:asciiTheme="majorBidi" w:hAnsiTheme="majorBidi" w:cstheme="majorBidi"/>
          <w:iCs/>
        </w:rPr>
        <w:t>In September 2018 Europol briefed the Committee on the implementation of the 2018 EU Policy Cycle budget with reference to the 'three streams' of funding</w:t>
      </w:r>
      <w:r w:rsidRPr="004C0441">
        <w:rPr>
          <w:rStyle w:val="FootnoteReference"/>
          <w:rFonts w:asciiTheme="majorBidi" w:hAnsiTheme="majorBidi" w:cstheme="majorBidi"/>
          <w:iCs/>
        </w:rPr>
        <w:footnoteReference w:id="48"/>
      </w:r>
      <w:r w:rsidRPr="004C0441">
        <w:rPr>
          <w:rFonts w:asciiTheme="majorBidi" w:hAnsiTheme="majorBidi" w:cstheme="majorBidi"/>
          <w:iCs/>
        </w:rPr>
        <w:t xml:space="preserve"> (high</w:t>
      </w:r>
      <w:r>
        <w:rPr>
          <w:rFonts w:asciiTheme="majorBidi" w:hAnsiTheme="majorBidi" w:cstheme="majorBidi"/>
          <w:iCs/>
        </w:rPr>
        <w:t>-</w:t>
      </w:r>
      <w:r w:rsidRPr="004C0441">
        <w:rPr>
          <w:rFonts w:asciiTheme="majorBidi" w:hAnsiTheme="majorBidi" w:cstheme="majorBidi"/>
          <w:iCs/>
        </w:rPr>
        <w:t>value grants, low</w:t>
      </w:r>
      <w:r>
        <w:rPr>
          <w:rFonts w:asciiTheme="majorBidi" w:hAnsiTheme="majorBidi" w:cstheme="majorBidi"/>
          <w:iCs/>
        </w:rPr>
        <w:t>-</w:t>
      </w:r>
      <w:r w:rsidRPr="004C0441">
        <w:rPr>
          <w:rFonts w:asciiTheme="majorBidi" w:hAnsiTheme="majorBidi" w:cstheme="majorBidi"/>
          <w:iCs/>
        </w:rPr>
        <w:t xml:space="preserve">value grants and EMPACT meetings organised by Europol). </w:t>
      </w:r>
      <w:r w:rsidRPr="004C0441">
        <w:rPr>
          <w:rFonts w:asciiTheme="majorBidi" w:hAnsiTheme="majorBidi" w:cstheme="majorBidi"/>
          <w:color w:val="000000"/>
        </w:rPr>
        <w:t>There was a high implementation rate in relation to the use of low</w:t>
      </w:r>
      <w:r>
        <w:rPr>
          <w:rFonts w:asciiTheme="majorBidi" w:hAnsiTheme="majorBidi" w:cstheme="majorBidi"/>
          <w:color w:val="000000"/>
        </w:rPr>
        <w:t>-</w:t>
      </w:r>
      <w:r w:rsidRPr="004C0441">
        <w:rPr>
          <w:rFonts w:asciiTheme="majorBidi" w:hAnsiTheme="majorBidi" w:cstheme="majorBidi"/>
          <w:color w:val="000000"/>
        </w:rPr>
        <w:t>value grants</w:t>
      </w:r>
      <w:r>
        <w:rPr>
          <w:rFonts w:asciiTheme="majorBidi" w:hAnsiTheme="majorBidi" w:cstheme="majorBidi"/>
          <w:color w:val="000000"/>
        </w:rPr>
        <w:t>;</w:t>
      </w:r>
      <w:r w:rsidRPr="004C0441">
        <w:rPr>
          <w:rFonts w:asciiTheme="majorBidi" w:hAnsiTheme="majorBidi" w:cstheme="majorBidi"/>
          <w:color w:val="000000"/>
        </w:rPr>
        <w:t xml:space="preserve"> however</w:t>
      </w:r>
      <w:r>
        <w:rPr>
          <w:rFonts w:asciiTheme="majorBidi" w:hAnsiTheme="majorBidi" w:cstheme="majorBidi"/>
          <w:color w:val="000000"/>
        </w:rPr>
        <w:t>,</w:t>
      </w:r>
      <w:r w:rsidRPr="004C0441">
        <w:rPr>
          <w:rFonts w:asciiTheme="majorBidi" w:hAnsiTheme="majorBidi" w:cstheme="majorBidi"/>
          <w:color w:val="000000"/>
        </w:rPr>
        <w:t xml:space="preserve"> the average implementation rate for the </w:t>
      </w:r>
      <w:r>
        <w:rPr>
          <w:rFonts w:asciiTheme="majorBidi" w:hAnsiTheme="majorBidi" w:cstheme="majorBidi"/>
          <w:color w:val="000000"/>
        </w:rPr>
        <w:t>h</w:t>
      </w:r>
      <w:r w:rsidRPr="004C0441">
        <w:rPr>
          <w:rFonts w:asciiTheme="majorBidi" w:hAnsiTheme="majorBidi" w:cstheme="majorBidi"/>
          <w:color w:val="000000"/>
        </w:rPr>
        <w:t>igh</w:t>
      </w:r>
      <w:r>
        <w:rPr>
          <w:rFonts w:asciiTheme="majorBidi" w:hAnsiTheme="majorBidi" w:cstheme="majorBidi"/>
          <w:color w:val="000000"/>
        </w:rPr>
        <w:t>-v</w:t>
      </w:r>
      <w:r w:rsidRPr="004C0441">
        <w:rPr>
          <w:rFonts w:asciiTheme="majorBidi" w:hAnsiTheme="majorBidi" w:cstheme="majorBidi"/>
          <w:color w:val="000000"/>
        </w:rPr>
        <w:t xml:space="preserve">alue </w:t>
      </w:r>
      <w:r>
        <w:rPr>
          <w:rFonts w:asciiTheme="majorBidi" w:hAnsiTheme="majorBidi" w:cstheme="majorBidi"/>
          <w:color w:val="000000"/>
        </w:rPr>
        <w:t>g</w:t>
      </w:r>
      <w:r w:rsidRPr="004C0441">
        <w:rPr>
          <w:rFonts w:asciiTheme="majorBidi" w:hAnsiTheme="majorBidi" w:cstheme="majorBidi"/>
          <w:color w:val="000000"/>
        </w:rPr>
        <w:t>rants wa</w:t>
      </w:r>
      <w:r>
        <w:rPr>
          <w:rFonts w:asciiTheme="majorBidi" w:hAnsiTheme="majorBidi" w:cstheme="majorBidi"/>
          <w:color w:val="000000"/>
        </w:rPr>
        <w:t xml:space="preserve">s at 22 % (in September 2018). </w:t>
      </w:r>
      <w:r w:rsidRPr="004C0441">
        <w:rPr>
          <w:rFonts w:asciiTheme="majorBidi" w:hAnsiTheme="majorBidi" w:cstheme="majorBidi"/>
          <w:color w:val="000000"/>
        </w:rPr>
        <w:t xml:space="preserve">It was recalled that there is also a possibility to </w:t>
      </w:r>
      <w:r w:rsidRPr="004C0441">
        <w:rPr>
          <w:rFonts w:asciiTheme="majorBidi" w:hAnsiTheme="majorBidi" w:cstheme="majorBidi"/>
        </w:rPr>
        <w:t>transfer the unallocated funds from the high-value grants to the overall envelope available for the low-value grants, thus increasing the operational support for all OAPs.</w:t>
      </w:r>
      <w:r w:rsidRPr="004C0441">
        <w:rPr>
          <w:rFonts w:asciiTheme="majorBidi" w:hAnsiTheme="majorBidi" w:cstheme="majorBidi"/>
          <w:color w:val="000000"/>
        </w:rPr>
        <w:t xml:space="preserve"> Member States were encouraged to engage proactively in maximising the use of available funds. </w:t>
      </w:r>
    </w:p>
    <w:p w:rsidR="00BA550B" w:rsidRPr="004C0441" w:rsidRDefault="00BA550B" w:rsidP="00BA550B">
      <w:pPr>
        <w:pStyle w:val="NormalWeb"/>
        <w:spacing w:before="120" w:beforeAutospacing="0" w:after="120" w:afterAutospacing="0" w:line="360" w:lineRule="auto"/>
        <w:rPr>
          <w:rFonts w:asciiTheme="majorBidi" w:hAnsiTheme="majorBidi" w:cstheme="majorBidi"/>
          <w:color w:val="000000"/>
        </w:rPr>
      </w:pPr>
      <w:r w:rsidRPr="004C0441">
        <w:rPr>
          <w:rFonts w:asciiTheme="majorBidi" w:hAnsiTheme="majorBidi" w:cstheme="majorBidi"/>
          <w:color w:val="000000"/>
        </w:rPr>
        <w:t xml:space="preserve">In order to keep a clear perspective of the funding distribution and expenditure, Europol will present a state of play to COSI every June so that funds may be reallocated within the two types of </w:t>
      </w:r>
      <w:r>
        <w:rPr>
          <w:rFonts w:asciiTheme="majorBidi" w:hAnsiTheme="majorBidi" w:cstheme="majorBidi"/>
          <w:color w:val="000000"/>
        </w:rPr>
        <w:t>grants.</w:t>
      </w:r>
    </w:p>
    <w:p w:rsidR="00BA550B" w:rsidRPr="004B1E9A" w:rsidRDefault="00BA550B" w:rsidP="00BA550B">
      <w:pPr>
        <w:pStyle w:val="Heading123"/>
        <w:numPr>
          <w:ilvl w:val="0"/>
          <w:numId w:val="0"/>
        </w:numPr>
        <w:spacing w:before="0"/>
        <w:ind w:left="992"/>
        <w:rPr>
          <w:sz w:val="2"/>
          <w:szCs w:val="2"/>
        </w:rPr>
      </w:pPr>
      <w:bookmarkStart w:id="33" w:name="_Toc1655408"/>
    </w:p>
    <w:p w:rsidR="00BA550B" w:rsidRPr="005C36C2" w:rsidRDefault="00BA550B" w:rsidP="00BA550B">
      <w:pPr>
        <w:pStyle w:val="Heading2"/>
        <w:spacing w:before="120" w:after="120"/>
        <w:rPr>
          <w:rFonts w:asciiTheme="majorBidi" w:eastAsia="Times New Roman" w:hAnsiTheme="majorBidi"/>
          <w:b/>
          <w:bCs/>
          <w:color w:val="auto"/>
          <w:sz w:val="24"/>
          <w:szCs w:val="24"/>
          <w:lang w:val="en-GB"/>
        </w:rPr>
      </w:pPr>
      <w:bookmarkStart w:id="34" w:name="_Toc3188501"/>
      <w:r>
        <w:rPr>
          <w:rFonts w:asciiTheme="majorBidi" w:eastAsia="Times New Roman" w:hAnsiTheme="majorBidi"/>
          <w:b/>
          <w:bCs/>
          <w:color w:val="auto"/>
          <w:sz w:val="24"/>
          <w:szCs w:val="24"/>
          <w:lang w:val="en-GB"/>
        </w:rPr>
        <w:t>4.3.</w:t>
      </w:r>
      <w:r>
        <w:rPr>
          <w:rFonts w:asciiTheme="majorBidi" w:eastAsia="Times New Roman" w:hAnsiTheme="majorBidi"/>
          <w:b/>
          <w:bCs/>
          <w:color w:val="auto"/>
          <w:sz w:val="24"/>
          <w:szCs w:val="24"/>
          <w:lang w:val="en-GB"/>
        </w:rPr>
        <w:tab/>
      </w:r>
      <w:r w:rsidRPr="005C36C2">
        <w:rPr>
          <w:rFonts w:asciiTheme="majorBidi" w:eastAsia="Times New Roman" w:hAnsiTheme="majorBidi"/>
          <w:b/>
          <w:bCs/>
          <w:color w:val="auto"/>
          <w:sz w:val="24"/>
          <w:szCs w:val="24"/>
          <w:lang w:val="en-GB"/>
        </w:rPr>
        <w:t>Strengthening the EU Policy Cycle</w:t>
      </w:r>
      <w:bookmarkEnd w:id="34"/>
      <w:r w:rsidRPr="005C36C2">
        <w:rPr>
          <w:rFonts w:asciiTheme="majorBidi" w:eastAsia="Times New Roman" w:hAnsiTheme="majorBidi"/>
          <w:b/>
          <w:bCs/>
          <w:color w:val="auto"/>
          <w:sz w:val="24"/>
          <w:szCs w:val="24"/>
          <w:lang w:val="en-GB"/>
        </w:rPr>
        <w:t xml:space="preserve"> </w:t>
      </w:r>
      <w:bookmarkStart w:id="35" w:name="_Toc1655409"/>
      <w:bookmarkEnd w:id="33"/>
    </w:p>
    <w:p w:rsidR="00BA550B" w:rsidRPr="004C0441" w:rsidRDefault="00BA550B" w:rsidP="00BA550B">
      <w:pPr>
        <w:pStyle w:val="Heading2"/>
        <w:spacing w:before="120" w:after="120"/>
        <w:rPr>
          <w:rFonts w:asciiTheme="majorBidi" w:eastAsia="Times New Roman" w:hAnsiTheme="majorBidi"/>
          <w:b/>
          <w:bCs/>
          <w:color w:val="auto"/>
          <w:sz w:val="24"/>
          <w:szCs w:val="24"/>
          <w:lang w:val="en-GB"/>
        </w:rPr>
      </w:pPr>
      <w:bookmarkStart w:id="36" w:name="_Toc3188502"/>
      <w:r>
        <w:rPr>
          <w:rFonts w:asciiTheme="majorBidi" w:eastAsia="Times New Roman" w:hAnsiTheme="majorBidi"/>
          <w:b/>
          <w:bCs/>
          <w:color w:val="auto"/>
          <w:sz w:val="24"/>
          <w:szCs w:val="24"/>
          <w:lang w:val="en-GB"/>
        </w:rPr>
        <w:t>4.3</w:t>
      </w:r>
      <w:r w:rsidRPr="004C0441">
        <w:rPr>
          <w:rFonts w:asciiTheme="majorBidi" w:eastAsia="Times New Roman" w:hAnsiTheme="majorBidi"/>
          <w:b/>
          <w:bCs/>
          <w:color w:val="auto"/>
          <w:sz w:val="24"/>
          <w:szCs w:val="24"/>
          <w:lang w:val="en-GB"/>
        </w:rPr>
        <w:t>.</w:t>
      </w:r>
      <w:r>
        <w:rPr>
          <w:rFonts w:asciiTheme="majorBidi" w:eastAsia="Times New Roman" w:hAnsiTheme="majorBidi"/>
          <w:b/>
          <w:bCs/>
          <w:color w:val="auto"/>
          <w:sz w:val="24"/>
          <w:szCs w:val="24"/>
          <w:lang w:val="en-GB"/>
        </w:rPr>
        <w:t>1.</w:t>
      </w:r>
      <w:r>
        <w:rPr>
          <w:rFonts w:asciiTheme="majorBidi" w:eastAsia="Times New Roman" w:hAnsiTheme="majorBidi"/>
          <w:b/>
          <w:bCs/>
          <w:color w:val="auto"/>
          <w:sz w:val="24"/>
          <w:szCs w:val="24"/>
          <w:lang w:val="en-GB"/>
        </w:rPr>
        <w:tab/>
      </w:r>
      <w:r w:rsidRPr="004C0441">
        <w:rPr>
          <w:rFonts w:asciiTheme="majorBidi" w:eastAsia="Times New Roman" w:hAnsiTheme="majorBidi"/>
          <w:b/>
          <w:bCs/>
          <w:color w:val="auto"/>
          <w:sz w:val="24"/>
          <w:szCs w:val="24"/>
          <w:lang w:val="en-GB"/>
        </w:rPr>
        <w:t>Approval of the new reporting mechanism</w:t>
      </w:r>
      <w:bookmarkEnd w:id="35"/>
      <w:bookmarkEnd w:id="36"/>
    </w:p>
    <w:p w:rsidR="00BA550B" w:rsidRPr="004C0441" w:rsidRDefault="00BA550B" w:rsidP="00BA550B">
      <w:pPr>
        <w:rPr>
          <w:rFonts w:asciiTheme="majorBidi" w:hAnsiTheme="majorBidi" w:cstheme="majorBidi"/>
        </w:rPr>
      </w:pPr>
      <w:r>
        <w:rPr>
          <w:rFonts w:asciiTheme="majorBidi" w:hAnsiTheme="majorBidi" w:cstheme="majorBidi"/>
        </w:rPr>
        <w:t>O</w:t>
      </w:r>
      <w:r w:rsidRPr="004C0441">
        <w:rPr>
          <w:rFonts w:asciiTheme="majorBidi" w:hAnsiTheme="majorBidi" w:cstheme="majorBidi"/>
        </w:rPr>
        <w:t xml:space="preserve">n 14 December 2017 </w:t>
      </w:r>
      <w:r>
        <w:rPr>
          <w:rFonts w:asciiTheme="majorBidi" w:hAnsiTheme="majorBidi" w:cstheme="majorBidi"/>
        </w:rPr>
        <w:t xml:space="preserve">the Committee </w:t>
      </w:r>
      <w:r w:rsidRPr="004C0441">
        <w:rPr>
          <w:rFonts w:asciiTheme="majorBidi" w:hAnsiTheme="majorBidi" w:cstheme="majorBidi"/>
        </w:rPr>
        <w:t>approved the reporting mechanism for the EU Policy Cycle 2018-2021</w:t>
      </w:r>
      <w:r w:rsidRPr="004C0441">
        <w:rPr>
          <w:rStyle w:val="FootnoteReference"/>
          <w:rFonts w:asciiTheme="majorBidi" w:hAnsiTheme="majorBidi" w:cstheme="majorBidi"/>
        </w:rPr>
        <w:footnoteReference w:id="49"/>
      </w:r>
      <w:r w:rsidRPr="004C0441">
        <w:rPr>
          <w:rFonts w:asciiTheme="majorBidi" w:hAnsiTheme="majorBidi" w:cstheme="majorBidi"/>
        </w:rPr>
        <w:t xml:space="preserve">. </w:t>
      </w:r>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The new reporting mechanism </w:t>
      </w:r>
      <w:r w:rsidRPr="004C0441">
        <w:rPr>
          <w:rFonts w:asciiTheme="majorBidi" w:hAnsiTheme="majorBidi" w:cstheme="majorBidi"/>
          <w:szCs w:val="28"/>
        </w:rPr>
        <w:t xml:space="preserve">contains a number of elements, including new reporting templates and schemes, aimed at facilitating the work of the Drivers, Co-Drivers and Action Leaders while making it possible to </w:t>
      </w:r>
      <w:r w:rsidRPr="004C0441">
        <w:rPr>
          <w:rFonts w:asciiTheme="majorBidi" w:hAnsiTheme="majorBidi" w:cstheme="majorBidi"/>
          <w:szCs w:val="20"/>
        </w:rPr>
        <w:t>ensure more uniform reporting against KPIs and to</w:t>
      </w:r>
      <w:r w:rsidRPr="004C0441">
        <w:rPr>
          <w:rFonts w:asciiTheme="majorBidi" w:hAnsiTheme="majorBidi" w:cstheme="majorBidi"/>
          <w:szCs w:val="28"/>
        </w:rPr>
        <w:t xml:space="preserve"> better summarise and highlight the results and achievements of the EU Policy Cycle.</w:t>
      </w:r>
      <w:r w:rsidRPr="004C0441">
        <w:rPr>
          <w:rStyle w:val="FootnoteReference"/>
          <w:rFonts w:asciiTheme="majorBidi" w:hAnsiTheme="majorBidi" w:cstheme="majorBidi"/>
          <w:szCs w:val="28"/>
        </w:rPr>
        <w:footnoteReference w:id="50"/>
      </w:r>
      <w:r>
        <w:rPr>
          <w:rFonts w:asciiTheme="majorBidi" w:hAnsiTheme="majorBidi" w:cstheme="majorBidi"/>
          <w:szCs w:val="28"/>
        </w:rPr>
        <w:t xml:space="preserve"> </w:t>
      </w:r>
      <w:r w:rsidRPr="004C0441">
        <w:rPr>
          <w:rFonts w:asciiTheme="majorBidi" w:hAnsiTheme="majorBidi" w:cstheme="majorBidi"/>
        </w:rPr>
        <w:t xml:space="preserve">The Drivers and </w:t>
      </w:r>
      <w:r>
        <w:rPr>
          <w:rFonts w:asciiTheme="majorBidi" w:hAnsiTheme="majorBidi" w:cstheme="majorBidi"/>
        </w:rPr>
        <w:t>A</w:t>
      </w:r>
      <w:r w:rsidRPr="004C0441">
        <w:rPr>
          <w:rFonts w:asciiTheme="majorBidi" w:hAnsiTheme="majorBidi" w:cstheme="majorBidi"/>
        </w:rPr>
        <w:t xml:space="preserve">ction </w:t>
      </w:r>
      <w:r>
        <w:rPr>
          <w:rFonts w:asciiTheme="majorBidi" w:hAnsiTheme="majorBidi" w:cstheme="majorBidi"/>
        </w:rPr>
        <w:t>L</w:t>
      </w:r>
      <w:r w:rsidRPr="004C0441">
        <w:rPr>
          <w:rFonts w:asciiTheme="majorBidi" w:hAnsiTheme="majorBidi" w:cstheme="majorBidi"/>
        </w:rPr>
        <w:t xml:space="preserve">eaders will have a different reporting schedule and methodology, and there is a common set of </w:t>
      </w:r>
      <w:r w:rsidRPr="004C0441">
        <w:rPr>
          <w:rFonts w:asciiTheme="majorBidi" w:hAnsiTheme="majorBidi" w:cstheme="majorBidi"/>
          <w:u w:val="single"/>
        </w:rPr>
        <w:t>common minimum</w:t>
      </w:r>
      <w:r w:rsidRPr="004C0441">
        <w:rPr>
          <w:rFonts w:asciiTheme="majorBidi" w:hAnsiTheme="majorBidi" w:cstheme="majorBidi"/>
        </w:rPr>
        <w:t xml:space="preserve"> horizontal strategic goals for all crime priorities</w:t>
      </w:r>
      <w:r>
        <w:rPr>
          <w:rFonts w:asciiTheme="majorBidi" w:hAnsiTheme="majorBidi" w:cstheme="majorBidi"/>
        </w:rPr>
        <w:t>,</w:t>
      </w:r>
      <w:r w:rsidRPr="004C0441">
        <w:rPr>
          <w:rFonts w:asciiTheme="majorBidi" w:hAnsiTheme="majorBidi" w:cstheme="majorBidi"/>
        </w:rPr>
        <w:t xml:space="preserve"> which will improve consistency.</w:t>
      </w:r>
    </w:p>
    <w:p w:rsidR="00BA550B" w:rsidRPr="004C0441" w:rsidRDefault="00BA550B" w:rsidP="00BA550B">
      <w:pPr>
        <w:pStyle w:val="Heading3"/>
        <w:spacing w:before="120" w:after="120"/>
        <w:rPr>
          <w:rFonts w:asciiTheme="majorBidi" w:hAnsiTheme="majorBidi"/>
          <w:color w:val="auto"/>
          <w:lang w:val="en-GB"/>
        </w:rPr>
      </w:pPr>
      <w:bookmarkStart w:id="37" w:name="_Toc3188465"/>
      <w:bookmarkStart w:id="38" w:name="_Toc3188503"/>
      <w:r w:rsidRPr="004C0441">
        <w:rPr>
          <w:rFonts w:asciiTheme="majorBidi" w:hAnsiTheme="majorBidi"/>
          <w:color w:val="auto"/>
          <w:lang w:val="en-GB"/>
        </w:rPr>
        <w:t xml:space="preserve">As stated </w:t>
      </w:r>
      <w:r>
        <w:rPr>
          <w:rFonts w:asciiTheme="majorBidi" w:hAnsiTheme="majorBidi"/>
          <w:color w:val="auto"/>
          <w:lang w:val="en-GB"/>
        </w:rPr>
        <w:t>previously</w:t>
      </w:r>
      <w:r w:rsidRPr="004C0441">
        <w:rPr>
          <w:rFonts w:asciiTheme="majorBidi" w:hAnsiTheme="majorBidi"/>
          <w:color w:val="auto"/>
          <w:lang w:val="en-GB"/>
        </w:rPr>
        <w:t>, work on a possible IT online reporting online tool will be further explored with a view to try</w:t>
      </w:r>
      <w:r>
        <w:rPr>
          <w:rFonts w:asciiTheme="majorBidi" w:hAnsiTheme="majorBidi"/>
          <w:color w:val="auto"/>
          <w:lang w:val="en-GB"/>
        </w:rPr>
        <w:t>ing</w:t>
      </w:r>
      <w:r w:rsidRPr="004C0441">
        <w:rPr>
          <w:rFonts w:asciiTheme="majorBidi" w:hAnsiTheme="majorBidi"/>
          <w:color w:val="auto"/>
          <w:lang w:val="en-GB"/>
        </w:rPr>
        <w:t xml:space="preserve"> to implement it in the course of the four-year period of the Cycle.</w:t>
      </w:r>
      <w:bookmarkEnd w:id="37"/>
      <w:bookmarkEnd w:id="38"/>
    </w:p>
    <w:p w:rsidR="00BA550B" w:rsidRPr="004C0441" w:rsidRDefault="00BA550B" w:rsidP="00BA550B">
      <w:pPr>
        <w:pStyle w:val="Heading2"/>
        <w:spacing w:before="120" w:after="120"/>
        <w:rPr>
          <w:rFonts w:asciiTheme="majorBidi" w:hAnsiTheme="majorBidi"/>
          <w:b/>
          <w:bCs/>
          <w:lang w:eastAsia="fr-BE"/>
        </w:rPr>
      </w:pPr>
      <w:r>
        <w:rPr>
          <w:rFonts w:asciiTheme="majorBidi" w:hAnsiTheme="majorBidi"/>
          <w:b/>
          <w:bCs/>
          <w:lang w:eastAsia="fr-BE"/>
        </w:rPr>
        <w:br w:type="page"/>
      </w:r>
      <w:bookmarkStart w:id="39" w:name="_Toc3188504"/>
      <w:r w:rsidRPr="00FC6766">
        <w:rPr>
          <w:rFonts w:asciiTheme="majorBidi" w:eastAsia="Times New Roman" w:hAnsiTheme="majorBidi"/>
          <w:b/>
          <w:bCs/>
          <w:color w:val="auto"/>
          <w:sz w:val="24"/>
          <w:szCs w:val="24"/>
          <w:lang w:val="en-GB"/>
        </w:rPr>
        <w:t>4.3.2.</w:t>
      </w:r>
      <w:r w:rsidRPr="00FC6766">
        <w:rPr>
          <w:rFonts w:asciiTheme="majorBidi" w:eastAsia="Times New Roman" w:hAnsiTheme="majorBidi"/>
          <w:b/>
          <w:bCs/>
          <w:color w:val="auto"/>
          <w:sz w:val="24"/>
          <w:szCs w:val="24"/>
          <w:lang w:val="en-GB"/>
        </w:rPr>
        <w:tab/>
        <w:t>Strengthening the identity of the EU Policy Cycle</w:t>
      </w:r>
      <w:bookmarkEnd w:id="39"/>
      <w:r w:rsidRPr="004C0441">
        <w:rPr>
          <w:rFonts w:asciiTheme="majorBidi" w:hAnsiTheme="majorBidi"/>
          <w:b/>
          <w:bCs/>
          <w:lang w:eastAsia="fr-BE"/>
        </w:rPr>
        <w:t xml:space="preserve"> </w:t>
      </w:r>
    </w:p>
    <w:p w:rsidR="00BA550B" w:rsidRPr="004C0441" w:rsidRDefault="00BA550B" w:rsidP="00BA550B">
      <w:pPr>
        <w:rPr>
          <w:rFonts w:asciiTheme="majorBidi" w:hAnsiTheme="majorBidi" w:cstheme="majorBidi"/>
        </w:rPr>
      </w:pPr>
      <w:r w:rsidRPr="004C0441">
        <w:rPr>
          <w:rFonts w:asciiTheme="majorBidi" w:hAnsiTheme="majorBidi" w:cstheme="majorBidi"/>
        </w:rPr>
        <w:t>COSI further provided guidance</w:t>
      </w:r>
      <w:r w:rsidRPr="004C0441">
        <w:rPr>
          <w:rFonts w:asciiTheme="majorBidi" w:hAnsiTheme="majorBidi" w:cstheme="majorBidi"/>
          <w:color w:val="000000"/>
          <w:lang w:eastAsia="en-GB"/>
        </w:rPr>
        <w:t xml:space="preserve"> on strengthening the identity of the EU Policy Cycle and endorsed the recommendations on improving communication on the EU Policy Cycle</w:t>
      </w:r>
      <w:r w:rsidRPr="004C0441">
        <w:rPr>
          <w:rStyle w:val="FootnoteReference"/>
          <w:rFonts w:asciiTheme="majorBidi" w:hAnsiTheme="majorBidi" w:cstheme="majorBidi"/>
          <w:color w:val="000000"/>
          <w:lang w:eastAsia="en-GB"/>
        </w:rPr>
        <w:footnoteReference w:id="51"/>
      </w:r>
      <w:r w:rsidRPr="004C0441">
        <w:rPr>
          <w:rFonts w:asciiTheme="majorBidi" w:hAnsiTheme="majorBidi" w:cstheme="majorBidi"/>
          <w:color w:val="000000"/>
          <w:lang w:eastAsia="en-GB"/>
        </w:rPr>
        <w:t>, including the logo proposed by the NECs on 15 May 2018.</w:t>
      </w:r>
    </w:p>
    <w:p w:rsidR="00BA550B" w:rsidRPr="004C0441" w:rsidRDefault="00BA550B" w:rsidP="00BA550B">
      <w:pPr>
        <w:rPr>
          <w:rFonts w:asciiTheme="majorBidi" w:hAnsiTheme="majorBidi" w:cstheme="majorBidi"/>
          <w:lang w:eastAsia="fr-BE"/>
        </w:rPr>
      </w:pPr>
      <w:r w:rsidRPr="004C0441">
        <w:rPr>
          <w:rFonts w:asciiTheme="majorBidi" w:hAnsiTheme="majorBidi" w:cstheme="majorBidi"/>
          <w:lang w:eastAsia="fr-BE"/>
        </w:rPr>
        <w:t xml:space="preserve">The BG Presidency announced that the Council website now has a new dedicated page with content on the EU Policy Cycle, which is intended to improve </w:t>
      </w:r>
      <w:r>
        <w:rPr>
          <w:rFonts w:asciiTheme="majorBidi" w:hAnsiTheme="majorBidi" w:cstheme="majorBidi"/>
          <w:lang w:eastAsia="fr-BE"/>
        </w:rPr>
        <w:t xml:space="preserve">the </w:t>
      </w:r>
      <w:r w:rsidRPr="004C0441">
        <w:rPr>
          <w:rFonts w:asciiTheme="majorBidi" w:hAnsiTheme="majorBidi" w:cstheme="majorBidi"/>
          <w:lang w:eastAsia="fr-BE"/>
        </w:rPr>
        <w:t>visibility of the EU Policy Cycle and of its contribution to combating organised and serious international crime</w:t>
      </w:r>
      <w:r w:rsidRPr="004C0441">
        <w:rPr>
          <w:rStyle w:val="FootnoteReference"/>
          <w:rFonts w:asciiTheme="majorBidi" w:hAnsiTheme="majorBidi" w:cstheme="majorBidi"/>
          <w:lang w:eastAsia="fr-BE"/>
        </w:rPr>
        <w:footnoteReference w:id="52"/>
      </w:r>
      <w:r w:rsidRPr="004C0441">
        <w:rPr>
          <w:rFonts w:asciiTheme="majorBidi" w:hAnsiTheme="majorBidi" w:cstheme="majorBidi"/>
          <w:lang w:eastAsia="fr-BE"/>
        </w:rPr>
        <w:t>. Updated Terms of Reference</w:t>
      </w:r>
      <w:r w:rsidRPr="004C0441">
        <w:rPr>
          <w:rStyle w:val="FootnoteReference"/>
          <w:rFonts w:asciiTheme="majorBidi" w:hAnsiTheme="majorBidi" w:cstheme="majorBidi"/>
          <w:lang w:eastAsia="fr-BE"/>
        </w:rPr>
        <w:footnoteReference w:id="53"/>
      </w:r>
      <w:r w:rsidRPr="004C0441">
        <w:rPr>
          <w:rFonts w:asciiTheme="majorBidi" w:hAnsiTheme="majorBidi" w:cstheme="majorBidi"/>
          <w:lang w:eastAsia="fr-BE"/>
        </w:rPr>
        <w:t xml:space="preserve"> were discussed by the COSI Support Group on 10 December 2018 in order to operationalise the media recommendations on better communication </w:t>
      </w:r>
      <w:r>
        <w:rPr>
          <w:rFonts w:asciiTheme="majorBidi" w:hAnsiTheme="majorBidi" w:cstheme="majorBidi"/>
          <w:lang w:eastAsia="fr-BE"/>
        </w:rPr>
        <w:t>on</w:t>
      </w:r>
      <w:r w:rsidRPr="004C0441">
        <w:rPr>
          <w:rFonts w:asciiTheme="majorBidi" w:hAnsiTheme="majorBidi" w:cstheme="majorBidi"/>
          <w:lang w:eastAsia="fr-BE"/>
        </w:rPr>
        <w:t xml:space="preserve"> </w:t>
      </w:r>
      <w:r>
        <w:rPr>
          <w:rFonts w:asciiTheme="majorBidi" w:hAnsiTheme="majorBidi" w:cstheme="majorBidi"/>
          <w:lang w:eastAsia="fr-BE"/>
        </w:rPr>
        <w:t>the EU Policy Cycle.</w:t>
      </w:r>
    </w:p>
    <w:p w:rsidR="00BA550B" w:rsidRPr="00FC6766" w:rsidRDefault="00BA550B" w:rsidP="00BA550B">
      <w:pPr>
        <w:pStyle w:val="Heading2"/>
        <w:spacing w:before="120" w:after="120"/>
        <w:rPr>
          <w:rFonts w:asciiTheme="majorBidi" w:eastAsia="Times New Roman" w:hAnsiTheme="majorBidi"/>
          <w:b/>
          <w:bCs/>
          <w:color w:val="auto"/>
          <w:sz w:val="24"/>
          <w:szCs w:val="24"/>
          <w:lang w:val="en-GB"/>
        </w:rPr>
      </w:pPr>
      <w:bookmarkStart w:id="40" w:name="_Toc1655411"/>
      <w:bookmarkStart w:id="41" w:name="_Toc3188505"/>
      <w:r w:rsidRPr="00FC6766">
        <w:rPr>
          <w:rFonts w:asciiTheme="majorBidi" w:eastAsia="Times New Roman" w:hAnsiTheme="majorBidi"/>
          <w:b/>
          <w:bCs/>
          <w:color w:val="auto"/>
          <w:sz w:val="24"/>
          <w:szCs w:val="24"/>
          <w:lang w:val="en-GB"/>
        </w:rPr>
        <w:t>4.3.</w:t>
      </w:r>
      <w:r>
        <w:rPr>
          <w:rFonts w:asciiTheme="majorBidi" w:eastAsia="Times New Roman" w:hAnsiTheme="majorBidi"/>
          <w:b/>
          <w:bCs/>
          <w:color w:val="auto"/>
          <w:sz w:val="24"/>
          <w:szCs w:val="24"/>
          <w:lang w:val="en-GB"/>
        </w:rPr>
        <w:t>3</w:t>
      </w:r>
      <w:r w:rsidRPr="00FC6766">
        <w:rPr>
          <w:rFonts w:asciiTheme="majorBidi" w:eastAsia="Times New Roman" w:hAnsiTheme="majorBidi"/>
          <w:b/>
          <w:bCs/>
          <w:color w:val="auto"/>
          <w:sz w:val="24"/>
          <w:szCs w:val="24"/>
          <w:lang w:val="en-GB"/>
        </w:rPr>
        <w:t>.</w:t>
      </w:r>
      <w:r w:rsidRPr="00FC6766">
        <w:rPr>
          <w:rFonts w:asciiTheme="majorBidi" w:eastAsia="Times New Roman" w:hAnsiTheme="majorBidi"/>
          <w:b/>
          <w:bCs/>
          <w:color w:val="auto"/>
          <w:sz w:val="24"/>
          <w:szCs w:val="24"/>
          <w:lang w:val="en-GB"/>
        </w:rPr>
        <w:tab/>
        <w:t>Joint Action Days</w:t>
      </w:r>
      <w:bookmarkEnd w:id="40"/>
      <w:r w:rsidRPr="00FC6766">
        <w:rPr>
          <w:rFonts w:asciiTheme="majorBidi" w:eastAsia="Times New Roman" w:hAnsiTheme="majorBidi"/>
          <w:b/>
          <w:bCs/>
          <w:color w:val="auto"/>
          <w:sz w:val="24"/>
          <w:szCs w:val="24"/>
          <w:lang w:val="en-GB"/>
        </w:rPr>
        <w:t xml:space="preserve"> (JADs)</w:t>
      </w:r>
      <w:bookmarkEnd w:id="41"/>
    </w:p>
    <w:p w:rsidR="00BA550B" w:rsidRPr="004C0441" w:rsidRDefault="00BA550B" w:rsidP="00BA550B">
      <w:pPr>
        <w:rPr>
          <w:rFonts w:asciiTheme="majorBidi" w:hAnsiTheme="majorBidi" w:cstheme="majorBidi"/>
          <w:lang w:eastAsia="fr-BE"/>
        </w:rPr>
      </w:pPr>
      <w:r w:rsidRPr="004C0441">
        <w:rPr>
          <w:rFonts w:asciiTheme="majorBidi" w:hAnsiTheme="majorBidi" w:cstheme="majorBidi"/>
          <w:lang w:eastAsia="fr-BE"/>
        </w:rPr>
        <w:t>Following the strategic guidance provided by COSI on 14 December 2017</w:t>
      </w:r>
      <w:r w:rsidRPr="004C0441">
        <w:rPr>
          <w:rStyle w:val="FootnoteReference"/>
          <w:rFonts w:asciiTheme="majorBidi" w:hAnsiTheme="majorBidi" w:cstheme="majorBidi"/>
          <w:lang w:eastAsia="fr-BE"/>
        </w:rPr>
        <w:footnoteReference w:id="54"/>
      </w:r>
      <w:r w:rsidRPr="004C0441">
        <w:rPr>
          <w:rFonts w:asciiTheme="majorBidi" w:hAnsiTheme="majorBidi" w:cstheme="majorBidi"/>
          <w:lang w:eastAsia="fr-BE"/>
        </w:rPr>
        <w:t>, on 5 February 2018 the COSI Support Group agreed on the JADs 2018</w:t>
      </w:r>
      <w:r w:rsidRPr="004C0441">
        <w:rPr>
          <w:rStyle w:val="FootnoteReference"/>
          <w:rFonts w:asciiTheme="majorBidi" w:hAnsiTheme="majorBidi" w:cstheme="majorBidi"/>
          <w:lang w:eastAsia="fr-BE"/>
        </w:rPr>
        <w:footnoteReference w:id="55"/>
      </w:r>
      <w:r>
        <w:rPr>
          <w:rFonts w:asciiTheme="majorBidi" w:hAnsiTheme="majorBidi" w:cstheme="majorBidi"/>
          <w:lang w:eastAsia="fr-BE"/>
        </w:rPr>
        <w:t>.</w:t>
      </w:r>
    </w:p>
    <w:p w:rsidR="00BA550B" w:rsidRPr="004C0441" w:rsidRDefault="00BA550B" w:rsidP="00BA550B">
      <w:pPr>
        <w:rPr>
          <w:rFonts w:asciiTheme="majorBidi" w:hAnsiTheme="majorBidi" w:cstheme="majorBidi"/>
          <w:lang w:eastAsia="fr-BE"/>
        </w:rPr>
      </w:pPr>
      <w:r w:rsidRPr="004C0441">
        <w:rPr>
          <w:rFonts w:asciiTheme="majorBidi" w:hAnsiTheme="majorBidi" w:cstheme="majorBidi"/>
          <w:lang w:eastAsia="fr-BE"/>
        </w:rPr>
        <w:t>The final results and evaluations of the JADs 2018</w:t>
      </w:r>
      <w:r w:rsidRPr="004C0441">
        <w:rPr>
          <w:rStyle w:val="FootnoteReference"/>
          <w:rFonts w:asciiTheme="majorBidi" w:hAnsiTheme="majorBidi" w:cstheme="majorBidi"/>
          <w:lang w:eastAsia="fr-BE"/>
        </w:rPr>
        <w:footnoteReference w:id="56"/>
      </w:r>
      <w:r>
        <w:rPr>
          <w:rFonts w:asciiTheme="majorBidi" w:hAnsiTheme="majorBidi" w:cstheme="majorBidi"/>
          <w:lang w:eastAsia="fr-BE"/>
        </w:rPr>
        <w:t xml:space="preserve"> </w:t>
      </w:r>
      <w:r w:rsidRPr="004C0441">
        <w:rPr>
          <w:rFonts w:asciiTheme="majorBidi" w:hAnsiTheme="majorBidi" w:cstheme="majorBidi"/>
          <w:lang w:eastAsia="fr-BE"/>
        </w:rPr>
        <w:t>and strategic guidance by COSI for JADs 2019 were presented to COSI SG on 10 December 2018. It was highlighted that JADs are growing in number and are constantly improving. The main results from 2018 included 1</w:t>
      </w:r>
      <w:r>
        <w:rPr>
          <w:rFonts w:asciiTheme="majorBidi" w:hAnsiTheme="majorBidi" w:cstheme="majorBidi"/>
          <w:lang w:eastAsia="fr-BE"/>
        </w:rPr>
        <w:t> </w:t>
      </w:r>
      <w:r w:rsidRPr="004C0441">
        <w:rPr>
          <w:rFonts w:asciiTheme="majorBidi" w:hAnsiTheme="majorBidi" w:cstheme="majorBidi"/>
          <w:lang w:eastAsia="fr-BE"/>
        </w:rPr>
        <w:t>026 cases and investigations initiated, 1</w:t>
      </w:r>
      <w:r>
        <w:rPr>
          <w:rFonts w:asciiTheme="majorBidi" w:hAnsiTheme="majorBidi" w:cstheme="majorBidi"/>
          <w:lang w:eastAsia="fr-BE"/>
        </w:rPr>
        <w:t> </w:t>
      </w:r>
      <w:r w:rsidRPr="004C0441">
        <w:rPr>
          <w:rFonts w:asciiTheme="majorBidi" w:hAnsiTheme="majorBidi" w:cstheme="majorBidi"/>
          <w:lang w:eastAsia="fr-BE"/>
        </w:rPr>
        <w:t>137 suspect</w:t>
      </w:r>
      <w:r>
        <w:rPr>
          <w:rFonts w:asciiTheme="majorBidi" w:hAnsiTheme="majorBidi" w:cstheme="majorBidi"/>
          <w:lang w:eastAsia="fr-BE"/>
        </w:rPr>
        <w:t>s</w:t>
      </w:r>
      <w:r w:rsidRPr="004C0441">
        <w:rPr>
          <w:rFonts w:asciiTheme="majorBidi" w:hAnsiTheme="majorBidi" w:cstheme="majorBidi"/>
          <w:lang w:eastAsia="fr-BE"/>
        </w:rPr>
        <w:t xml:space="preserve"> arrested, 136 firearms sized and 337 human trafficking victims identified. The financial crime dimension was identified as an area where </w:t>
      </w:r>
      <w:r>
        <w:rPr>
          <w:rFonts w:asciiTheme="majorBidi" w:hAnsiTheme="majorBidi" w:cstheme="majorBidi"/>
          <w:lang w:eastAsia="fr-BE"/>
        </w:rPr>
        <w:t>improvement was still required.</w:t>
      </w:r>
    </w:p>
    <w:p w:rsidR="00BA550B" w:rsidRPr="004C0441" w:rsidRDefault="00BA550B" w:rsidP="003D33B0">
      <w:pPr>
        <w:pStyle w:val="Heading123"/>
        <w:numPr>
          <w:ilvl w:val="0"/>
          <w:numId w:val="24"/>
        </w:numPr>
      </w:pPr>
      <w:bookmarkStart w:id="42" w:name="_Toc1655412"/>
      <w:r>
        <w:br w:type="page"/>
      </w:r>
      <w:bookmarkStart w:id="43" w:name="_Toc3188506"/>
      <w:r w:rsidRPr="004C0441">
        <w:t>Migrant smuggling and trafficking in human beings</w:t>
      </w:r>
      <w:bookmarkEnd w:id="43"/>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Fighting the smuggling of migrants is one of the building blocks of EU migration policy, as highlighted in the European Agenda on Migration and the EU Action Plan against migrant smuggling. It is also among the key priorities outlined in the Malta Declaration of 3 February 2017 and its implementation plan. </w:t>
      </w:r>
    </w:p>
    <w:p w:rsidR="00BA550B" w:rsidRPr="004C0441" w:rsidRDefault="00BA550B" w:rsidP="00BA550B">
      <w:pPr>
        <w:pStyle w:val="Point123"/>
        <w:numPr>
          <w:ilvl w:val="0"/>
          <w:numId w:val="0"/>
        </w:numPr>
        <w:rPr>
          <w:rFonts w:asciiTheme="majorBidi" w:hAnsiTheme="majorBidi" w:cstheme="majorBidi"/>
          <w:color w:val="000000"/>
        </w:rPr>
      </w:pPr>
      <w:r w:rsidRPr="004C0441">
        <w:rPr>
          <w:rFonts w:asciiTheme="majorBidi" w:hAnsiTheme="majorBidi" w:cstheme="majorBidi"/>
        </w:rPr>
        <w:t>Based on the contributions by Europol (European Migrant Smuggling Centre activity report), Frontex (presentation of the Centre of Excellence on Document Fraud) and Eurojust (</w:t>
      </w:r>
      <w:r>
        <w:rPr>
          <w:rFonts w:asciiTheme="majorBidi" w:hAnsiTheme="majorBidi" w:cstheme="majorBidi"/>
        </w:rPr>
        <w:t>r</w:t>
      </w:r>
      <w:r w:rsidRPr="004C0441">
        <w:rPr>
          <w:rFonts w:asciiTheme="majorBidi" w:hAnsiTheme="majorBidi" w:cstheme="majorBidi"/>
        </w:rPr>
        <w:t>eport on case work on migrant smuggling), on 26 June 2018 COSI held a thematic discussion and confirmed the way ahead for optimising the use of EU tools to fight migrant smuggling while building on the progress achieved so far</w:t>
      </w:r>
      <w:r w:rsidRPr="004C0441">
        <w:rPr>
          <w:rStyle w:val="FootnoteReference"/>
          <w:rFonts w:asciiTheme="majorBidi" w:hAnsiTheme="majorBidi" w:cstheme="majorBidi"/>
        </w:rPr>
        <w:footnoteReference w:id="57"/>
      </w:r>
      <w:r w:rsidRPr="004C0441">
        <w:rPr>
          <w:rFonts w:asciiTheme="majorBidi" w:hAnsiTheme="majorBidi" w:cstheme="majorBidi"/>
        </w:rPr>
        <w:t xml:space="preserve">. The important role of the operational activities in the context of the EU Policy Cycle/EMPACT were underlined. The full implementation of the Information Clearing House at Europol should be pursued. </w:t>
      </w:r>
      <w:r w:rsidRPr="004C0441">
        <w:rPr>
          <w:rFonts w:asciiTheme="majorBidi" w:hAnsiTheme="majorBidi" w:cstheme="majorBidi"/>
          <w:color w:val="000000"/>
        </w:rPr>
        <w:t>Engaging with third countries (source and transit) was reiterated as a main focus of future work, where the involvement of the European Migration Liaison Officers in third countries could be enhanced. The need to integrate better the judicial dimension in fighting migrant smuggling was pointed out on several occasions.</w:t>
      </w:r>
    </w:p>
    <w:p w:rsidR="00BA550B" w:rsidRPr="004C0441" w:rsidRDefault="00BA550B" w:rsidP="00BA550B">
      <w:pPr>
        <w:rPr>
          <w:rFonts w:asciiTheme="majorBidi" w:hAnsiTheme="majorBidi" w:cstheme="majorBidi"/>
        </w:rPr>
      </w:pPr>
      <w:r>
        <w:rPr>
          <w:rFonts w:asciiTheme="majorBidi" w:hAnsiTheme="majorBidi" w:cstheme="majorBidi"/>
        </w:rPr>
        <w:br w:type="page"/>
      </w:r>
      <w:r w:rsidRPr="004C0441">
        <w:rPr>
          <w:rFonts w:asciiTheme="majorBidi" w:hAnsiTheme="majorBidi" w:cstheme="majorBidi"/>
        </w:rPr>
        <w:t>On 18 October 2018, the European Council called for stepping up the fight against migrant smuggling networks and invited the Council to develop a comprehensive and operational set of measures to this end by December. The JHA Council approved on 6 December 2018 a comprehensive and operational set of measures</w:t>
      </w:r>
      <w:r w:rsidRPr="004C0441">
        <w:rPr>
          <w:rStyle w:val="FootnoteReference"/>
          <w:rFonts w:asciiTheme="majorBidi" w:hAnsiTheme="majorBidi" w:cstheme="majorBidi"/>
        </w:rPr>
        <w:footnoteReference w:id="58"/>
      </w:r>
      <w:r w:rsidRPr="004C0441">
        <w:rPr>
          <w:rFonts w:asciiTheme="majorBidi" w:hAnsiTheme="majorBidi" w:cstheme="majorBidi"/>
        </w:rPr>
        <w:t xml:space="preserve"> with law enforcement focus on enhancing the response to migrant smuggling networks, as a result of the support of the European Commission and respective EU </w:t>
      </w:r>
      <w:r>
        <w:rPr>
          <w:rFonts w:asciiTheme="majorBidi" w:hAnsiTheme="majorBidi" w:cstheme="majorBidi"/>
        </w:rPr>
        <w:t>a</w:t>
      </w:r>
      <w:r w:rsidRPr="004C0441">
        <w:rPr>
          <w:rFonts w:asciiTheme="majorBidi" w:hAnsiTheme="majorBidi" w:cstheme="majorBidi"/>
        </w:rPr>
        <w:t>gencies and the work carried out in COSI</w:t>
      </w:r>
      <w:r w:rsidRPr="004C0441">
        <w:rPr>
          <w:rStyle w:val="FootnoteReference"/>
          <w:rFonts w:asciiTheme="majorBidi" w:hAnsiTheme="majorBidi" w:cstheme="majorBidi"/>
        </w:rPr>
        <w:footnoteReference w:id="59"/>
      </w:r>
      <w:r w:rsidRPr="004C0441">
        <w:rPr>
          <w:rFonts w:asciiTheme="majorBidi" w:hAnsiTheme="majorBidi" w:cstheme="majorBidi"/>
        </w:rPr>
        <w:t xml:space="preserve">. </w:t>
      </w:r>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This </w:t>
      </w:r>
      <w:r>
        <w:rPr>
          <w:rFonts w:asciiTheme="majorBidi" w:hAnsiTheme="majorBidi" w:cstheme="majorBidi"/>
        </w:rPr>
        <w:t xml:space="preserve">work </w:t>
      </w:r>
      <w:r w:rsidRPr="004C0441">
        <w:rPr>
          <w:rFonts w:asciiTheme="majorBidi" w:hAnsiTheme="majorBidi" w:cstheme="majorBidi"/>
        </w:rPr>
        <w:t>built on the discussions</w:t>
      </w:r>
      <w:r w:rsidRPr="004C0441">
        <w:rPr>
          <w:rStyle w:val="FootnoteReference"/>
          <w:rFonts w:asciiTheme="majorBidi" w:hAnsiTheme="majorBidi" w:cstheme="majorBidi"/>
        </w:rPr>
        <w:footnoteReference w:id="60"/>
      </w:r>
      <w:r w:rsidRPr="004C0441">
        <w:rPr>
          <w:rFonts w:asciiTheme="majorBidi" w:hAnsiTheme="majorBidi" w:cstheme="majorBidi"/>
        </w:rPr>
        <w:t xml:space="preserve"> held at COSI in September 2018 with a focus on extracting lessons from existing models, such as the Joint Operational Office in Vienna, and the recommendations made by the Commission, the EEAS, Europol</w:t>
      </w:r>
      <w:r w:rsidRPr="004C0441">
        <w:rPr>
          <w:rStyle w:val="FootnoteReference"/>
          <w:rFonts w:asciiTheme="majorBidi" w:hAnsiTheme="majorBidi" w:cstheme="majorBidi"/>
        </w:rPr>
        <w:footnoteReference w:id="61"/>
      </w:r>
      <w:r w:rsidRPr="004C0441">
        <w:rPr>
          <w:rFonts w:asciiTheme="majorBidi" w:hAnsiTheme="majorBidi" w:cstheme="majorBidi"/>
        </w:rPr>
        <w:t>, Frontex, Eurojust and CEPOL. The set of measures intends to enhance the response to migrant smuggling networks building on the framework of the EU Action Plan on migrant smuggling</w:t>
      </w:r>
      <w:r w:rsidRPr="004C0441">
        <w:rPr>
          <w:rStyle w:val="FootnoteReference"/>
          <w:rFonts w:asciiTheme="majorBidi" w:hAnsiTheme="majorBidi" w:cstheme="majorBidi"/>
        </w:rPr>
        <w:footnoteReference w:id="62"/>
      </w:r>
      <w:r w:rsidRPr="004C0441">
        <w:rPr>
          <w:rFonts w:asciiTheme="majorBidi" w:hAnsiTheme="majorBidi" w:cstheme="majorBidi"/>
        </w:rPr>
        <w:t xml:space="preserve"> (2015-2020) through:</w:t>
      </w:r>
    </w:p>
    <w:p w:rsidR="00BA550B" w:rsidRPr="004C0441" w:rsidRDefault="00BA550B" w:rsidP="003D33B0">
      <w:pPr>
        <w:pStyle w:val="Bullet1"/>
        <w:numPr>
          <w:ilvl w:val="0"/>
          <w:numId w:val="23"/>
        </w:numPr>
        <w:outlineLvl w:val="9"/>
      </w:pPr>
      <w:r>
        <w:t>i</w:t>
      </w:r>
      <w:r w:rsidRPr="004C0441">
        <w:t>mproving the flows of relevant information</w:t>
      </w:r>
      <w:r>
        <w:t>;</w:t>
      </w:r>
    </w:p>
    <w:p w:rsidR="00BA550B" w:rsidRPr="004C0441" w:rsidRDefault="00BA550B" w:rsidP="003D33B0">
      <w:pPr>
        <w:pStyle w:val="Bullet1"/>
        <w:numPr>
          <w:ilvl w:val="0"/>
          <w:numId w:val="23"/>
        </w:numPr>
        <w:outlineLvl w:val="9"/>
      </w:pPr>
      <w:r>
        <w:t>s</w:t>
      </w:r>
      <w:r w:rsidRPr="004C0441">
        <w:t>trengthening the operational tools to effectively disrupt migrant smuggling networks</w:t>
      </w:r>
      <w:r>
        <w:t>;</w:t>
      </w:r>
    </w:p>
    <w:p w:rsidR="00BA550B" w:rsidRPr="004C0441" w:rsidRDefault="00BA550B" w:rsidP="003D33B0">
      <w:pPr>
        <w:pStyle w:val="Bullet1"/>
        <w:numPr>
          <w:ilvl w:val="0"/>
          <w:numId w:val="23"/>
        </w:numPr>
        <w:outlineLvl w:val="9"/>
      </w:pPr>
      <w:r>
        <w:t>d</w:t>
      </w:r>
      <w:r w:rsidRPr="004C0441">
        <w:t>isrupting smuggling networks' online communications</w:t>
      </w:r>
      <w:r>
        <w:t>;</w:t>
      </w:r>
    </w:p>
    <w:p w:rsidR="00BA550B" w:rsidRPr="004C0441" w:rsidRDefault="00BA550B" w:rsidP="003D33B0">
      <w:pPr>
        <w:pStyle w:val="Bullet1"/>
        <w:numPr>
          <w:ilvl w:val="0"/>
          <w:numId w:val="23"/>
        </w:numPr>
        <w:outlineLvl w:val="9"/>
      </w:pPr>
      <w:r>
        <w:t>m</w:t>
      </w:r>
      <w:r w:rsidRPr="004C0441">
        <w:t xml:space="preserve">aximising synergies with </w:t>
      </w:r>
      <w:r>
        <w:t xml:space="preserve">the Union's </w:t>
      </w:r>
      <w:r w:rsidRPr="004C0441">
        <w:t>external action in priority third countries and regions</w:t>
      </w:r>
      <w:r>
        <w:t>.</w:t>
      </w:r>
    </w:p>
    <w:p w:rsidR="00BA550B" w:rsidRPr="004C0441" w:rsidRDefault="00BA550B" w:rsidP="00BA550B">
      <w:pPr>
        <w:rPr>
          <w:rFonts w:asciiTheme="majorBidi" w:hAnsiTheme="majorBidi" w:cstheme="majorBidi"/>
        </w:rPr>
      </w:pPr>
      <w:r>
        <w:rPr>
          <w:rFonts w:asciiTheme="majorBidi" w:hAnsiTheme="majorBidi" w:cstheme="majorBidi"/>
        </w:rPr>
        <w:br w:type="page"/>
      </w:r>
      <w:r w:rsidRPr="004C0441">
        <w:rPr>
          <w:rFonts w:asciiTheme="majorBidi" w:hAnsiTheme="majorBidi" w:cstheme="majorBidi"/>
        </w:rPr>
        <w:t xml:space="preserve">The Committee took note of the presentation in February 2018 by the EU anti-trafficking coordinator </w:t>
      </w:r>
      <w:r>
        <w:rPr>
          <w:rFonts w:asciiTheme="majorBidi" w:hAnsiTheme="majorBidi" w:cstheme="majorBidi"/>
        </w:rPr>
        <w:t>on</w:t>
      </w:r>
      <w:r w:rsidRPr="004C0441">
        <w:rPr>
          <w:rFonts w:asciiTheme="majorBidi" w:hAnsiTheme="majorBidi" w:cstheme="majorBidi"/>
        </w:rPr>
        <w:t xml:space="preserve"> the </w:t>
      </w:r>
      <w:r>
        <w:rPr>
          <w:rFonts w:asciiTheme="majorBidi" w:hAnsiTheme="majorBidi" w:cstheme="majorBidi"/>
        </w:rPr>
        <w:t>r</w:t>
      </w:r>
      <w:r w:rsidRPr="004C0441">
        <w:rPr>
          <w:rFonts w:asciiTheme="majorBidi" w:hAnsiTheme="majorBidi" w:cstheme="majorBidi"/>
        </w:rPr>
        <w:t>eport on the follow-up to the EU Strategy towards the Eradication of trafficking in human beings and identifying further concrete actions</w:t>
      </w:r>
      <w:r w:rsidRPr="004C0441">
        <w:rPr>
          <w:rStyle w:val="FootnoteReference"/>
          <w:rFonts w:asciiTheme="majorBidi" w:hAnsiTheme="majorBidi" w:cstheme="majorBidi"/>
        </w:rPr>
        <w:footnoteReference w:id="63"/>
      </w:r>
      <w:r w:rsidRPr="004C0441">
        <w:rPr>
          <w:rFonts w:asciiTheme="majorBidi" w:hAnsiTheme="majorBidi" w:cstheme="majorBidi"/>
        </w:rPr>
        <w:t>. Three priority areas for further action were identified:</w:t>
      </w:r>
    </w:p>
    <w:p w:rsidR="00BA550B" w:rsidRPr="004C0441" w:rsidRDefault="00BA550B" w:rsidP="003D33B0">
      <w:pPr>
        <w:pStyle w:val="Bullet1"/>
        <w:numPr>
          <w:ilvl w:val="0"/>
          <w:numId w:val="23"/>
        </w:numPr>
        <w:outlineLvl w:val="9"/>
      </w:pPr>
      <w:r>
        <w:t>s</w:t>
      </w:r>
      <w:r w:rsidRPr="004C0441">
        <w:t>tepping up the fight against organised criminal networks by means including disrupting the business model and untangling the trafficking chain;</w:t>
      </w:r>
    </w:p>
    <w:p w:rsidR="00BA550B" w:rsidRPr="004C0441" w:rsidRDefault="00BA550B" w:rsidP="003D33B0">
      <w:pPr>
        <w:pStyle w:val="Bullet1"/>
        <w:numPr>
          <w:ilvl w:val="0"/>
          <w:numId w:val="23"/>
        </w:numPr>
        <w:outlineLvl w:val="9"/>
      </w:pPr>
      <w:r>
        <w:t>p</w:t>
      </w:r>
      <w:r w:rsidRPr="004C0441">
        <w:t>rovid</w:t>
      </w:r>
      <w:r>
        <w:t>ing</w:t>
      </w:r>
      <w:r w:rsidRPr="004C0441">
        <w:t xml:space="preserve"> better access to and realise the rights for victims of trafficking;</w:t>
      </w:r>
    </w:p>
    <w:p w:rsidR="00BA550B" w:rsidRPr="004C0441" w:rsidRDefault="00BA550B" w:rsidP="003D33B0">
      <w:pPr>
        <w:pStyle w:val="Bullet1"/>
        <w:numPr>
          <w:ilvl w:val="0"/>
          <w:numId w:val="23"/>
        </w:numPr>
        <w:outlineLvl w:val="9"/>
      </w:pPr>
      <w:r>
        <w:t>i</w:t>
      </w:r>
      <w:r w:rsidRPr="004C0441">
        <w:t>ntensify</w:t>
      </w:r>
      <w:r>
        <w:t>ing</w:t>
      </w:r>
      <w:r w:rsidRPr="004C0441">
        <w:t xml:space="preserve"> a coordinated and consolidated response, both within and outside the EU.</w:t>
      </w:r>
    </w:p>
    <w:p w:rsidR="00BA550B" w:rsidRPr="004C0441" w:rsidRDefault="00BA550B" w:rsidP="003D33B0">
      <w:pPr>
        <w:pStyle w:val="Heading123"/>
        <w:numPr>
          <w:ilvl w:val="0"/>
          <w:numId w:val="24"/>
        </w:numPr>
      </w:pPr>
      <w:bookmarkStart w:id="44" w:name="_Toc3188507"/>
      <w:r>
        <w:t xml:space="preserve">Other forms of </w:t>
      </w:r>
      <w:r w:rsidRPr="004C0441">
        <w:t>Organised and serious international crime</w:t>
      </w:r>
      <w:bookmarkEnd w:id="42"/>
      <w:bookmarkEnd w:id="44"/>
    </w:p>
    <w:p w:rsidR="00BA550B" w:rsidRPr="004C0441" w:rsidRDefault="00BA550B" w:rsidP="00BA550B">
      <w:pPr>
        <w:pStyle w:val="Heading3"/>
        <w:spacing w:before="120" w:after="120"/>
        <w:rPr>
          <w:rFonts w:asciiTheme="majorBidi" w:hAnsiTheme="majorBidi"/>
          <w:b/>
          <w:bCs/>
          <w:color w:val="auto"/>
          <w:lang w:val="en-GB"/>
        </w:rPr>
      </w:pPr>
      <w:bookmarkStart w:id="45" w:name="_Toc1655413"/>
      <w:bookmarkStart w:id="46" w:name="_Toc3188508"/>
      <w:r w:rsidRPr="004C0441">
        <w:rPr>
          <w:rFonts w:asciiTheme="majorBidi" w:hAnsiTheme="majorBidi"/>
          <w:b/>
          <w:bCs/>
          <w:color w:val="auto"/>
          <w:lang w:val="en-GB"/>
        </w:rPr>
        <w:t>6.1.</w:t>
      </w:r>
      <w:r w:rsidRPr="004C0441">
        <w:rPr>
          <w:rFonts w:asciiTheme="majorBidi" w:hAnsiTheme="majorBidi"/>
          <w:b/>
          <w:bCs/>
          <w:color w:val="auto"/>
          <w:lang w:val="en-GB"/>
        </w:rPr>
        <w:tab/>
        <w:t>Organised domestic burglary</w:t>
      </w:r>
      <w:bookmarkEnd w:id="45"/>
      <w:bookmarkEnd w:id="46"/>
    </w:p>
    <w:p w:rsidR="00BA550B" w:rsidRPr="004C0441" w:rsidRDefault="00BA550B" w:rsidP="00BA550B">
      <w:pPr>
        <w:rPr>
          <w:rFonts w:asciiTheme="majorBidi" w:hAnsiTheme="majorBidi" w:cstheme="majorBidi"/>
        </w:rPr>
      </w:pPr>
      <w:r w:rsidRPr="004C0441">
        <w:rPr>
          <w:rFonts w:asciiTheme="majorBidi" w:hAnsiTheme="majorBidi" w:cstheme="majorBidi"/>
        </w:rPr>
        <w:t>Germany presented a progress report</w:t>
      </w:r>
      <w:r w:rsidRPr="004C0441">
        <w:rPr>
          <w:rStyle w:val="FootnoteReference"/>
          <w:rFonts w:asciiTheme="majorBidi" w:hAnsiTheme="majorBidi" w:cstheme="majorBidi"/>
        </w:rPr>
        <w:footnoteReference w:id="64"/>
      </w:r>
      <w:r w:rsidRPr="004C0441">
        <w:rPr>
          <w:rFonts w:asciiTheme="majorBidi" w:hAnsiTheme="majorBidi" w:cstheme="majorBidi"/>
        </w:rPr>
        <w:t xml:space="preserve"> which was prepared in close cooperation with Belgium, France, Sweden and Europol regarding the follow-up to the Council conclusions on organised domestic burglary</w:t>
      </w:r>
      <w:r w:rsidRPr="004C0441">
        <w:rPr>
          <w:rStyle w:val="FootnoteReference"/>
          <w:rFonts w:asciiTheme="majorBidi" w:hAnsiTheme="majorBidi" w:cstheme="majorBidi"/>
        </w:rPr>
        <w:footnoteReference w:id="65"/>
      </w:r>
      <w:r w:rsidRPr="004C0441">
        <w:rPr>
          <w:rFonts w:asciiTheme="majorBidi" w:hAnsiTheme="majorBidi" w:cstheme="majorBidi"/>
        </w:rPr>
        <w:t>. The conclusions build on the OAPs on organised property crime (OPC) under the EU Policy Cycle promoting a holistic approach. While some actions set out in the conclusions seem to be complete, some others still require further work.</w:t>
      </w:r>
    </w:p>
    <w:p w:rsidR="00BA550B" w:rsidRPr="004C0441" w:rsidRDefault="00BA550B" w:rsidP="00BA550B">
      <w:pPr>
        <w:rPr>
          <w:rFonts w:asciiTheme="majorBidi" w:hAnsiTheme="majorBidi" w:cstheme="majorBidi"/>
        </w:rPr>
      </w:pPr>
      <w:r w:rsidRPr="004C0441">
        <w:rPr>
          <w:rFonts w:asciiTheme="majorBidi" w:hAnsiTheme="majorBidi" w:cstheme="majorBidi"/>
        </w:rPr>
        <w:t>A decrease in this type of crime in 2016 and 2017 was noted, which might be a result of the implementation of the EU policy cycle and more specifically, of the combined results obtained by MS and all stakeholders within the OAP on OPC. The importance of comparable data in this context was underlined.</w:t>
      </w:r>
    </w:p>
    <w:p w:rsidR="00BA550B" w:rsidRPr="004C0441" w:rsidRDefault="00BA550B" w:rsidP="00BA550B">
      <w:pPr>
        <w:tabs>
          <w:tab w:val="left" w:pos="4309"/>
        </w:tabs>
        <w:rPr>
          <w:rFonts w:asciiTheme="majorBidi" w:hAnsiTheme="majorBidi" w:cstheme="majorBidi"/>
        </w:rPr>
      </w:pPr>
      <w:r w:rsidRPr="004C0441">
        <w:rPr>
          <w:rFonts w:asciiTheme="majorBidi" w:hAnsiTheme="majorBidi" w:cstheme="majorBidi"/>
        </w:rPr>
        <w:t>The importance of the multidisciplinary approach in relation to this crime phenomenon, including better involvement of Eurojust and integration of the judicial dimension, as well as operational cooperation with non-EU countries of origin was pointed out. Work on that matter will continue in the COSI Support Group.</w:t>
      </w:r>
    </w:p>
    <w:p w:rsidR="00BA550B" w:rsidRPr="004C0441" w:rsidRDefault="00BA550B" w:rsidP="00BA550B">
      <w:pPr>
        <w:pStyle w:val="Heading3"/>
        <w:spacing w:before="120" w:after="120"/>
        <w:rPr>
          <w:rFonts w:asciiTheme="majorBidi" w:hAnsiTheme="majorBidi"/>
          <w:b/>
          <w:bCs/>
          <w:color w:val="auto"/>
          <w:lang w:val="en-GB"/>
        </w:rPr>
      </w:pPr>
      <w:bookmarkStart w:id="47" w:name="_Toc1655414"/>
      <w:bookmarkStart w:id="48" w:name="_Toc3188509"/>
      <w:r w:rsidRPr="004C0441">
        <w:rPr>
          <w:rFonts w:asciiTheme="majorBidi" w:hAnsiTheme="majorBidi"/>
          <w:b/>
          <w:bCs/>
          <w:color w:val="auto"/>
          <w:lang w:val="en-GB"/>
        </w:rPr>
        <w:t>6.2.</w:t>
      </w:r>
      <w:r w:rsidRPr="004C0441">
        <w:rPr>
          <w:rFonts w:asciiTheme="majorBidi" w:hAnsiTheme="majorBidi"/>
          <w:b/>
          <w:bCs/>
          <w:color w:val="auto"/>
          <w:lang w:val="en-GB"/>
        </w:rPr>
        <w:tab/>
        <w:t>Trafficking in firearms: National Firearms Focal Point approach</w:t>
      </w:r>
      <w:bookmarkEnd w:id="47"/>
      <w:bookmarkEnd w:id="48"/>
    </w:p>
    <w:p w:rsidR="00BA550B" w:rsidRPr="004C0441" w:rsidRDefault="00BA550B" w:rsidP="00BA550B">
      <w:pPr>
        <w:rPr>
          <w:rFonts w:asciiTheme="majorBidi" w:hAnsiTheme="majorBidi" w:cstheme="majorBidi"/>
        </w:rPr>
      </w:pPr>
      <w:r w:rsidRPr="004C0441">
        <w:rPr>
          <w:rFonts w:asciiTheme="majorBidi" w:hAnsiTheme="majorBidi" w:cstheme="majorBidi"/>
        </w:rPr>
        <w:t>The Chair of the European Firearms Experts (EFE) network presented best practice guidance for the creation of national firearms focal points within the EU Member States</w:t>
      </w:r>
      <w:r w:rsidRPr="004C0441">
        <w:rPr>
          <w:rStyle w:val="FootnoteReference"/>
          <w:rFonts w:asciiTheme="majorBidi" w:hAnsiTheme="majorBidi" w:cstheme="majorBidi"/>
        </w:rPr>
        <w:footnoteReference w:id="66"/>
      </w:r>
      <w:r w:rsidRPr="004C0441">
        <w:rPr>
          <w:rFonts w:asciiTheme="majorBidi" w:hAnsiTheme="majorBidi" w:cstheme="majorBidi"/>
        </w:rPr>
        <w:t>, as endorsed by the LEWP on 17 May 2018. The purpose of the focal points is to gather, analyse and improve the flow of information regarding the criminal use and illicit trafficking of firearms into and within the Member State</w:t>
      </w:r>
      <w:r>
        <w:rPr>
          <w:rFonts w:asciiTheme="majorBidi" w:hAnsiTheme="majorBidi" w:cstheme="majorBidi"/>
        </w:rPr>
        <w:t>s</w:t>
      </w:r>
      <w:r w:rsidRPr="004C0441">
        <w:rPr>
          <w:rFonts w:asciiTheme="majorBidi" w:hAnsiTheme="majorBidi" w:cstheme="majorBidi"/>
        </w:rPr>
        <w:t xml:space="preserve"> and throughout the EU at a strategic and operational level. The Commission called on the 15 Member States </w:t>
      </w:r>
      <w:r>
        <w:rPr>
          <w:rFonts w:asciiTheme="majorBidi" w:hAnsiTheme="majorBidi" w:cstheme="majorBidi"/>
        </w:rPr>
        <w:t>that</w:t>
      </w:r>
      <w:r w:rsidRPr="004C0441">
        <w:rPr>
          <w:rFonts w:asciiTheme="majorBidi" w:hAnsiTheme="majorBidi" w:cstheme="majorBidi"/>
        </w:rPr>
        <w:t xml:space="preserve"> have not yet nominated focal points to do so as soon as possible.</w:t>
      </w:r>
    </w:p>
    <w:p w:rsidR="00BA550B" w:rsidRPr="004C0441" w:rsidRDefault="00BA550B" w:rsidP="00BA550B">
      <w:pPr>
        <w:pStyle w:val="Point123"/>
        <w:numPr>
          <w:ilvl w:val="0"/>
          <w:numId w:val="0"/>
        </w:numPr>
        <w:rPr>
          <w:rFonts w:asciiTheme="majorBidi" w:hAnsiTheme="majorBidi" w:cstheme="majorBidi"/>
        </w:rPr>
      </w:pPr>
      <w:r w:rsidRPr="004C0441">
        <w:rPr>
          <w:rFonts w:asciiTheme="majorBidi" w:hAnsiTheme="majorBidi" w:cstheme="majorBidi"/>
        </w:rPr>
        <w:t>COSI invited LEWP to monitor further developments.</w:t>
      </w:r>
    </w:p>
    <w:p w:rsidR="00BA550B" w:rsidRPr="004B1E9A" w:rsidRDefault="00BA550B" w:rsidP="00BA550B">
      <w:pPr>
        <w:pStyle w:val="Heading3"/>
        <w:spacing w:before="240"/>
        <w:ind w:left="567" w:hanging="567"/>
        <w:rPr>
          <w:rFonts w:asciiTheme="majorBidi" w:hAnsiTheme="majorBidi"/>
          <w:b/>
          <w:bCs/>
          <w:color w:val="auto"/>
        </w:rPr>
      </w:pPr>
      <w:bookmarkStart w:id="49" w:name="_Toc3188510"/>
      <w:r>
        <w:rPr>
          <w:rFonts w:asciiTheme="majorBidi" w:hAnsiTheme="majorBidi"/>
          <w:b/>
          <w:bCs/>
          <w:color w:val="auto"/>
        </w:rPr>
        <w:t>6.3</w:t>
      </w:r>
      <w:r>
        <w:rPr>
          <w:rFonts w:asciiTheme="majorBidi" w:hAnsiTheme="majorBidi"/>
          <w:b/>
          <w:bCs/>
          <w:color w:val="auto"/>
        </w:rPr>
        <w:tab/>
      </w:r>
      <w:r w:rsidRPr="004B1E9A">
        <w:rPr>
          <w:rFonts w:asciiTheme="majorBidi" w:hAnsiTheme="majorBidi"/>
          <w:b/>
          <w:bCs/>
          <w:color w:val="auto"/>
        </w:rPr>
        <w:t>Mone</w:t>
      </w:r>
      <w:r>
        <w:rPr>
          <w:rFonts w:asciiTheme="majorBidi" w:hAnsiTheme="majorBidi"/>
          <w:b/>
          <w:bCs/>
          <w:color w:val="auto"/>
        </w:rPr>
        <w:t>y Laundering and Asset Recovery</w:t>
      </w:r>
      <w:bookmarkEnd w:id="49"/>
    </w:p>
    <w:p w:rsidR="00BA550B" w:rsidRPr="004C0441" w:rsidRDefault="00BA550B" w:rsidP="00BA550B">
      <w:pPr>
        <w:pStyle w:val="Point123"/>
        <w:numPr>
          <w:ilvl w:val="0"/>
          <w:numId w:val="0"/>
        </w:numPr>
        <w:rPr>
          <w:rFonts w:asciiTheme="majorBidi" w:hAnsiTheme="majorBidi" w:cstheme="majorBidi"/>
        </w:rPr>
      </w:pPr>
      <w:r w:rsidRPr="004C0441">
        <w:rPr>
          <w:rFonts w:asciiTheme="majorBidi" w:hAnsiTheme="majorBidi" w:cstheme="majorBidi"/>
        </w:rPr>
        <w:t>Based on the EU SOCTA 2017, a new cross</w:t>
      </w:r>
      <w:r>
        <w:rPr>
          <w:rFonts w:asciiTheme="majorBidi" w:hAnsiTheme="majorBidi" w:cstheme="majorBidi"/>
        </w:rPr>
        <w:t>-</w:t>
      </w:r>
      <w:r w:rsidRPr="004C0441">
        <w:rPr>
          <w:rFonts w:asciiTheme="majorBidi" w:hAnsiTheme="majorBidi" w:cstheme="majorBidi"/>
        </w:rPr>
        <w:t>cutting priority</w:t>
      </w:r>
      <w:r>
        <w:rPr>
          <w:rFonts w:asciiTheme="majorBidi" w:hAnsiTheme="majorBidi" w:cstheme="majorBidi"/>
        </w:rPr>
        <w:t>,</w:t>
      </w:r>
      <w:r w:rsidRPr="004C0441">
        <w:rPr>
          <w:rFonts w:asciiTheme="majorBidi" w:hAnsiTheme="majorBidi" w:cstheme="majorBidi"/>
        </w:rPr>
        <w:t xml:space="preserve"> Criminal Finances, Money Laundering, and Asset Recovery (CFMLAR)</w:t>
      </w:r>
      <w:r>
        <w:rPr>
          <w:rFonts w:asciiTheme="majorBidi" w:hAnsiTheme="majorBidi" w:cstheme="majorBidi"/>
        </w:rPr>
        <w:t>,</w:t>
      </w:r>
      <w:r w:rsidRPr="004C0441">
        <w:rPr>
          <w:rFonts w:asciiTheme="majorBidi" w:hAnsiTheme="majorBidi" w:cstheme="majorBidi"/>
        </w:rPr>
        <w:t xml:space="preserve"> was added under the EU Policy Cycle. </w:t>
      </w:r>
    </w:p>
    <w:p w:rsidR="00BA550B" w:rsidRPr="004C0441" w:rsidRDefault="00BA550B" w:rsidP="00BA550B">
      <w:pPr>
        <w:pStyle w:val="Point123"/>
        <w:numPr>
          <w:ilvl w:val="0"/>
          <w:numId w:val="0"/>
        </w:numPr>
        <w:rPr>
          <w:rFonts w:asciiTheme="majorBidi" w:hAnsiTheme="majorBidi" w:cstheme="majorBidi"/>
        </w:rPr>
      </w:pPr>
      <w:r w:rsidRPr="004C0441">
        <w:rPr>
          <w:rFonts w:asciiTheme="majorBidi" w:hAnsiTheme="majorBidi" w:cstheme="majorBidi"/>
        </w:rPr>
        <w:t xml:space="preserve">The multidisciplinary framework </w:t>
      </w:r>
      <w:r>
        <w:rPr>
          <w:rFonts w:asciiTheme="majorBidi" w:hAnsiTheme="majorBidi" w:cstheme="majorBidi"/>
        </w:rPr>
        <w:t>provided</w:t>
      </w:r>
      <w:r w:rsidRPr="004C0441">
        <w:rPr>
          <w:rFonts w:asciiTheme="majorBidi" w:hAnsiTheme="majorBidi" w:cstheme="majorBidi"/>
        </w:rPr>
        <w:t xml:space="preserve"> by the EMPACT has </w:t>
      </w:r>
      <w:r>
        <w:rPr>
          <w:rFonts w:asciiTheme="majorBidi" w:hAnsiTheme="majorBidi" w:cstheme="majorBidi"/>
        </w:rPr>
        <w:t>made it possible</w:t>
      </w:r>
      <w:r w:rsidRPr="004C0441">
        <w:rPr>
          <w:rFonts w:asciiTheme="majorBidi" w:hAnsiTheme="majorBidi" w:cstheme="majorBidi"/>
        </w:rPr>
        <w:t xml:space="preserve"> to develop a network of financial investigators from European police and customs authorities, who have worked together to define comprehensive, pragmatic and efficient operational action plans to fight against criminal OCGs. </w:t>
      </w:r>
    </w:p>
    <w:p w:rsidR="00BA550B" w:rsidRPr="004C0441" w:rsidRDefault="00BA550B" w:rsidP="00BA550B">
      <w:pPr>
        <w:pStyle w:val="Point123"/>
        <w:numPr>
          <w:ilvl w:val="0"/>
          <w:numId w:val="0"/>
        </w:numPr>
        <w:rPr>
          <w:rFonts w:asciiTheme="majorBidi" w:hAnsiTheme="majorBidi" w:cstheme="majorBidi"/>
        </w:rPr>
      </w:pPr>
      <w:r>
        <w:rPr>
          <w:rFonts w:asciiTheme="majorBidi" w:hAnsiTheme="majorBidi" w:cstheme="majorBidi"/>
        </w:rPr>
        <w:t>Also i</w:t>
      </w:r>
      <w:r w:rsidRPr="004C0441">
        <w:rPr>
          <w:rFonts w:asciiTheme="majorBidi" w:hAnsiTheme="majorBidi" w:cstheme="majorBidi"/>
        </w:rPr>
        <w:t xml:space="preserve">mplementing a horizontal strategy, this priority has </w:t>
      </w:r>
      <w:r>
        <w:rPr>
          <w:rFonts w:asciiTheme="majorBidi" w:hAnsiTheme="majorBidi" w:cstheme="majorBidi"/>
        </w:rPr>
        <w:t>made it possible</w:t>
      </w:r>
      <w:r w:rsidRPr="004C0441">
        <w:rPr>
          <w:rFonts w:asciiTheme="majorBidi" w:hAnsiTheme="majorBidi" w:cstheme="majorBidi"/>
        </w:rPr>
        <w:t xml:space="preserve"> to promote financial aspects in all </w:t>
      </w:r>
      <w:r>
        <w:rPr>
          <w:rFonts w:asciiTheme="majorBidi" w:hAnsiTheme="majorBidi" w:cstheme="majorBidi"/>
        </w:rPr>
        <w:t xml:space="preserve">of </w:t>
      </w:r>
      <w:r w:rsidRPr="004C0441">
        <w:rPr>
          <w:rFonts w:asciiTheme="majorBidi" w:hAnsiTheme="majorBidi" w:cstheme="majorBidi"/>
        </w:rPr>
        <w:t>the other EMPACT crime areas.</w:t>
      </w:r>
    </w:p>
    <w:p w:rsidR="00BA550B" w:rsidRPr="004C0441" w:rsidRDefault="00BA550B" w:rsidP="003D33B0">
      <w:pPr>
        <w:pStyle w:val="Heading123"/>
        <w:numPr>
          <w:ilvl w:val="0"/>
          <w:numId w:val="24"/>
        </w:numPr>
        <w:rPr>
          <w:rFonts w:asciiTheme="majorBidi" w:hAnsiTheme="majorBidi" w:cstheme="majorBidi"/>
        </w:rPr>
      </w:pPr>
      <w:bookmarkStart w:id="50" w:name="_Toc1655423"/>
      <w:r w:rsidRPr="004C0441">
        <w:rPr>
          <w:rFonts w:asciiTheme="majorBidi" w:hAnsiTheme="majorBidi" w:cstheme="majorBidi"/>
        </w:rPr>
        <w:br w:type="page"/>
      </w:r>
      <w:bookmarkStart w:id="51" w:name="_Toc3188511"/>
      <w:r w:rsidRPr="004C0441">
        <w:rPr>
          <w:rFonts w:asciiTheme="majorBidi" w:hAnsiTheme="majorBidi" w:cstheme="majorBidi"/>
        </w:rPr>
        <w:t>Cyber</w:t>
      </w:r>
      <w:bookmarkEnd w:id="50"/>
      <w:bookmarkEnd w:id="51"/>
    </w:p>
    <w:p w:rsidR="00BA550B" w:rsidRPr="004C0441" w:rsidRDefault="00BA550B" w:rsidP="00BA550B">
      <w:r w:rsidRPr="004C0441">
        <w:rPr>
          <w:rFonts w:asciiTheme="majorBidi" w:hAnsiTheme="majorBidi" w:cstheme="majorBidi"/>
        </w:rPr>
        <w:t>In November 2017 COSI supported the EE Presidency initiative to strengthen the EU law enforcement response to cybercrime in</w:t>
      </w:r>
      <w:r>
        <w:rPr>
          <w:rFonts w:asciiTheme="majorBidi" w:hAnsiTheme="majorBidi" w:cstheme="majorBidi"/>
        </w:rPr>
        <w:t xml:space="preserve"> </w:t>
      </w:r>
      <w:r w:rsidRPr="004C0441">
        <w:rPr>
          <w:rFonts w:asciiTheme="majorBidi" w:hAnsiTheme="majorBidi" w:cstheme="majorBidi"/>
        </w:rPr>
        <w:t>four priority areas</w:t>
      </w:r>
      <w:r w:rsidRPr="004C0441">
        <w:rPr>
          <w:rStyle w:val="FootnoteReference"/>
          <w:rFonts w:asciiTheme="majorBidi" w:hAnsiTheme="majorBidi" w:cstheme="majorBidi"/>
        </w:rPr>
        <w:footnoteReference w:id="67"/>
      </w:r>
      <w:r>
        <w:rPr>
          <w:rFonts w:asciiTheme="majorBidi" w:hAnsiTheme="majorBidi" w:cstheme="majorBidi"/>
        </w:rPr>
        <w:t>,</w:t>
      </w:r>
      <w:r w:rsidRPr="004C0441">
        <w:rPr>
          <w:rFonts w:asciiTheme="majorBidi" w:hAnsiTheme="majorBidi" w:cstheme="majorBidi"/>
        </w:rPr>
        <w:t xml:space="preserve"> </w:t>
      </w:r>
      <w:r>
        <w:rPr>
          <w:rFonts w:asciiTheme="majorBidi" w:hAnsiTheme="majorBidi" w:cstheme="majorBidi"/>
        </w:rPr>
        <w:t xml:space="preserve">addressing </w:t>
      </w:r>
      <w:r w:rsidRPr="004C0441">
        <w:t>the need</w:t>
      </w:r>
      <w:r>
        <w:t xml:space="preserve"> to:</w:t>
      </w:r>
    </w:p>
    <w:p w:rsidR="00BA550B" w:rsidRDefault="00BA550B" w:rsidP="003D33B0">
      <w:pPr>
        <w:pStyle w:val="Dash1"/>
        <w:numPr>
          <w:ilvl w:val="0"/>
          <w:numId w:val="21"/>
        </w:numPr>
        <w:outlineLvl w:val="9"/>
      </w:pPr>
      <w:r w:rsidRPr="004C0441">
        <w:t>improve the fight against criminality on the dark web</w:t>
      </w:r>
      <w:r>
        <w:t>;</w:t>
      </w:r>
    </w:p>
    <w:p w:rsidR="00BA550B" w:rsidRPr="004C0441" w:rsidRDefault="00BA550B" w:rsidP="003D33B0">
      <w:pPr>
        <w:pStyle w:val="Dash1"/>
        <w:numPr>
          <w:ilvl w:val="0"/>
          <w:numId w:val="21"/>
        </w:numPr>
        <w:outlineLvl w:val="9"/>
      </w:pPr>
      <w:r w:rsidRPr="004C0441">
        <w:t>increase a joint EU law enforcement response to major</w:t>
      </w:r>
      <w:r>
        <w:t xml:space="preserve"> </w:t>
      </w:r>
      <w:r w:rsidRPr="004C0441">
        <w:t>attacks</w:t>
      </w:r>
      <w:r>
        <w:t>;</w:t>
      </w:r>
    </w:p>
    <w:p w:rsidR="00BA550B" w:rsidRPr="004C0441" w:rsidRDefault="00BA550B" w:rsidP="003D33B0">
      <w:pPr>
        <w:pStyle w:val="Dash1"/>
        <w:numPr>
          <w:ilvl w:val="0"/>
          <w:numId w:val="21"/>
        </w:numPr>
        <w:outlineLvl w:val="9"/>
      </w:pPr>
      <w:r w:rsidRPr="004C0441">
        <w:t>define law enforcement interests in the IP address the WHOIS database reform</w:t>
      </w:r>
      <w:r>
        <w:t>;</w:t>
      </w:r>
    </w:p>
    <w:p w:rsidR="00BA550B" w:rsidRPr="004C0441" w:rsidRDefault="00BA550B" w:rsidP="003D33B0">
      <w:pPr>
        <w:pStyle w:val="Dash1"/>
        <w:numPr>
          <w:ilvl w:val="0"/>
          <w:numId w:val="21"/>
        </w:numPr>
        <w:outlineLvl w:val="9"/>
      </w:pPr>
      <w:r w:rsidRPr="004C0441">
        <w:t>improve the capability to investigate and attribute online crime.</w:t>
      </w:r>
    </w:p>
    <w:p w:rsidR="00BA550B" w:rsidRPr="004C0441" w:rsidRDefault="00BA550B" w:rsidP="00BA550B">
      <w:pPr>
        <w:rPr>
          <w:rFonts w:asciiTheme="majorBidi" w:hAnsiTheme="majorBidi" w:cstheme="majorBidi"/>
        </w:rPr>
      </w:pPr>
      <w:r w:rsidRPr="004C0441">
        <w:rPr>
          <w:rFonts w:asciiTheme="majorBidi" w:hAnsiTheme="majorBidi" w:cstheme="majorBidi"/>
        </w:rPr>
        <w:t>Europol/EC3 was tasked with preparing a roadmap for tackling criminality on the dark web and integrating the roadmap in the EU Policy Cycle, as well as develop</w:t>
      </w:r>
      <w:r>
        <w:rPr>
          <w:rFonts w:asciiTheme="majorBidi" w:hAnsiTheme="majorBidi" w:cstheme="majorBidi"/>
        </w:rPr>
        <w:t>ing</w:t>
      </w:r>
      <w:r w:rsidRPr="004C0441">
        <w:rPr>
          <w:rFonts w:asciiTheme="majorBidi" w:hAnsiTheme="majorBidi" w:cstheme="majorBidi"/>
        </w:rPr>
        <w:t xml:space="preserve"> an Emergency Response Protocol for a coordinated EU law enforcement response in the case of major cyber</w:t>
      </w:r>
      <w:r>
        <w:rPr>
          <w:rFonts w:asciiTheme="majorBidi" w:hAnsiTheme="majorBidi" w:cstheme="majorBidi"/>
        </w:rPr>
        <w:t xml:space="preserve"> </w:t>
      </w:r>
      <w:r w:rsidRPr="004C0441">
        <w:rPr>
          <w:rFonts w:asciiTheme="majorBidi" w:hAnsiTheme="majorBidi" w:cstheme="majorBidi"/>
        </w:rPr>
        <w:t>attacks, taking into account Member States' sole responsibility on matters of national security. It was further suggested that voluntary codes of conduct with internet access providers should limit the number of subscribers behind each IPv4 and that the issue of logging source port numbers be raised within the EU Internet Forum with internet content providers.</w:t>
      </w:r>
    </w:p>
    <w:p w:rsidR="00BA550B" w:rsidRPr="004C0441" w:rsidRDefault="00BA550B" w:rsidP="00BA550B">
      <w:pPr>
        <w:pStyle w:val="Heading2"/>
        <w:spacing w:before="120" w:after="120"/>
        <w:rPr>
          <w:rFonts w:asciiTheme="majorBidi" w:eastAsia="Times New Roman" w:hAnsiTheme="majorBidi"/>
          <w:b/>
          <w:bCs/>
          <w:color w:val="auto"/>
          <w:sz w:val="24"/>
          <w:szCs w:val="24"/>
          <w:lang w:val="en-GB"/>
        </w:rPr>
      </w:pPr>
      <w:bookmarkStart w:id="52" w:name="_Toc1655424"/>
      <w:bookmarkStart w:id="53" w:name="_Toc3188512"/>
      <w:r w:rsidRPr="004C0441">
        <w:rPr>
          <w:rFonts w:asciiTheme="majorBidi" w:hAnsiTheme="majorBidi"/>
          <w:b/>
          <w:bCs/>
          <w:color w:val="auto"/>
          <w:sz w:val="24"/>
          <w:szCs w:val="24"/>
          <w:lang w:val="en-GB" w:eastAsia="fr-BE"/>
        </w:rPr>
        <w:t>7.1.</w:t>
      </w:r>
      <w:r w:rsidRPr="004C0441">
        <w:rPr>
          <w:rFonts w:asciiTheme="majorBidi" w:hAnsiTheme="majorBidi"/>
          <w:b/>
          <w:bCs/>
          <w:color w:val="auto"/>
          <w:sz w:val="24"/>
          <w:szCs w:val="24"/>
          <w:lang w:val="en-GB" w:eastAsia="fr-BE"/>
        </w:rPr>
        <w:tab/>
        <w:t>WHOIS</w:t>
      </w:r>
      <w:r w:rsidRPr="004C0441">
        <w:rPr>
          <w:rFonts w:asciiTheme="majorBidi" w:eastAsia="Times New Roman" w:hAnsiTheme="majorBidi"/>
          <w:b/>
          <w:bCs/>
          <w:color w:val="auto"/>
          <w:sz w:val="24"/>
          <w:szCs w:val="24"/>
          <w:lang w:val="en-GB"/>
        </w:rPr>
        <w:t xml:space="preserve"> database reform</w:t>
      </w:r>
      <w:bookmarkEnd w:id="52"/>
      <w:bookmarkEnd w:id="53"/>
      <w:r w:rsidRPr="004C0441">
        <w:rPr>
          <w:rFonts w:asciiTheme="majorBidi" w:eastAsia="Times New Roman" w:hAnsiTheme="majorBidi"/>
          <w:b/>
          <w:bCs/>
          <w:color w:val="auto"/>
          <w:sz w:val="24"/>
          <w:szCs w:val="24"/>
          <w:lang w:val="en-GB"/>
        </w:rPr>
        <w:t xml:space="preserve"> </w:t>
      </w:r>
    </w:p>
    <w:p w:rsidR="00BA550B" w:rsidRPr="004C0441" w:rsidRDefault="00BA550B" w:rsidP="00BA550B">
      <w:pPr>
        <w:tabs>
          <w:tab w:val="left" w:pos="1134"/>
        </w:tabs>
        <w:rPr>
          <w:rFonts w:asciiTheme="majorBidi" w:hAnsiTheme="majorBidi" w:cstheme="majorBidi"/>
          <w:lang w:eastAsia="fr-BE"/>
        </w:rPr>
      </w:pPr>
      <w:r w:rsidRPr="004C0441">
        <w:rPr>
          <w:rFonts w:asciiTheme="majorBidi" w:hAnsiTheme="majorBidi" w:cstheme="majorBidi"/>
          <w:lang w:eastAsia="fr-BE"/>
        </w:rPr>
        <w:t>On 21 Febr</w:t>
      </w:r>
      <w:r>
        <w:rPr>
          <w:rFonts w:asciiTheme="majorBidi" w:hAnsiTheme="majorBidi" w:cstheme="majorBidi"/>
          <w:lang w:eastAsia="fr-BE"/>
        </w:rPr>
        <w:t>u</w:t>
      </w:r>
      <w:r w:rsidRPr="004C0441">
        <w:rPr>
          <w:rFonts w:asciiTheme="majorBidi" w:hAnsiTheme="majorBidi" w:cstheme="majorBidi"/>
          <w:lang w:eastAsia="fr-BE"/>
        </w:rPr>
        <w:t xml:space="preserve">ary 2018 COSI took note of the information provided by the Commission on the latest WHOIS developments. </w:t>
      </w:r>
      <w:r w:rsidRPr="004C0441">
        <w:rPr>
          <w:rFonts w:asciiTheme="majorBidi" w:hAnsiTheme="majorBidi" w:cstheme="majorBidi"/>
        </w:rPr>
        <w:t xml:space="preserve">The need to preserve the functionality of the WHOIS database for achieving public-interest objectives such as combating criminal offences online, protecting the rights of intellectual property holders and enhancing cybersecurity and consumer protection, while complying with data protection rules, was underlined. It was concluded that a structured follow-up on this issue would be provided that would allow for a multidisciplinary consideration of the issues at stake. Work on that matter is </w:t>
      </w:r>
      <w:r>
        <w:rPr>
          <w:rFonts w:asciiTheme="majorBidi" w:hAnsiTheme="majorBidi" w:cstheme="majorBidi"/>
        </w:rPr>
        <w:t>being developed</w:t>
      </w:r>
      <w:r w:rsidRPr="004C0441">
        <w:rPr>
          <w:rFonts w:asciiTheme="majorBidi" w:hAnsiTheme="majorBidi" w:cstheme="majorBidi"/>
        </w:rPr>
        <w:t xml:space="preserve"> further in the Horizontal WP on Cyber Issues. </w:t>
      </w:r>
    </w:p>
    <w:p w:rsidR="00BA550B" w:rsidRPr="004C0441" w:rsidRDefault="00BA550B" w:rsidP="00BA550B">
      <w:pPr>
        <w:pStyle w:val="Heading2"/>
        <w:spacing w:before="120" w:after="120"/>
        <w:rPr>
          <w:rFonts w:asciiTheme="majorBidi" w:hAnsiTheme="majorBidi"/>
          <w:b/>
          <w:bCs/>
          <w:color w:val="auto"/>
          <w:sz w:val="24"/>
          <w:szCs w:val="24"/>
          <w:lang w:val="en-GB"/>
        </w:rPr>
      </w:pPr>
      <w:bookmarkStart w:id="54" w:name="_Toc1655426"/>
      <w:r>
        <w:rPr>
          <w:rFonts w:asciiTheme="majorBidi" w:hAnsiTheme="majorBidi"/>
          <w:b/>
          <w:bCs/>
          <w:color w:val="auto"/>
          <w:sz w:val="24"/>
          <w:szCs w:val="24"/>
          <w:lang w:val="en-GB"/>
        </w:rPr>
        <w:br w:type="page"/>
      </w:r>
      <w:bookmarkStart w:id="55" w:name="_Toc3188513"/>
      <w:r w:rsidRPr="004C0441">
        <w:rPr>
          <w:rFonts w:asciiTheme="majorBidi" w:hAnsiTheme="majorBidi"/>
          <w:b/>
          <w:bCs/>
          <w:color w:val="auto"/>
          <w:sz w:val="24"/>
          <w:szCs w:val="24"/>
          <w:lang w:val="en-GB"/>
        </w:rPr>
        <w:t>7.2.</w:t>
      </w:r>
      <w:r w:rsidRPr="004C0441">
        <w:rPr>
          <w:rFonts w:asciiTheme="majorBidi" w:hAnsiTheme="majorBidi"/>
          <w:b/>
          <w:bCs/>
          <w:color w:val="auto"/>
          <w:sz w:val="24"/>
          <w:szCs w:val="24"/>
          <w:lang w:val="en-GB"/>
        </w:rPr>
        <w:tab/>
        <w:t xml:space="preserve">The EU </w:t>
      </w:r>
      <w:r>
        <w:rPr>
          <w:rFonts w:asciiTheme="majorBidi" w:hAnsiTheme="majorBidi"/>
          <w:b/>
          <w:bCs/>
          <w:color w:val="auto"/>
          <w:sz w:val="24"/>
          <w:szCs w:val="24"/>
          <w:lang w:val="en-GB"/>
        </w:rPr>
        <w:t>L</w:t>
      </w:r>
      <w:r w:rsidRPr="004C0441">
        <w:rPr>
          <w:rFonts w:asciiTheme="majorBidi" w:hAnsiTheme="majorBidi"/>
          <w:b/>
          <w:bCs/>
          <w:color w:val="auto"/>
          <w:sz w:val="24"/>
          <w:szCs w:val="24"/>
          <w:lang w:val="en-GB"/>
        </w:rPr>
        <w:t>aw Enforcement Emergency Response Protocol</w:t>
      </w:r>
      <w:bookmarkEnd w:id="54"/>
      <w:bookmarkEnd w:id="55"/>
      <w:r w:rsidRPr="004C0441">
        <w:rPr>
          <w:rFonts w:asciiTheme="majorBidi" w:hAnsiTheme="majorBidi"/>
          <w:b/>
          <w:bCs/>
          <w:color w:val="auto"/>
          <w:sz w:val="24"/>
          <w:szCs w:val="24"/>
          <w:lang w:val="en-GB"/>
        </w:rPr>
        <w:t xml:space="preserve"> </w:t>
      </w:r>
    </w:p>
    <w:p w:rsidR="00BA550B" w:rsidRPr="004C0441" w:rsidRDefault="00BA550B" w:rsidP="00BA550B">
      <w:pPr>
        <w:rPr>
          <w:rFonts w:asciiTheme="majorBidi" w:hAnsiTheme="majorBidi" w:cstheme="majorBidi"/>
        </w:rPr>
      </w:pPr>
      <w:r w:rsidRPr="004C0441">
        <w:rPr>
          <w:rFonts w:asciiTheme="majorBidi" w:hAnsiTheme="majorBidi" w:cstheme="majorBidi"/>
        </w:rPr>
        <w:t>The LE ERP for Major Cross-Border Cyber Attacks</w:t>
      </w:r>
      <w:r w:rsidRPr="004C0441">
        <w:rPr>
          <w:rStyle w:val="FootnoteReference"/>
          <w:rFonts w:asciiTheme="majorBidi" w:hAnsiTheme="majorBidi" w:cstheme="majorBidi"/>
        </w:rPr>
        <w:footnoteReference w:id="68"/>
      </w:r>
      <w:r w:rsidRPr="004C0441">
        <w:rPr>
          <w:rFonts w:asciiTheme="majorBidi" w:hAnsiTheme="majorBidi" w:cstheme="majorBidi"/>
        </w:rPr>
        <w:t xml:space="preserve"> was presented to COSI SG under the AT Presidency on 10 December 2018 by Europol. It was highlighted that improvements were attained in terms of communication through SIENA and VCP.</w:t>
      </w:r>
    </w:p>
    <w:p w:rsidR="00BA550B" w:rsidRPr="004C0441" w:rsidRDefault="00BA550B" w:rsidP="003D33B0">
      <w:pPr>
        <w:pStyle w:val="Heading123"/>
        <w:numPr>
          <w:ilvl w:val="0"/>
          <w:numId w:val="24"/>
        </w:numPr>
      </w:pPr>
      <w:bookmarkStart w:id="56" w:name="_Toc1655428"/>
      <w:bookmarkStart w:id="57" w:name="_Toc3188514"/>
      <w:r w:rsidRPr="004C0441">
        <w:t>Customs Cooperation</w:t>
      </w:r>
      <w:bookmarkEnd w:id="56"/>
      <w:bookmarkEnd w:id="57"/>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COSI </w:t>
      </w:r>
      <w:r>
        <w:rPr>
          <w:rFonts w:asciiTheme="majorBidi" w:hAnsiTheme="majorBidi" w:cstheme="majorBidi"/>
        </w:rPr>
        <w:t>established</w:t>
      </w:r>
      <w:r w:rsidRPr="004C0441">
        <w:rPr>
          <w:rFonts w:asciiTheme="majorBidi" w:hAnsiTheme="majorBidi" w:cstheme="majorBidi"/>
        </w:rPr>
        <w:t xml:space="preserve"> cooperation with customs authorities as one of its priorities during the reporting period. Synergies and opportunities</w:t>
      </w:r>
      <w:r w:rsidRPr="004C0441">
        <w:rPr>
          <w:rStyle w:val="FootnoteReference"/>
          <w:rFonts w:asciiTheme="majorBidi" w:hAnsiTheme="majorBidi" w:cstheme="majorBidi"/>
        </w:rPr>
        <w:footnoteReference w:id="69"/>
      </w:r>
      <w:r w:rsidRPr="004C0441">
        <w:rPr>
          <w:rFonts w:asciiTheme="majorBidi" w:hAnsiTheme="majorBidi" w:cstheme="majorBidi"/>
        </w:rPr>
        <w:t xml:space="preserve"> for coordination between the activities developed under the EU Policy Cycle for 2018 and the ninth Customs Cooperation Working Party (CCWP) action plan were discussed at the CCWP meeting on 14 February 2018 and endorsed by COSI in May 2018.</w:t>
      </w:r>
    </w:p>
    <w:p w:rsidR="00BA550B" w:rsidRPr="004C0441" w:rsidRDefault="00BA550B" w:rsidP="00BA550B">
      <w:pPr>
        <w:rPr>
          <w:rFonts w:asciiTheme="majorBidi" w:hAnsiTheme="majorBidi" w:cstheme="majorBidi"/>
        </w:rPr>
      </w:pPr>
      <w:r w:rsidRPr="004C0441">
        <w:rPr>
          <w:rFonts w:asciiTheme="majorBidi" w:hAnsiTheme="majorBidi" w:cstheme="majorBidi"/>
        </w:rPr>
        <w:t>In May 2018, COSI held thematic discussions on enhancing the customs contribution to internal security</w:t>
      </w:r>
      <w:r>
        <w:rPr>
          <w:rFonts w:asciiTheme="majorBidi" w:hAnsiTheme="majorBidi" w:cstheme="majorBidi"/>
        </w:rPr>
        <w:t>,</w:t>
      </w:r>
      <w:r w:rsidRPr="004C0441">
        <w:rPr>
          <w:rFonts w:asciiTheme="majorBidi" w:hAnsiTheme="majorBidi" w:cstheme="majorBidi"/>
        </w:rPr>
        <w:t xml:space="preserve"> leading to explor</w:t>
      </w:r>
      <w:r>
        <w:rPr>
          <w:rFonts w:asciiTheme="majorBidi" w:hAnsiTheme="majorBidi" w:cstheme="majorBidi"/>
        </w:rPr>
        <w:t>ations on</w:t>
      </w:r>
      <w:r w:rsidRPr="004C0441">
        <w:rPr>
          <w:rFonts w:asciiTheme="majorBidi" w:hAnsiTheme="majorBidi" w:cstheme="majorBidi"/>
        </w:rPr>
        <w:t xml:space="preserve"> the development of a comprehensive report. The Committee tasked CCWP</w:t>
      </w:r>
      <w:r>
        <w:rPr>
          <w:rFonts w:asciiTheme="majorBidi" w:hAnsiTheme="majorBidi" w:cstheme="majorBidi"/>
        </w:rPr>
        <w:t>,</w:t>
      </w:r>
      <w:r w:rsidRPr="004C0441">
        <w:rPr>
          <w:rFonts w:asciiTheme="majorBidi" w:hAnsiTheme="majorBidi" w:cstheme="majorBidi"/>
        </w:rPr>
        <w:t xml:space="preserve"> in close cooperation with LEWP, Europol, Frontex and</w:t>
      </w:r>
      <w:r>
        <w:rPr>
          <w:rFonts w:asciiTheme="majorBidi" w:hAnsiTheme="majorBidi" w:cstheme="majorBidi"/>
        </w:rPr>
        <w:t>,</w:t>
      </w:r>
      <w:r w:rsidRPr="004C0441">
        <w:rPr>
          <w:rFonts w:asciiTheme="majorBidi" w:hAnsiTheme="majorBidi" w:cstheme="majorBidi"/>
        </w:rPr>
        <w:t xml:space="preserve"> where relevant</w:t>
      </w:r>
      <w:r>
        <w:rPr>
          <w:rFonts w:asciiTheme="majorBidi" w:hAnsiTheme="majorBidi" w:cstheme="majorBidi"/>
        </w:rPr>
        <w:t>,</w:t>
      </w:r>
      <w:r w:rsidRPr="004C0441">
        <w:rPr>
          <w:rFonts w:asciiTheme="majorBidi" w:hAnsiTheme="majorBidi" w:cstheme="majorBidi"/>
        </w:rPr>
        <w:t xml:space="preserve"> the Working Party on Customs Union (Customs Union Group - CUG)</w:t>
      </w:r>
      <w:r>
        <w:rPr>
          <w:rFonts w:asciiTheme="majorBidi" w:hAnsiTheme="majorBidi" w:cstheme="majorBidi"/>
        </w:rPr>
        <w:t>,</w:t>
      </w:r>
      <w:r w:rsidRPr="004C0441">
        <w:rPr>
          <w:rFonts w:asciiTheme="majorBidi" w:hAnsiTheme="majorBidi" w:cstheme="majorBidi"/>
        </w:rPr>
        <w:t xml:space="preserve"> </w:t>
      </w:r>
      <w:r>
        <w:rPr>
          <w:rFonts w:asciiTheme="majorBidi" w:hAnsiTheme="majorBidi" w:cstheme="majorBidi"/>
        </w:rPr>
        <w:t>with</w:t>
      </w:r>
      <w:r w:rsidRPr="004C0441">
        <w:rPr>
          <w:rFonts w:asciiTheme="majorBidi" w:hAnsiTheme="majorBidi" w:cstheme="majorBidi"/>
        </w:rPr>
        <w:t xml:space="preserve"> continu</w:t>
      </w:r>
      <w:r>
        <w:rPr>
          <w:rFonts w:asciiTheme="majorBidi" w:hAnsiTheme="majorBidi" w:cstheme="majorBidi"/>
        </w:rPr>
        <w:t>ing with the</w:t>
      </w:r>
      <w:r w:rsidRPr="004C0441">
        <w:rPr>
          <w:rFonts w:asciiTheme="majorBidi" w:hAnsiTheme="majorBidi" w:cstheme="majorBidi"/>
        </w:rPr>
        <w:t xml:space="preserve"> discussion</w:t>
      </w:r>
      <w:r>
        <w:rPr>
          <w:rFonts w:asciiTheme="majorBidi" w:hAnsiTheme="majorBidi" w:cstheme="majorBidi"/>
        </w:rPr>
        <w:t>s</w:t>
      </w:r>
      <w:r w:rsidRPr="004C0441">
        <w:rPr>
          <w:rFonts w:asciiTheme="majorBidi" w:hAnsiTheme="majorBidi" w:cstheme="majorBidi"/>
        </w:rPr>
        <w:t xml:space="preserve"> and provid</w:t>
      </w:r>
      <w:r>
        <w:rPr>
          <w:rFonts w:asciiTheme="majorBidi" w:hAnsiTheme="majorBidi" w:cstheme="majorBidi"/>
        </w:rPr>
        <w:t>ing</w:t>
      </w:r>
      <w:r w:rsidRPr="004C0441">
        <w:rPr>
          <w:rFonts w:asciiTheme="majorBidi" w:hAnsiTheme="majorBidi" w:cstheme="majorBidi"/>
        </w:rPr>
        <w:t xml:space="preserve"> COSI with outcomes on specific work strands (</w:t>
      </w:r>
      <w:r w:rsidRPr="004C0441">
        <w:rPr>
          <w:rFonts w:asciiTheme="majorBidi" w:hAnsiTheme="majorBidi" w:cstheme="majorBidi"/>
          <w:bCs/>
          <w:iCs/>
        </w:rPr>
        <w:t>institutional cooperation, operational cooperation, and the exchange of information and interoperability)</w:t>
      </w:r>
      <w:r w:rsidRPr="004C0441">
        <w:rPr>
          <w:rFonts w:asciiTheme="majorBidi" w:hAnsiTheme="majorBidi" w:cstheme="majorBidi"/>
        </w:rPr>
        <w:t>. The Committee welcomed the interim report</w:t>
      </w:r>
      <w:r w:rsidRPr="004C0441">
        <w:rPr>
          <w:rStyle w:val="FootnoteReference"/>
          <w:rFonts w:asciiTheme="majorBidi" w:hAnsiTheme="majorBidi" w:cstheme="majorBidi"/>
        </w:rPr>
        <w:footnoteReference w:id="70"/>
      </w:r>
      <w:r w:rsidRPr="004C0441">
        <w:rPr>
          <w:rFonts w:asciiTheme="majorBidi" w:hAnsiTheme="majorBidi" w:cstheme="majorBidi"/>
        </w:rPr>
        <w:t xml:space="preserve"> on enhancing </w:t>
      </w:r>
      <w:r>
        <w:rPr>
          <w:rFonts w:asciiTheme="majorBidi" w:hAnsiTheme="majorBidi" w:cstheme="majorBidi"/>
        </w:rPr>
        <w:t xml:space="preserve">the </w:t>
      </w:r>
      <w:r w:rsidRPr="004C0441">
        <w:rPr>
          <w:rFonts w:asciiTheme="majorBidi" w:hAnsiTheme="majorBidi" w:cstheme="majorBidi"/>
        </w:rPr>
        <w:t>customs contribution to internal security during its November 2018 session</w:t>
      </w:r>
      <w:r>
        <w:rPr>
          <w:rFonts w:asciiTheme="majorBidi" w:hAnsiTheme="majorBidi" w:cstheme="majorBidi"/>
        </w:rPr>
        <w:t>,</w:t>
      </w:r>
      <w:r w:rsidRPr="004C0441">
        <w:rPr>
          <w:rFonts w:asciiTheme="majorBidi" w:hAnsiTheme="majorBidi" w:cstheme="majorBidi"/>
        </w:rPr>
        <w:t xml:space="preserve"> further praising the achievements secured at CCWP level. COSI will remain involved in this </w:t>
      </w:r>
      <w:r>
        <w:rPr>
          <w:rFonts w:asciiTheme="majorBidi" w:hAnsiTheme="majorBidi" w:cstheme="majorBidi"/>
        </w:rPr>
        <w:t>issue by</w:t>
      </w:r>
      <w:r w:rsidRPr="004C0441">
        <w:rPr>
          <w:rFonts w:asciiTheme="majorBidi" w:hAnsiTheme="majorBidi" w:cstheme="majorBidi"/>
        </w:rPr>
        <w:t xml:space="preserve"> monitoring the upcoming risk analysis, encouraging joint training initiatives between customs and law enforcement and underlining the importance of further integration between the Policy Cycle and the work of custom</w:t>
      </w:r>
      <w:r>
        <w:rPr>
          <w:rFonts w:asciiTheme="majorBidi" w:hAnsiTheme="majorBidi" w:cstheme="majorBidi"/>
        </w:rPr>
        <w:t>s</w:t>
      </w:r>
      <w:r w:rsidRPr="004C0441">
        <w:rPr>
          <w:rFonts w:asciiTheme="majorBidi" w:hAnsiTheme="majorBidi" w:cstheme="majorBidi"/>
        </w:rPr>
        <w:t xml:space="preserve"> authorities. COSI welcomed the first Joint Session of European Directors General of Customs and Chiefs of Police that took place on 26</w:t>
      </w:r>
      <w:r>
        <w:rPr>
          <w:rFonts w:asciiTheme="majorBidi" w:hAnsiTheme="majorBidi" w:cstheme="majorBidi"/>
        </w:rPr>
        <w:t> </w:t>
      </w:r>
      <w:r w:rsidRPr="004C0441">
        <w:rPr>
          <w:rFonts w:asciiTheme="majorBidi" w:hAnsiTheme="majorBidi" w:cstheme="majorBidi"/>
        </w:rPr>
        <w:t>September 2018 in the margins of the European Police Chiefs Convention at Europol in The Hague</w:t>
      </w:r>
      <w:r>
        <w:rPr>
          <w:rFonts w:asciiTheme="majorBidi" w:hAnsiTheme="majorBidi" w:cstheme="majorBidi"/>
        </w:rPr>
        <w:t>,</w:t>
      </w:r>
      <w:r w:rsidRPr="004C0441">
        <w:rPr>
          <w:rFonts w:asciiTheme="majorBidi" w:hAnsiTheme="majorBidi" w:cstheme="majorBidi"/>
        </w:rPr>
        <w:t xml:space="preserve"> with a view to creating further opportunities for cooperation </w:t>
      </w:r>
      <w:r>
        <w:rPr>
          <w:rFonts w:asciiTheme="majorBidi" w:hAnsiTheme="majorBidi" w:cstheme="majorBidi"/>
        </w:rPr>
        <w:t>between</w:t>
      </w:r>
      <w:r w:rsidRPr="004C0441">
        <w:rPr>
          <w:rFonts w:asciiTheme="majorBidi" w:hAnsiTheme="majorBidi" w:cstheme="majorBidi"/>
        </w:rPr>
        <w:t xml:space="preserve"> the two communities.</w:t>
      </w:r>
    </w:p>
    <w:p w:rsidR="00BA550B" w:rsidRPr="00B7330C" w:rsidRDefault="00BA550B" w:rsidP="003D33B0">
      <w:pPr>
        <w:pStyle w:val="Heading123"/>
        <w:numPr>
          <w:ilvl w:val="0"/>
          <w:numId w:val="24"/>
        </w:numPr>
        <w:rPr>
          <w:rFonts w:asciiTheme="majorBidi" w:hAnsiTheme="majorBidi" w:cstheme="majorBidi"/>
        </w:rPr>
      </w:pPr>
      <w:bookmarkStart w:id="58" w:name="_Toc1655417"/>
      <w:r w:rsidRPr="00B7330C">
        <w:rPr>
          <w:rFonts w:asciiTheme="majorBidi" w:hAnsiTheme="majorBidi" w:cstheme="majorBidi"/>
        </w:rPr>
        <w:br w:type="page"/>
      </w:r>
      <w:bookmarkStart w:id="59" w:name="_Toc3188515"/>
      <w:r w:rsidRPr="00B7330C">
        <w:rPr>
          <w:rFonts w:asciiTheme="majorBidi" w:hAnsiTheme="majorBidi" w:cstheme="majorBidi"/>
        </w:rPr>
        <w:t>Internal - External Security Nexus</w:t>
      </w:r>
      <w:bookmarkEnd w:id="58"/>
      <w:bookmarkEnd w:id="59"/>
    </w:p>
    <w:p w:rsidR="00BA550B" w:rsidRPr="004C0441" w:rsidRDefault="00BA550B" w:rsidP="00BA550B">
      <w:pPr>
        <w:pStyle w:val="Heading2"/>
        <w:spacing w:before="120" w:after="120"/>
        <w:rPr>
          <w:rFonts w:asciiTheme="majorBidi" w:hAnsiTheme="majorBidi"/>
          <w:b/>
          <w:bCs/>
          <w:color w:val="auto"/>
          <w:sz w:val="24"/>
          <w:szCs w:val="24"/>
          <w:lang w:val="en-GB"/>
        </w:rPr>
      </w:pPr>
      <w:bookmarkStart w:id="60" w:name="_Toc1655418"/>
      <w:bookmarkStart w:id="61" w:name="_Toc3188516"/>
      <w:r>
        <w:rPr>
          <w:rFonts w:asciiTheme="majorBidi" w:hAnsiTheme="majorBidi"/>
          <w:b/>
          <w:bCs/>
          <w:color w:val="auto"/>
          <w:sz w:val="24"/>
          <w:szCs w:val="24"/>
          <w:lang w:val="en-GB"/>
        </w:rPr>
        <w:t>9</w:t>
      </w:r>
      <w:r w:rsidRPr="004C0441">
        <w:rPr>
          <w:rFonts w:asciiTheme="majorBidi" w:hAnsiTheme="majorBidi"/>
          <w:b/>
          <w:bCs/>
          <w:color w:val="auto"/>
          <w:sz w:val="24"/>
          <w:szCs w:val="24"/>
          <w:lang w:val="en-GB"/>
        </w:rPr>
        <w:t>.1.</w:t>
      </w:r>
      <w:r w:rsidRPr="004C0441">
        <w:rPr>
          <w:rFonts w:asciiTheme="majorBidi" w:hAnsiTheme="majorBidi"/>
          <w:b/>
          <w:bCs/>
          <w:color w:val="auto"/>
          <w:sz w:val="24"/>
          <w:szCs w:val="24"/>
          <w:lang w:val="en-GB"/>
        </w:rPr>
        <w:tab/>
        <w:t>CSDP-JHA cooperation</w:t>
      </w:r>
      <w:bookmarkEnd w:id="60"/>
      <w:bookmarkEnd w:id="61"/>
    </w:p>
    <w:p w:rsidR="00BA550B" w:rsidRPr="004C0441" w:rsidRDefault="00BA550B" w:rsidP="00BA550B">
      <w:pPr>
        <w:autoSpaceDE w:val="0"/>
        <w:autoSpaceDN w:val="0"/>
        <w:adjustRightInd w:val="0"/>
        <w:rPr>
          <w:rFonts w:asciiTheme="majorBidi" w:eastAsia="Calibri" w:hAnsiTheme="majorBidi" w:cstheme="majorBidi"/>
          <w:color w:val="000000"/>
          <w:lang w:eastAsia="en-GB"/>
        </w:rPr>
      </w:pPr>
      <w:r w:rsidRPr="004C0441">
        <w:rPr>
          <w:rFonts w:asciiTheme="majorBidi" w:eastAsia="Calibri" w:hAnsiTheme="majorBidi" w:cstheme="majorBidi"/>
          <w:color w:val="000000"/>
          <w:lang w:eastAsia="en-GB"/>
        </w:rPr>
        <w:t xml:space="preserve">COSI continued to discuss the possibilities of strengthening EU internal and external security cooperation. COSI and PSC have held regular joint meetings once per </w:t>
      </w:r>
      <w:r>
        <w:rPr>
          <w:rFonts w:asciiTheme="majorBidi" w:eastAsia="Calibri" w:hAnsiTheme="majorBidi" w:cstheme="majorBidi"/>
          <w:color w:val="000000"/>
          <w:lang w:eastAsia="en-GB"/>
        </w:rPr>
        <w:t>p</w:t>
      </w:r>
      <w:r w:rsidRPr="004C0441">
        <w:rPr>
          <w:rFonts w:asciiTheme="majorBidi" w:eastAsia="Calibri" w:hAnsiTheme="majorBidi" w:cstheme="majorBidi"/>
          <w:color w:val="000000"/>
          <w:lang w:eastAsia="en-GB"/>
        </w:rPr>
        <w:t>residency in this respect.</w:t>
      </w:r>
    </w:p>
    <w:p w:rsidR="00BA550B" w:rsidRPr="004C0441" w:rsidRDefault="00BA550B" w:rsidP="00BA550B">
      <w:pPr>
        <w:autoSpaceDE w:val="0"/>
        <w:autoSpaceDN w:val="0"/>
        <w:adjustRightInd w:val="0"/>
        <w:rPr>
          <w:rFonts w:asciiTheme="majorBidi" w:eastAsia="Calibri" w:hAnsiTheme="majorBidi" w:cstheme="majorBidi"/>
          <w:color w:val="000000"/>
          <w:lang w:eastAsia="en-GB"/>
        </w:rPr>
      </w:pPr>
      <w:bookmarkStart w:id="62" w:name="_Toc1747109"/>
      <w:bookmarkStart w:id="63" w:name="_Toc1751428"/>
      <w:r w:rsidRPr="004C0441">
        <w:rPr>
          <w:rFonts w:asciiTheme="majorBidi" w:eastAsia="Calibri" w:hAnsiTheme="majorBidi" w:cstheme="majorBidi"/>
          <w:color w:val="000000"/>
          <w:lang w:eastAsia="en-GB"/>
        </w:rPr>
        <w:t>On 26 September 2017, COSI-PSC exchanged views on how to strengthen the links between CSDP missions and JHA policies. It was agreed that a concept for a Crime Information Cell would be considered in the context of a pilot project in the EUNAVFOR MED operation S</w:t>
      </w:r>
      <w:r>
        <w:rPr>
          <w:rFonts w:asciiTheme="majorBidi" w:eastAsia="Calibri" w:hAnsiTheme="majorBidi" w:cstheme="majorBidi"/>
          <w:color w:val="000000"/>
          <w:lang w:eastAsia="en-GB"/>
        </w:rPr>
        <w:t>ophia</w:t>
      </w:r>
      <w:r w:rsidRPr="004C0441">
        <w:rPr>
          <w:rFonts w:asciiTheme="majorBidi" w:eastAsia="Calibri" w:hAnsiTheme="majorBidi" w:cstheme="majorBidi"/>
          <w:b/>
          <w:bCs/>
          <w:color w:val="000000"/>
          <w:vertAlign w:val="superscript"/>
          <w:lang w:eastAsia="en-GB"/>
        </w:rPr>
        <w:footnoteReference w:id="71"/>
      </w:r>
      <w:bookmarkEnd w:id="62"/>
      <w:bookmarkEnd w:id="63"/>
      <w:r w:rsidRPr="004C0441">
        <w:rPr>
          <w:rFonts w:asciiTheme="majorBidi" w:eastAsia="Calibri" w:hAnsiTheme="majorBidi" w:cstheme="majorBidi"/>
          <w:color w:val="000000"/>
          <w:lang w:eastAsia="en-GB"/>
        </w:rPr>
        <w:t>.</w:t>
      </w:r>
    </w:p>
    <w:p w:rsidR="00BA550B" w:rsidRPr="004C0441" w:rsidRDefault="00BA550B" w:rsidP="00BA550B">
      <w:pPr>
        <w:autoSpaceDE w:val="0"/>
        <w:autoSpaceDN w:val="0"/>
        <w:adjustRightInd w:val="0"/>
        <w:rPr>
          <w:rFonts w:asciiTheme="majorBidi" w:eastAsia="Calibri" w:hAnsiTheme="majorBidi" w:cstheme="majorBidi"/>
          <w:color w:val="000000"/>
          <w:lang w:eastAsia="en-GB"/>
        </w:rPr>
      </w:pPr>
      <w:r w:rsidRPr="004C0441">
        <w:rPr>
          <w:rFonts w:asciiTheme="majorBidi" w:eastAsia="Calibri" w:hAnsiTheme="majorBidi" w:cstheme="majorBidi"/>
          <w:color w:val="000000"/>
        </w:rPr>
        <w:t xml:space="preserve">On 19 October 2017, the European Council called for </w:t>
      </w:r>
      <w:r w:rsidRPr="004C0441">
        <w:rPr>
          <w:rFonts w:asciiTheme="majorBidi" w:eastAsia="Calibri" w:hAnsiTheme="majorBidi" w:cstheme="majorBidi"/>
          <w:color w:val="000000"/>
          <w:lang w:eastAsia="en-GB"/>
        </w:rPr>
        <w:t>ensuring that CSDP missions and operations are fully staffed and that their mandates are adapted as required to assist in the fight against trafficking and smuggling networks in order to help disrupt their business model; and for information and data sharing within the EU, between Member States, JHA agencies, and CSDP missions and operations, as well as with international partners, to be enhanced.</w:t>
      </w:r>
    </w:p>
    <w:p w:rsidR="00BA550B" w:rsidRPr="004C0441" w:rsidRDefault="00BA550B" w:rsidP="00BA550B">
      <w:pPr>
        <w:outlineLvl w:val="0"/>
        <w:rPr>
          <w:rFonts w:asciiTheme="majorBidi" w:hAnsiTheme="majorBidi" w:cstheme="majorBidi"/>
        </w:rPr>
      </w:pPr>
      <w:bookmarkStart w:id="64" w:name="_Toc1747110"/>
      <w:bookmarkStart w:id="65" w:name="_Toc1751429"/>
      <w:bookmarkStart w:id="66" w:name="_Toc2065831"/>
      <w:bookmarkStart w:id="67" w:name="_Toc2065957"/>
      <w:bookmarkStart w:id="68" w:name="_Toc2358355"/>
      <w:bookmarkStart w:id="69" w:name="_Toc3188517"/>
      <w:r w:rsidRPr="004C0441">
        <w:rPr>
          <w:rFonts w:asciiTheme="majorBidi" w:hAnsiTheme="majorBidi" w:cstheme="majorBidi"/>
        </w:rPr>
        <w:t>On 8 and 9 November 2017, an experts workshop took place and provided recommendations on the EUNAVFOR MED pilot project</w:t>
      </w:r>
      <w:r w:rsidRPr="004C0441">
        <w:rPr>
          <w:rFonts w:asciiTheme="majorBidi" w:hAnsiTheme="majorBidi" w:cstheme="majorBidi"/>
          <w:b/>
          <w:vertAlign w:val="superscript"/>
        </w:rPr>
        <w:footnoteReference w:id="72"/>
      </w:r>
      <w:r w:rsidRPr="004C0441">
        <w:rPr>
          <w:rFonts w:asciiTheme="majorBidi" w:hAnsiTheme="majorBidi" w:cstheme="majorBidi"/>
        </w:rPr>
        <w:t>. The state of play was presented at the JHA Council on 7 December 2017. On 8 March 2018 Ministers endorsed the principle of participation of the EU agencies in a pilot project for a Crime Information Cell in EUNAVFOR MED Operation Sophia put forward in a joint concept note of the COM and EEAS.</w:t>
      </w:r>
      <w:bookmarkEnd w:id="64"/>
      <w:bookmarkEnd w:id="65"/>
      <w:bookmarkEnd w:id="66"/>
      <w:bookmarkEnd w:id="67"/>
      <w:bookmarkEnd w:id="68"/>
      <w:bookmarkEnd w:id="69"/>
    </w:p>
    <w:p w:rsidR="00BA550B" w:rsidRPr="004C0441" w:rsidRDefault="00BA550B" w:rsidP="00BA550B">
      <w:pPr>
        <w:autoSpaceDE w:val="0"/>
        <w:autoSpaceDN w:val="0"/>
        <w:adjustRightInd w:val="0"/>
        <w:rPr>
          <w:rFonts w:asciiTheme="majorBidi" w:eastAsia="MS Gothic" w:hAnsiTheme="majorBidi" w:cstheme="majorBidi"/>
        </w:rPr>
      </w:pPr>
      <w:r w:rsidRPr="004C0441">
        <w:rPr>
          <w:rFonts w:asciiTheme="majorBidi" w:hAnsiTheme="majorBidi" w:cstheme="majorBidi"/>
        </w:rPr>
        <w:t>The establishment of the Crime Information Cell (CIC) within EUNAVFOR MED Operation Sophia</w:t>
      </w:r>
      <w:r w:rsidRPr="004C0441">
        <w:rPr>
          <w:rStyle w:val="FootnoteReference"/>
          <w:rFonts w:asciiTheme="majorBidi" w:hAnsiTheme="majorBidi" w:cstheme="majorBidi"/>
        </w:rPr>
        <w:footnoteReference w:id="73"/>
      </w:r>
      <w:r w:rsidRPr="004C0441">
        <w:rPr>
          <w:rFonts w:asciiTheme="majorBidi" w:hAnsiTheme="majorBidi" w:cstheme="majorBidi"/>
        </w:rPr>
        <w:t xml:space="preserve"> brought about tangible progress in enhancing operational cooperation between</w:t>
      </w:r>
      <w:r w:rsidRPr="004C0441">
        <w:rPr>
          <w:rFonts w:asciiTheme="majorBidi" w:eastAsia="MS Gothic" w:hAnsiTheme="majorBidi" w:cstheme="majorBidi"/>
        </w:rPr>
        <w:t xml:space="preserve"> the </w:t>
      </w:r>
      <w:r w:rsidRPr="004C0441">
        <w:rPr>
          <w:rFonts w:asciiTheme="majorBidi" w:hAnsiTheme="majorBidi" w:cstheme="majorBidi"/>
        </w:rPr>
        <w:t xml:space="preserve">Common Security and Defence Policy (CSDP) and Justice and Home Affairs (JHA) actors. The CIC was activated </w:t>
      </w:r>
      <w:r w:rsidRPr="004C0441">
        <w:rPr>
          <w:rFonts w:asciiTheme="majorBidi" w:eastAsia="MS Gothic" w:hAnsiTheme="majorBidi" w:cstheme="majorBidi"/>
        </w:rPr>
        <w:t>on 5 July 2018;</w:t>
      </w:r>
      <w:r w:rsidRPr="006A766E">
        <w:rPr>
          <w:rFonts w:asciiTheme="majorBidi" w:eastAsia="MS Gothic" w:hAnsiTheme="majorBidi" w:cstheme="majorBidi"/>
          <w:b/>
          <w:i/>
        </w:rPr>
        <w:t xml:space="preserve"> </w:t>
      </w:r>
      <w:r w:rsidRPr="004C0441">
        <w:rPr>
          <w:rFonts w:asciiTheme="majorBidi" w:eastAsia="MS Gothic" w:hAnsiTheme="majorBidi" w:cstheme="majorBidi"/>
        </w:rPr>
        <w:t>since then</w:t>
      </w:r>
      <w:r>
        <w:rPr>
          <w:rFonts w:asciiTheme="majorBidi" w:eastAsia="MS Gothic" w:hAnsiTheme="majorBidi" w:cstheme="majorBidi"/>
        </w:rPr>
        <w:t>,</w:t>
      </w:r>
      <w:r w:rsidRPr="004C0441">
        <w:rPr>
          <w:rFonts w:asciiTheme="majorBidi" w:eastAsia="MS Gothic" w:hAnsiTheme="majorBidi" w:cstheme="majorBidi"/>
        </w:rPr>
        <w:t xml:space="preserve"> </w:t>
      </w:r>
      <w:r w:rsidRPr="004C0441">
        <w:rPr>
          <w:rFonts w:asciiTheme="majorBidi" w:hAnsiTheme="majorBidi" w:cstheme="majorBidi"/>
        </w:rPr>
        <w:t xml:space="preserve">five specialised personnel from Europol, Frontex and EUNAVFOR Med </w:t>
      </w:r>
      <w:r>
        <w:rPr>
          <w:rFonts w:asciiTheme="majorBidi" w:hAnsiTheme="majorBidi" w:cstheme="majorBidi"/>
        </w:rPr>
        <w:t xml:space="preserve">have </w:t>
      </w:r>
      <w:r w:rsidRPr="004C0441">
        <w:rPr>
          <w:rFonts w:asciiTheme="majorBidi" w:hAnsiTheme="majorBidi" w:cstheme="majorBidi"/>
        </w:rPr>
        <w:t xml:space="preserve">embarked on board the </w:t>
      </w:r>
      <w:r>
        <w:rPr>
          <w:rFonts w:asciiTheme="majorBidi" w:hAnsiTheme="majorBidi" w:cstheme="majorBidi"/>
        </w:rPr>
        <w:t>f</w:t>
      </w:r>
      <w:r w:rsidRPr="004C0441">
        <w:rPr>
          <w:rFonts w:asciiTheme="majorBidi" w:hAnsiTheme="majorBidi" w:cstheme="majorBidi"/>
        </w:rPr>
        <w:t>lagship of EUNAVFOR MED Operation Sophia</w:t>
      </w:r>
      <w:r w:rsidRPr="004C0441">
        <w:rPr>
          <w:rFonts w:asciiTheme="majorBidi" w:eastAsia="MS Gothic" w:hAnsiTheme="majorBidi" w:cstheme="majorBidi"/>
        </w:rPr>
        <w:t>.</w:t>
      </w:r>
    </w:p>
    <w:p w:rsidR="00BA550B" w:rsidRPr="004C0441" w:rsidRDefault="00BA550B" w:rsidP="00BA550B">
      <w:pPr>
        <w:autoSpaceDE w:val="0"/>
        <w:autoSpaceDN w:val="0"/>
        <w:adjustRightInd w:val="0"/>
        <w:rPr>
          <w:rFonts w:asciiTheme="majorBidi" w:eastAsia="MS Gothic" w:hAnsiTheme="majorBidi" w:cstheme="majorBidi"/>
        </w:rPr>
      </w:pPr>
      <w:r w:rsidRPr="004C0441">
        <w:rPr>
          <w:rFonts w:asciiTheme="majorBidi" w:eastAsia="MS Gothic" w:hAnsiTheme="majorBidi" w:cstheme="majorBidi"/>
        </w:rPr>
        <w:br w:type="page"/>
        <w:t>A joint report by EUNAVFOR MED Operation Sophia, Europol and FRONTEX on the final results of the pilot project was presented at the COSI/PSC meeting in November (14312/18). Overall</w:t>
      </w:r>
      <w:r>
        <w:rPr>
          <w:rFonts w:asciiTheme="majorBidi" w:eastAsia="MS Gothic" w:hAnsiTheme="majorBidi" w:cstheme="majorBidi"/>
        </w:rPr>
        <w:t>,</w:t>
      </w:r>
      <w:r w:rsidRPr="004C0441">
        <w:rPr>
          <w:rFonts w:asciiTheme="majorBidi" w:eastAsia="MS Gothic" w:hAnsiTheme="majorBidi" w:cstheme="majorBidi"/>
        </w:rPr>
        <w:t xml:space="preserve"> the pilot was judged to be a step forward, benefiting all parties and improving mutual awareness of the respective roles and responsibilities of the actors involved with MS supporting the continuation of the project, subject to a formal decision by PSC. </w:t>
      </w:r>
    </w:p>
    <w:p w:rsidR="00BA550B" w:rsidRPr="004C0441" w:rsidRDefault="00BA550B" w:rsidP="00BA550B">
      <w:pPr>
        <w:rPr>
          <w:rFonts w:asciiTheme="majorBidi" w:eastAsia="MS Gothic" w:hAnsiTheme="majorBidi" w:cstheme="majorBidi"/>
        </w:rPr>
      </w:pPr>
      <w:r w:rsidRPr="004C0441">
        <w:rPr>
          <w:rFonts w:asciiTheme="majorBidi" w:hAnsiTheme="majorBidi" w:cstheme="majorBidi"/>
        </w:rPr>
        <w:t xml:space="preserve">On 23 November, COSI and PSC also took note of the Civilian CSDP Compact, which was approved by FAC on 19 November 2018, given its wider relevance to both internal and external security actors. The importance of MS' support for </w:t>
      </w:r>
      <w:r w:rsidRPr="004C0441">
        <w:rPr>
          <w:rFonts w:asciiTheme="majorBidi" w:hAnsiTheme="majorBidi" w:cstheme="majorBidi"/>
          <w:iCs/>
        </w:rPr>
        <w:t>the initiative</w:t>
      </w:r>
      <w:r w:rsidRPr="004C0441">
        <w:rPr>
          <w:rFonts w:asciiTheme="majorBidi" w:hAnsiTheme="majorBidi" w:cstheme="majorBidi"/>
          <w:i/>
          <w:iCs/>
        </w:rPr>
        <w:t xml:space="preserve">, </w:t>
      </w:r>
      <w:r w:rsidRPr="004C0441">
        <w:rPr>
          <w:rFonts w:asciiTheme="majorBidi" w:hAnsiTheme="majorBidi" w:cstheme="majorBidi"/>
        </w:rPr>
        <w:t>including the National Implementation Plans, and the involvement of JHA actors</w:t>
      </w:r>
      <w:r>
        <w:rPr>
          <w:rFonts w:asciiTheme="majorBidi" w:hAnsiTheme="majorBidi" w:cstheme="majorBidi"/>
        </w:rPr>
        <w:t>,</w:t>
      </w:r>
      <w:r w:rsidRPr="004C0441">
        <w:rPr>
          <w:rFonts w:asciiTheme="majorBidi" w:hAnsiTheme="majorBidi" w:cstheme="majorBidi"/>
        </w:rPr>
        <w:t xml:space="preserve"> was highlighted. The </w:t>
      </w:r>
      <w:r w:rsidRPr="004C0441">
        <w:rPr>
          <w:rFonts w:asciiTheme="majorBidi" w:eastAsia="MS Gothic" w:hAnsiTheme="majorBidi" w:cstheme="majorBidi"/>
        </w:rPr>
        <w:t>High Representative and the Commission</w:t>
      </w:r>
      <w:r w:rsidRPr="004C0441">
        <w:rPr>
          <w:rFonts w:asciiTheme="majorBidi" w:eastAsia="MS Gothic" w:hAnsiTheme="majorBidi" w:cstheme="majorBidi"/>
          <w:b/>
          <w:bCs/>
        </w:rPr>
        <w:t xml:space="preserve"> </w:t>
      </w:r>
      <w:r w:rsidRPr="004C0441">
        <w:rPr>
          <w:rFonts w:asciiTheme="majorBidi" w:eastAsia="MS Gothic" w:hAnsiTheme="majorBidi" w:cstheme="majorBidi"/>
        </w:rPr>
        <w:t xml:space="preserve">will present a joint Action Plan as well as mini-concepts in early spring 2019 to roll out concrete steps to be taken by the </w:t>
      </w:r>
      <w:r>
        <w:rPr>
          <w:rFonts w:asciiTheme="majorBidi" w:eastAsia="MS Gothic" w:hAnsiTheme="majorBidi" w:cstheme="majorBidi"/>
        </w:rPr>
        <w:t>EU</w:t>
      </w:r>
      <w:r w:rsidRPr="004C0441">
        <w:rPr>
          <w:rFonts w:asciiTheme="majorBidi" w:eastAsia="MS Gothic" w:hAnsiTheme="majorBidi" w:cstheme="majorBidi"/>
        </w:rPr>
        <w:t xml:space="preserve"> institutions to contribute to a coherent implementation of the Compact.</w:t>
      </w:r>
    </w:p>
    <w:p w:rsidR="00BA550B" w:rsidRPr="004C0441" w:rsidRDefault="00BA550B" w:rsidP="00BA550B">
      <w:pPr>
        <w:pStyle w:val="Heading2"/>
        <w:spacing w:before="120" w:after="120"/>
        <w:rPr>
          <w:rFonts w:asciiTheme="majorBidi" w:hAnsiTheme="majorBidi"/>
          <w:b/>
          <w:bCs/>
          <w:color w:val="auto"/>
          <w:sz w:val="24"/>
          <w:szCs w:val="24"/>
          <w:lang w:val="en-GB"/>
        </w:rPr>
      </w:pPr>
      <w:bookmarkStart w:id="70" w:name="_Toc1655419"/>
      <w:bookmarkStart w:id="71" w:name="_Toc3188518"/>
      <w:r>
        <w:rPr>
          <w:rFonts w:asciiTheme="majorBidi" w:hAnsiTheme="majorBidi"/>
          <w:b/>
          <w:bCs/>
          <w:color w:val="auto"/>
          <w:sz w:val="24"/>
          <w:szCs w:val="24"/>
          <w:lang w:val="en-GB"/>
        </w:rPr>
        <w:t>9</w:t>
      </w:r>
      <w:r w:rsidRPr="004C0441">
        <w:rPr>
          <w:rFonts w:asciiTheme="majorBidi" w:hAnsiTheme="majorBidi"/>
          <w:b/>
          <w:bCs/>
          <w:color w:val="auto"/>
          <w:sz w:val="24"/>
          <w:szCs w:val="24"/>
          <w:lang w:val="en-GB"/>
        </w:rPr>
        <w:t>.2.</w:t>
      </w:r>
      <w:r w:rsidRPr="004C0441">
        <w:rPr>
          <w:rFonts w:asciiTheme="majorBidi" w:hAnsiTheme="majorBidi"/>
          <w:b/>
          <w:bCs/>
          <w:color w:val="auto"/>
          <w:sz w:val="24"/>
          <w:szCs w:val="24"/>
          <w:lang w:val="en-GB"/>
        </w:rPr>
        <w:tab/>
        <w:t>EU-Ukraine internal security cooperation</w:t>
      </w:r>
      <w:bookmarkEnd w:id="70"/>
      <w:bookmarkEnd w:id="71"/>
    </w:p>
    <w:p w:rsidR="00BA550B" w:rsidRPr="004C0441" w:rsidRDefault="00BA550B" w:rsidP="00BA550B">
      <w:pPr>
        <w:rPr>
          <w:rFonts w:asciiTheme="majorBidi" w:hAnsiTheme="majorBidi" w:cstheme="majorBidi"/>
        </w:rPr>
      </w:pPr>
      <w:r w:rsidRPr="004C0441">
        <w:rPr>
          <w:rFonts w:asciiTheme="majorBidi" w:hAnsiTheme="majorBidi" w:cstheme="majorBidi"/>
        </w:rPr>
        <w:t>During the EE Presidency</w:t>
      </w:r>
      <w:r>
        <w:rPr>
          <w:rFonts w:asciiTheme="majorBidi" w:hAnsiTheme="majorBidi" w:cstheme="majorBidi"/>
        </w:rPr>
        <w:t>,</w:t>
      </w:r>
      <w:r w:rsidRPr="004C0441">
        <w:rPr>
          <w:rFonts w:asciiTheme="majorBidi" w:hAnsiTheme="majorBidi" w:cstheme="majorBidi"/>
        </w:rPr>
        <w:t xml:space="preserve"> COSI worked on draft Council conclusions</w:t>
      </w:r>
      <w:r w:rsidRPr="004C0441">
        <w:rPr>
          <w:rStyle w:val="FootnoteReference"/>
          <w:rFonts w:asciiTheme="majorBidi" w:hAnsiTheme="majorBidi" w:cstheme="majorBidi"/>
        </w:rPr>
        <w:footnoteReference w:id="74"/>
      </w:r>
      <w:r w:rsidRPr="004C0441">
        <w:rPr>
          <w:rFonts w:asciiTheme="majorBidi" w:hAnsiTheme="majorBidi" w:cstheme="majorBidi"/>
        </w:rPr>
        <w:t xml:space="preserve"> on strengthening European Union-Ukraine internal security cooperation, which were adopted at the Council in December 2017</w:t>
      </w:r>
      <w:r w:rsidRPr="004C0441">
        <w:rPr>
          <w:rStyle w:val="FootnoteReference"/>
          <w:rFonts w:asciiTheme="majorBidi" w:hAnsiTheme="majorBidi" w:cstheme="majorBidi"/>
        </w:rPr>
        <w:footnoteReference w:id="75"/>
      </w:r>
      <w:r w:rsidRPr="004C0441">
        <w:rPr>
          <w:rFonts w:asciiTheme="majorBidi" w:hAnsiTheme="majorBidi" w:cstheme="majorBidi"/>
        </w:rPr>
        <w:t>. Discussions highlighted the need to provide support to law enforcement authorities, specially through CSDP instruments. In June 2018, COSI was briefed by the Head of EUAM Ukraine</w:t>
      </w:r>
      <w:r>
        <w:rPr>
          <w:rFonts w:asciiTheme="majorBidi" w:hAnsiTheme="majorBidi" w:cstheme="majorBidi"/>
        </w:rPr>
        <w:t>,</w:t>
      </w:r>
      <w:r w:rsidRPr="004C0441">
        <w:rPr>
          <w:rFonts w:asciiTheme="majorBidi" w:hAnsiTheme="majorBidi" w:cstheme="majorBidi"/>
        </w:rPr>
        <w:t xml:space="preserve"> who provided an overview on the SSR in Ukraine highlighting five key priority areas of support (</w:t>
      </w:r>
      <w:r>
        <w:rPr>
          <w:rFonts w:asciiTheme="majorBidi" w:hAnsiTheme="majorBidi" w:cstheme="majorBidi"/>
        </w:rPr>
        <w:t>d</w:t>
      </w:r>
      <w:r w:rsidRPr="004C0441">
        <w:rPr>
          <w:rFonts w:asciiTheme="majorBidi" w:hAnsiTheme="majorBidi" w:cstheme="majorBidi"/>
        </w:rPr>
        <w:t xml:space="preserve">elineation of competences, HR management, community policing, public order and criminal investigation). </w:t>
      </w:r>
    </w:p>
    <w:p w:rsidR="00BA550B" w:rsidRPr="004B1E9A" w:rsidRDefault="00BA550B" w:rsidP="00BA550B">
      <w:pPr>
        <w:pStyle w:val="Heading2"/>
        <w:spacing w:before="120" w:after="120"/>
        <w:rPr>
          <w:rFonts w:asciiTheme="majorBidi" w:hAnsiTheme="majorBidi"/>
          <w:b/>
          <w:bCs/>
          <w:color w:val="auto"/>
          <w:sz w:val="2"/>
          <w:szCs w:val="2"/>
          <w:lang w:val="en-GB"/>
        </w:rPr>
      </w:pPr>
      <w:bookmarkStart w:id="72" w:name="_Toc1655420"/>
      <w:r w:rsidRPr="004C0441">
        <w:rPr>
          <w:rFonts w:asciiTheme="majorBidi" w:hAnsiTheme="majorBidi"/>
          <w:b/>
          <w:bCs/>
          <w:color w:val="auto"/>
          <w:sz w:val="24"/>
          <w:szCs w:val="24"/>
          <w:lang w:val="en-GB"/>
        </w:rPr>
        <w:br w:type="page"/>
      </w:r>
    </w:p>
    <w:p w:rsidR="00BA550B" w:rsidRPr="004C0441" w:rsidRDefault="00BA550B" w:rsidP="00BA550B">
      <w:pPr>
        <w:pStyle w:val="Heading2"/>
        <w:spacing w:before="120" w:after="120"/>
        <w:rPr>
          <w:rFonts w:asciiTheme="majorBidi" w:hAnsiTheme="majorBidi"/>
          <w:b/>
          <w:bCs/>
          <w:color w:val="auto"/>
          <w:sz w:val="24"/>
          <w:szCs w:val="24"/>
          <w:lang w:val="en-GB"/>
        </w:rPr>
      </w:pPr>
      <w:bookmarkStart w:id="73" w:name="_Toc3188519"/>
      <w:r>
        <w:rPr>
          <w:rFonts w:asciiTheme="majorBidi" w:hAnsiTheme="majorBidi"/>
          <w:b/>
          <w:bCs/>
          <w:color w:val="auto"/>
          <w:sz w:val="24"/>
          <w:szCs w:val="24"/>
          <w:lang w:val="en-GB"/>
        </w:rPr>
        <w:t>9</w:t>
      </w:r>
      <w:r w:rsidRPr="004C0441">
        <w:rPr>
          <w:rFonts w:asciiTheme="majorBidi" w:hAnsiTheme="majorBidi"/>
          <w:b/>
          <w:bCs/>
          <w:color w:val="auto"/>
          <w:sz w:val="24"/>
          <w:szCs w:val="24"/>
          <w:lang w:val="en-GB"/>
        </w:rPr>
        <w:t>.3.</w:t>
      </w:r>
      <w:r w:rsidRPr="004C0441">
        <w:rPr>
          <w:rFonts w:asciiTheme="majorBidi" w:hAnsiTheme="majorBidi"/>
          <w:b/>
          <w:bCs/>
          <w:color w:val="auto"/>
          <w:sz w:val="24"/>
          <w:szCs w:val="24"/>
          <w:lang w:val="en-GB"/>
        </w:rPr>
        <w:tab/>
        <w:t>EU and Western Balkans cooperation</w:t>
      </w:r>
      <w:bookmarkEnd w:id="72"/>
      <w:bookmarkEnd w:id="73"/>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EU and Western Balkans have a shared interest in addressing common challenges in the areas of security and rule of law, in </w:t>
      </w:r>
      <w:r>
        <w:rPr>
          <w:rFonts w:asciiTheme="majorBidi" w:hAnsiTheme="majorBidi" w:cstheme="majorBidi"/>
        </w:rPr>
        <w:t xml:space="preserve">the </w:t>
      </w:r>
      <w:r w:rsidRPr="004C0441">
        <w:rPr>
          <w:rFonts w:asciiTheme="majorBidi" w:hAnsiTheme="majorBidi" w:cstheme="majorBidi"/>
        </w:rPr>
        <w:t>light of the European perspective of all six partners. Many regional initiatives are already in place. COSI underlined the necessity to step up efforts in the region, where the role of the JHA agencies could be exploited to its full potential; the need to strengthen practitioners</w:t>
      </w:r>
      <w:r>
        <w:rPr>
          <w:rFonts w:asciiTheme="majorBidi" w:hAnsiTheme="majorBidi" w:cstheme="majorBidi"/>
        </w:rPr>
        <w:t>'</w:t>
      </w:r>
      <w:r w:rsidRPr="004C0441">
        <w:rPr>
          <w:rFonts w:asciiTheme="majorBidi" w:hAnsiTheme="majorBidi" w:cstheme="majorBidi"/>
        </w:rPr>
        <w:t xml:space="preserve"> networks and develop joint actions that could also be instrumental to mitigat</w:t>
      </w:r>
      <w:r>
        <w:rPr>
          <w:rFonts w:asciiTheme="majorBidi" w:hAnsiTheme="majorBidi" w:cstheme="majorBidi"/>
        </w:rPr>
        <w:t>ing</w:t>
      </w:r>
      <w:r w:rsidRPr="004C0441">
        <w:rPr>
          <w:rFonts w:asciiTheme="majorBidi" w:hAnsiTheme="majorBidi" w:cstheme="majorBidi"/>
        </w:rPr>
        <w:t xml:space="preserve"> regional tensions and build</w:t>
      </w:r>
      <w:r>
        <w:rPr>
          <w:rFonts w:asciiTheme="majorBidi" w:hAnsiTheme="majorBidi" w:cstheme="majorBidi"/>
        </w:rPr>
        <w:t>ing</w:t>
      </w:r>
      <w:r w:rsidRPr="004C0441">
        <w:rPr>
          <w:rFonts w:asciiTheme="majorBidi" w:hAnsiTheme="majorBidi" w:cstheme="majorBidi"/>
        </w:rPr>
        <w:t xml:space="preserve"> trust and cooperation in the region; </w:t>
      </w:r>
      <w:r>
        <w:rPr>
          <w:rFonts w:asciiTheme="majorBidi" w:hAnsiTheme="majorBidi" w:cstheme="majorBidi"/>
        </w:rPr>
        <w:t xml:space="preserve">the </w:t>
      </w:r>
      <w:r w:rsidRPr="004C0441">
        <w:rPr>
          <w:rFonts w:asciiTheme="majorBidi" w:hAnsiTheme="majorBidi" w:cstheme="majorBidi"/>
        </w:rPr>
        <w:t xml:space="preserve">EU Policy Cycle is seen as a solid platform on which cooperation with </w:t>
      </w:r>
      <w:r>
        <w:rPr>
          <w:rFonts w:asciiTheme="majorBidi" w:hAnsiTheme="majorBidi" w:cstheme="majorBidi"/>
        </w:rPr>
        <w:t xml:space="preserve">the </w:t>
      </w:r>
      <w:r w:rsidRPr="004C0441">
        <w:rPr>
          <w:rFonts w:asciiTheme="majorBidi" w:hAnsiTheme="majorBidi" w:cstheme="majorBidi"/>
        </w:rPr>
        <w:t>WB could be deepened. Important progress was noted. A Joint Action Plan on Counter</w:t>
      </w:r>
      <w:r>
        <w:rPr>
          <w:rFonts w:asciiTheme="majorBidi" w:hAnsiTheme="majorBidi" w:cstheme="majorBidi"/>
        </w:rPr>
        <w:t xml:space="preserve"> </w:t>
      </w:r>
      <w:r w:rsidRPr="004C0441">
        <w:rPr>
          <w:rFonts w:asciiTheme="majorBidi" w:hAnsiTheme="majorBidi" w:cstheme="majorBidi"/>
        </w:rPr>
        <w:t>Terrorism</w:t>
      </w:r>
      <w:r w:rsidRPr="004C0441">
        <w:rPr>
          <w:rStyle w:val="FootnoteReference"/>
          <w:rFonts w:asciiTheme="majorBidi" w:hAnsiTheme="majorBidi" w:cstheme="majorBidi"/>
        </w:rPr>
        <w:footnoteReference w:id="76"/>
      </w:r>
      <w:r w:rsidRPr="004C0441">
        <w:rPr>
          <w:rFonts w:asciiTheme="majorBidi" w:hAnsiTheme="majorBidi" w:cstheme="majorBidi"/>
        </w:rPr>
        <w:t xml:space="preserve"> was signed at the EU-Western Balkans Ministerial Forum on Justice and Home Affairs on 5 October 2018;</w:t>
      </w:r>
      <w:r>
        <w:rPr>
          <w:rFonts w:asciiTheme="majorBidi" w:hAnsiTheme="majorBidi" w:cstheme="majorBidi"/>
        </w:rPr>
        <w:t xml:space="preserve"> </w:t>
      </w:r>
      <w:r w:rsidRPr="004C0441">
        <w:rPr>
          <w:rFonts w:asciiTheme="majorBidi" w:hAnsiTheme="majorBidi" w:cstheme="majorBidi"/>
        </w:rPr>
        <w:t xml:space="preserve">the </w:t>
      </w:r>
      <w:r>
        <w:rPr>
          <w:rFonts w:asciiTheme="majorBidi" w:hAnsiTheme="majorBidi" w:cstheme="majorBidi"/>
        </w:rPr>
        <w:t>'</w:t>
      </w:r>
      <w:r w:rsidRPr="004C0441">
        <w:rPr>
          <w:rFonts w:asciiTheme="majorBidi" w:hAnsiTheme="majorBidi" w:cstheme="majorBidi"/>
        </w:rPr>
        <w:t>Prüm agreement for Southeast Europe</w:t>
      </w:r>
      <w:r>
        <w:rPr>
          <w:rFonts w:asciiTheme="majorBidi" w:hAnsiTheme="majorBidi" w:cstheme="majorBidi"/>
        </w:rPr>
        <w:t xml:space="preserve">'was signed </w:t>
      </w:r>
      <w:r w:rsidRPr="00A63B83">
        <w:rPr>
          <w:rFonts w:asciiTheme="majorBidi" w:hAnsiTheme="majorBidi" w:cstheme="majorBidi"/>
        </w:rPr>
        <w:t>In the margins of the Ministerial conference on Security and Migration, Promoting Partnership and Resilience, held in Vienna on 13 and 14 September 2018</w:t>
      </w:r>
      <w:r>
        <w:rPr>
          <w:rFonts w:asciiTheme="majorBidi" w:hAnsiTheme="majorBidi" w:cstheme="majorBidi"/>
        </w:rPr>
        <w:t xml:space="preserve">, </w:t>
      </w:r>
      <w:r w:rsidRPr="004C0441">
        <w:rPr>
          <w:rFonts w:asciiTheme="majorBidi" w:hAnsiTheme="majorBidi" w:cstheme="majorBidi"/>
        </w:rPr>
        <w:t>and the CFSP dialogues and CSDP-JHA cooperation</w:t>
      </w:r>
      <w:r>
        <w:rPr>
          <w:rFonts w:asciiTheme="majorBidi" w:hAnsiTheme="majorBidi" w:cstheme="majorBidi"/>
        </w:rPr>
        <w:t>,</w:t>
      </w:r>
      <w:r w:rsidRPr="004C0441">
        <w:rPr>
          <w:rFonts w:asciiTheme="majorBidi" w:hAnsiTheme="majorBidi" w:cstheme="majorBidi"/>
        </w:rPr>
        <w:t xml:space="preserve"> including through EULEX Kosovo</w:t>
      </w:r>
      <w:r>
        <w:rPr>
          <w:rFonts w:asciiTheme="majorBidi" w:hAnsiTheme="majorBidi" w:cstheme="majorBidi"/>
        </w:rPr>
        <w:t xml:space="preserve"> continued</w:t>
      </w:r>
      <w:r w:rsidRPr="004C0441">
        <w:rPr>
          <w:rFonts w:asciiTheme="majorBidi" w:hAnsiTheme="majorBidi" w:cstheme="majorBidi"/>
        </w:rPr>
        <w:t>. The Committee was informed of developments in the region, taking note of the IISG kick</w:t>
      </w:r>
      <w:r>
        <w:rPr>
          <w:rFonts w:asciiTheme="majorBidi" w:hAnsiTheme="majorBidi" w:cstheme="majorBidi"/>
        </w:rPr>
        <w:t>-</w:t>
      </w:r>
      <w:r w:rsidRPr="004C0441">
        <w:rPr>
          <w:rFonts w:asciiTheme="majorBidi" w:hAnsiTheme="majorBidi" w:cstheme="majorBidi"/>
        </w:rPr>
        <w:t>off conference</w:t>
      </w:r>
      <w:r w:rsidRPr="004C0441">
        <w:rPr>
          <w:rStyle w:val="FootnoteReference"/>
          <w:rFonts w:asciiTheme="majorBidi" w:hAnsiTheme="majorBidi" w:cstheme="majorBidi"/>
        </w:rPr>
        <w:footnoteReference w:id="77"/>
      </w:r>
      <w:r w:rsidRPr="004C0441">
        <w:rPr>
          <w:rFonts w:asciiTheme="majorBidi" w:hAnsiTheme="majorBidi" w:cstheme="majorBidi"/>
        </w:rPr>
        <w:t xml:space="preserve"> in September 2017 and the draft Integrative Plan of Action for the Western Balkan Counter Serious Crime Initiative</w:t>
      </w:r>
      <w:r w:rsidRPr="004C0441">
        <w:rPr>
          <w:rStyle w:val="FootnoteReference"/>
          <w:rFonts w:asciiTheme="majorBidi" w:hAnsiTheme="majorBidi" w:cstheme="majorBidi"/>
        </w:rPr>
        <w:footnoteReference w:id="78"/>
      </w:r>
      <w:r w:rsidRPr="004C0441">
        <w:rPr>
          <w:rFonts w:asciiTheme="majorBidi" w:hAnsiTheme="majorBidi" w:cstheme="majorBidi"/>
        </w:rPr>
        <w:t>, and the Brdo Process Ministerial Meeting and Integrative Internal Security Governance Board Meeting</w:t>
      </w:r>
      <w:r w:rsidRPr="004C0441">
        <w:rPr>
          <w:rStyle w:val="FootnoteReference"/>
          <w:rFonts w:asciiTheme="majorBidi" w:hAnsiTheme="majorBidi" w:cstheme="majorBidi"/>
        </w:rPr>
        <w:footnoteReference w:id="79"/>
      </w:r>
      <w:r w:rsidRPr="004C0441">
        <w:rPr>
          <w:rFonts w:asciiTheme="majorBidi" w:hAnsiTheme="majorBidi" w:cstheme="majorBidi"/>
        </w:rPr>
        <w:t xml:space="preserve"> of 15-16 March 2018. </w:t>
      </w:r>
    </w:p>
    <w:p w:rsidR="00BA550B" w:rsidRPr="004C0441" w:rsidRDefault="00BA550B" w:rsidP="00BA550B">
      <w:pPr>
        <w:rPr>
          <w:rFonts w:asciiTheme="majorBidi" w:hAnsiTheme="majorBidi" w:cstheme="majorBidi"/>
        </w:rPr>
      </w:pPr>
      <w:r w:rsidRPr="004C0441">
        <w:rPr>
          <w:rFonts w:asciiTheme="majorBidi" w:hAnsiTheme="majorBidi" w:cstheme="majorBidi"/>
        </w:rPr>
        <w:t>Furthermore, COSI was briefed in May 2018 about the first EU</w:t>
      </w:r>
      <w:r w:rsidRPr="004C0441">
        <w:rPr>
          <w:rFonts w:asciiTheme="majorBidi" w:hAnsiTheme="majorBidi" w:cstheme="majorBidi"/>
        </w:rPr>
        <w:noBreakHyphen/>
        <w:t xml:space="preserve">Western Balkans JHA Senior Officials Meeting of April 2018 and by Europol on the involvement of the Western Balkans in the Policy Cycle. </w:t>
      </w:r>
      <w:r>
        <w:rPr>
          <w:rFonts w:asciiTheme="majorBidi" w:hAnsiTheme="majorBidi" w:cstheme="majorBidi"/>
        </w:rPr>
        <w:t xml:space="preserve">In February 2018 </w:t>
      </w:r>
      <w:r w:rsidRPr="004C0441">
        <w:rPr>
          <w:rFonts w:asciiTheme="majorBidi" w:hAnsiTheme="majorBidi" w:cstheme="majorBidi"/>
        </w:rPr>
        <w:t xml:space="preserve">COSI endorsed the input </w:t>
      </w:r>
      <w:r>
        <w:rPr>
          <w:rFonts w:asciiTheme="majorBidi" w:hAnsiTheme="majorBidi" w:cstheme="majorBidi"/>
        </w:rPr>
        <w:t>on</w:t>
      </w:r>
      <w:r w:rsidRPr="004C0441">
        <w:rPr>
          <w:rFonts w:asciiTheme="majorBidi" w:hAnsiTheme="majorBidi" w:cstheme="majorBidi"/>
        </w:rPr>
        <w:t xml:space="preserve"> the action plan for the Western Balkan Counter</w:t>
      </w:r>
      <w:r>
        <w:rPr>
          <w:rFonts w:asciiTheme="majorBidi" w:hAnsiTheme="majorBidi" w:cstheme="majorBidi"/>
        </w:rPr>
        <w:t xml:space="preserve"> </w:t>
      </w:r>
      <w:r w:rsidRPr="004C0441">
        <w:rPr>
          <w:rFonts w:asciiTheme="majorBidi" w:hAnsiTheme="majorBidi" w:cstheme="majorBidi"/>
        </w:rPr>
        <w:t>Serious Crime initiative and the proposed measures for improving synergies with the Policy Cycle in the appropriate fora</w:t>
      </w:r>
      <w:r>
        <w:rPr>
          <w:rFonts w:asciiTheme="majorBidi" w:hAnsiTheme="majorBidi" w:cstheme="majorBidi"/>
        </w:rPr>
        <w:t>, such</w:t>
      </w:r>
      <w:r w:rsidRPr="004C0441">
        <w:rPr>
          <w:rFonts w:asciiTheme="majorBidi" w:hAnsiTheme="majorBidi" w:cstheme="majorBidi"/>
        </w:rPr>
        <w:t xml:space="preserve"> as the SEPCA (Southeast Europe Police Chiefs Association), in this </w:t>
      </w:r>
      <w:r>
        <w:rPr>
          <w:rFonts w:asciiTheme="majorBidi" w:hAnsiTheme="majorBidi" w:cstheme="majorBidi"/>
        </w:rPr>
        <w:t>regard</w:t>
      </w:r>
      <w:r w:rsidRPr="004C0441">
        <w:rPr>
          <w:rFonts w:asciiTheme="majorBidi" w:hAnsiTheme="majorBidi" w:cstheme="majorBidi"/>
        </w:rPr>
        <w:t xml:space="preserve"> Europol presented its input </w:t>
      </w:r>
      <w:r>
        <w:rPr>
          <w:rFonts w:asciiTheme="majorBidi" w:hAnsiTheme="majorBidi" w:cstheme="majorBidi"/>
        </w:rPr>
        <w:t>on</w:t>
      </w:r>
      <w:r w:rsidRPr="004C0441">
        <w:rPr>
          <w:rFonts w:asciiTheme="majorBidi" w:hAnsiTheme="majorBidi" w:cstheme="majorBidi"/>
        </w:rPr>
        <w:t xml:space="preserve"> the SEPCA region threat assessment</w:t>
      </w:r>
      <w:r w:rsidRPr="004C0441">
        <w:rPr>
          <w:rStyle w:val="FootnoteReference"/>
          <w:rFonts w:asciiTheme="majorBidi" w:hAnsiTheme="majorBidi" w:cstheme="majorBidi"/>
        </w:rPr>
        <w:footnoteReference w:id="80"/>
      </w:r>
      <w:r w:rsidRPr="004C0441">
        <w:rPr>
          <w:rFonts w:asciiTheme="majorBidi" w:hAnsiTheme="majorBidi" w:cstheme="majorBidi"/>
        </w:rPr>
        <w:t>.</w:t>
      </w:r>
    </w:p>
    <w:p w:rsidR="00BA550B" w:rsidRPr="004C0441" w:rsidRDefault="00BA550B" w:rsidP="003D33B0">
      <w:pPr>
        <w:pStyle w:val="Heading123"/>
        <w:numPr>
          <w:ilvl w:val="0"/>
          <w:numId w:val="24"/>
        </w:numPr>
      </w:pPr>
      <w:bookmarkStart w:id="74" w:name="_Toc1655427"/>
      <w:r w:rsidRPr="004C0441">
        <w:br w:type="page"/>
      </w:r>
      <w:bookmarkStart w:id="75" w:name="_Toc3188520"/>
      <w:r w:rsidRPr="004C0441">
        <w:t>Interoperability</w:t>
      </w:r>
      <w:bookmarkEnd w:id="74"/>
      <w:bookmarkEnd w:id="75"/>
    </w:p>
    <w:p w:rsidR="00BA550B" w:rsidRPr="004C0441" w:rsidRDefault="00BA550B" w:rsidP="00BA550B">
      <w:pPr>
        <w:rPr>
          <w:rFonts w:asciiTheme="majorBidi" w:hAnsiTheme="majorBidi" w:cstheme="majorBidi"/>
        </w:rPr>
      </w:pPr>
      <w:r w:rsidRPr="004C0441">
        <w:rPr>
          <w:rFonts w:asciiTheme="majorBidi" w:eastAsia="Arial Unicode MS" w:hAnsiTheme="majorBidi" w:cstheme="majorBidi"/>
        </w:rPr>
        <w:t xml:space="preserve">Work in the field of interoperability continued on the basis of the updated Roadmap </w:t>
      </w:r>
      <w:r w:rsidRPr="004C0441">
        <w:rPr>
          <w:rFonts w:asciiTheme="majorBidi" w:hAnsiTheme="majorBidi" w:cstheme="majorBidi"/>
        </w:rPr>
        <w:t>to enhance information exchange and information management including interoperability solutions in the Justice and Home Affairs area</w:t>
      </w:r>
      <w:r w:rsidRPr="004C0441">
        <w:rPr>
          <w:rStyle w:val="FootnoteReference"/>
          <w:rFonts w:asciiTheme="majorBidi" w:eastAsia="Arial Unicode MS" w:hAnsiTheme="majorBidi" w:cstheme="majorBidi"/>
        </w:rPr>
        <w:footnoteReference w:id="81"/>
      </w:r>
      <w:r w:rsidRPr="004C0441">
        <w:rPr>
          <w:rFonts w:asciiTheme="majorBidi" w:eastAsia="Arial Unicode MS" w:hAnsiTheme="majorBidi" w:cstheme="majorBidi"/>
        </w:rPr>
        <w:t>.</w:t>
      </w:r>
      <w:r w:rsidRPr="004C0441">
        <w:rPr>
          <w:rFonts w:asciiTheme="majorBidi" w:hAnsiTheme="majorBidi" w:cstheme="majorBidi"/>
        </w:rPr>
        <w:t xml:space="preserve"> </w:t>
      </w:r>
      <w:r w:rsidRPr="004C0441">
        <w:rPr>
          <w:rFonts w:asciiTheme="majorBidi" w:eastAsia="Arial Unicode MS" w:hAnsiTheme="majorBidi" w:cstheme="majorBidi"/>
        </w:rPr>
        <w:t>COSI monitored the discussions in DAPIX (Friends of the Presidency) as regards interoperability of EU information systems and the follow-up on the final report of the High-Level Expert Group on information systems and interoperability.</w:t>
      </w:r>
      <w:r w:rsidRPr="004C0441">
        <w:rPr>
          <w:rFonts w:asciiTheme="majorBidi" w:hAnsiTheme="majorBidi" w:cstheme="majorBidi"/>
        </w:rPr>
        <w:t xml:space="preserve"> COSI received an update on the Roadmap</w:t>
      </w:r>
      <w:r w:rsidRPr="004C0441">
        <w:rPr>
          <w:rStyle w:val="FootnoteReference"/>
          <w:rFonts w:asciiTheme="majorBidi" w:hAnsiTheme="majorBidi" w:cstheme="majorBidi"/>
        </w:rPr>
        <w:footnoteReference w:id="82"/>
      </w:r>
      <w:r w:rsidRPr="004C0441">
        <w:rPr>
          <w:rFonts w:asciiTheme="majorBidi" w:hAnsiTheme="majorBidi" w:cstheme="majorBidi"/>
        </w:rPr>
        <w:t xml:space="preserve"> to enhance information exchange and information management including interoperability solutions in the Justice and Home Affairs area, and the Committee endorsed its third implementation report in June 2018</w:t>
      </w:r>
      <w:r w:rsidRPr="004C0441">
        <w:rPr>
          <w:rStyle w:val="FootnoteReference"/>
          <w:rFonts w:asciiTheme="majorBidi" w:hAnsiTheme="majorBidi" w:cstheme="majorBidi"/>
        </w:rPr>
        <w:footnoteReference w:id="83"/>
      </w:r>
      <w:r w:rsidRPr="004C0441">
        <w:rPr>
          <w:rFonts w:asciiTheme="majorBidi" w:hAnsiTheme="majorBidi" w:cstheme="majorBidi"/>
        </w:rPr>
        <w:t xml:space="preserve">. </w:t>
      </w:r>
    </w:p>
    <w:p w:rsidR="00BA550B" w:rsidRPr="004C0441" w:rsidRDefault="00BA550B" w:rsidP="003D33B0">
      <w:pPr>
        <w:pStyle w:val="Heading123"/>
        <w:numPr>
          <w:ilvl w:val="0"/>
          <w:numId w:val="24"/>
        </w:numPr>
        <w:rPr>
          <w:rFonts w:asciiTheme="majorBidi" w:hAnsiTheme="majorBidi" w:cstheme="majorBidi"/>
        </w:rPr>
      </w:pPr>
      <w:bookmarkStart w:id="76" w:name="_Toc1655429"/>
      <w:bookmarkStart w:id="77" w:name="_Toc3188521"/>
      <w:r w:rsidRPr="004C0441">
        <w:rPr>
          <w:rFonts w:asciiTheme="majorBidi" w:hAnsiTheme="majorBidi" w:cstheme="majorBidi"/>
        </w:rPr>
        <w:t>Training</w:t>
      </w:r>
      <w:bookmarkEnd w:id="76"/>
      <w:bookmarkEnd w:id="77"/>
    </w:p>
    <w:p w:rsidR="00BA550B" w:rsidRPr="004C0441" w:rsidRDefault="00BA550B" w:rsidP="00BA550B">
      <w:pPr>
        <w:rPr>
          <w:rFonts w:asciiTheme="majorBidi" w:hAnsiTheme="majorBidi" w:cstheme="majorBidi"/>
        </w:rPr>
      </w:pPr>
      <w:r w:rsidRPr="004C0441">
        <w:rPr>
          <w:rFonts w:asciiTheme="majorBidi" w:hAnsiTheme="majorBidi" w:cstheme="majorBidi"/>
        </w:rPr>
        <w:t>In November 2018 COSI welcomed the presentation of the first EU Strategic Training Needs Assessment</w:t>
      </w:r>
      <w:r w:rsidRPr="004C0441">
        <w:rPr>
          <w:rStyle w:val="FootnoteReference"/>
          <w:rFonts w:asciiTheme="majorBidi" w:hAnsiTheme="majorBidi" w:cstheme="majorBidi"/>
        </w:rPr>
        <w:footnoteReference w:id="84"/>
      </w:r>
      <w:r w:rsidRPr="004C0441">
        <w:rPr>
          <w:rFonts w:asciiTheme="majorBidi" w:hAnsiTheme="majorBidi" w:cstheme="majorBidi"/>
        </w:rPr>
        <w:t xml:space="preserve"> (STNA) by CEPOL, as an important collective effort to identify</w:t>
      </w:r>
      <w:r>
        <w:rPr>
          <w:rFonts w:asciiTheme="majorBidi" w:hAnsiTheme="majorBidi" w:cstheme="majorBidi"/>
        </w:rPr>
        <w:t>ing</w:t>
      </w:r>
      <w:r w:rsidRPr="004C0441">
        <w:rPr>
          <w:rFonts w:asciiTheme="majorBidi" w:hAnsiTheme="majorBidi" w:cstheme="majorBidi"/>
        </w:rPr>
        <w:t xml:space="preserve"> training priorities in the area of internal security and its external aspects at EU level. </w:t>
      </w:r>
    </w:p>
    <w:p w:rsidR="00BA550B" w:rsidRPr="004C0441" w:rsidRDefault="00BA550B" w:rsidP="00BA550B">
      <w:pPr>
        <w:rPr>
          <w:rFonts w:asciiTheme="majorBidi" w:hAnsiTheme="majorBidi" w:cstheme="majorBidi"/>
        </w:rPr>
      </w:pPr>
      <w:r w:rsidRPr="004C0441">
        <w:rPr>
          <w:rFonts w:asciiTheme="majorBidi" w:hAnsiTheme="majorBidi" w:cstheme="majorBidi"/>
        </w:rPr>
        <w:t>COSI took note of the joint project</w:t>
      </w:r>
      <w:r w:rsidRPr="004C0441">
        <w:rPr>
          <w:rStyle w:val="FootnoteReference"/>
          <w:rFonts w:asciiTheme="majorBidi" w:hAnsiTheme="majorBidi" w:cstheme="majorBidi"/>
        </w:rPr>
        <w:footnoteReference w:id="85"/>
      </w:r>
      <w:r w:rsidRPr="004C0441">
        <w:rPr>
          <w:rFonts w:asciiTheme="majorBidi" w:hAnsiTheme="majorBidi" w:cstheme="majorBidi"/>
        </w:rPr>
        <w:t xml:space="preserve"> of integrated training of </w:t>
      </w:r>
      <w:r>
        <w:rPr>
          <w:rFonts w:asciiTheme="majorBidi" w:hAnsiTheme="majorBidi" w:cstheme="majorBidi"/>
        </w:rPr>
        <w:t>p</w:t>
      </w:r>
      <w:r w:rsidRPr="004C0441">
        <w:rPr>
          <w:rFonts w:asciiTheme="majorBidi" w:hAnsiTheme="majorBidi" w:cstheme="majorBidi"/>
        </w:rPr>
        <w:t xml:space="preserve">olice academy cadets run by the French Gendarmerie and the Spanish Guardia Civil. Delegations welcomed the initiative. The possibility to develop this model at EU level, including </w:t>
      </w:r>
      <w:r>
        <w:rPr>
          <w:rFonts w:asciiTheme="majorBidi" w:hAnsiTheme="majorBidi" w:cstheme="majorBidi"/>
        </w:rPr>
        <w:t>through</w:t>
      </w:r>
      <w:r w:rsidRPr="004C0441">
        <w:rPr>
          <w:rFonts w:asciiTheme="majorBidi" w:hAnsiTheme="majorBidi" w:cstheme="majorBidi"/>
        </w:rPr>
        <w:t xml:space="preserve"> EU financing support</w:t>
      </w:r>
      <w:r>
        <w:rPr>
          <w:rFonts w:asciiTheme="majorBidi" w:hAnsiTheme="majorBidi" w:cstheme="majorBidi"/>
        </w:rPr>
        <w:t>,</w:t>
      </w:r>
      <w:r w:rsidRPr="004C0441">
        <w:rPr>
          <w:rFonts w:asciiTheme="majorBidi" w:hAnsiTheme="majorBidi" w:cstheme="majorBidi"/>
        </w:rPr>
        <w:t xml:space="preserve"> should be considered. CEPOL involvement was encouraged</w:t>
      </w:r>
      <w:r>
        <w:rPr>
          <w:rFonts w:asciiTheme="majorBidi" w:hAnsiTheme="majorBidi" w:cstheme="majorBidi"/>
        </w:rPr>
        <w:t xml:space="preserve"> </w:t>
      </w:r>
      <w:r w:rsidRPr="004C0441">
        <w:rPr>
          <w:rFonts w:asciiTheme="majorBidi" w:hAnsiTheme="majorBidi" w:cstheme="majorBidi"/>
        </w:rPr>
        <w:t>as soon as possible.</w:t>
      </w:r>
    </w:p>
    <w:p w:rsidR="00BA550B" w:rsidRPr="004C0441" w:rsidRDefault="00BA550B" w:rsidP="00BA550B">
      <w:pPr>
        <w:rPr>
          <w:rFonts w:asciiTheme="majorBidi" w:hAnsiTheme="majorBidi" w:cstheme="majorBidi"/>
        </w:rPr>
      </w:pPr>
      <w:r>
        <w:rPr>
          <w:rFonts w:asciiTheme="majorBidi" w:hAnsiTheme="majorBidi" w:cstheme="majorBidi"/>
        </w:rPr>
        <w:br w:type="page"/>
      </w:r>
      <w:r w:rsidRPr="004C0441">
        <w:rPr>
          <w:rFonts w:asciiTheme="majorBidi" w:hAnsiTheme="majorBidi" w:cstheme="majorBidi"/>
        </w:rPr>
        <w:t>CEPOL and EUCPN presented the state of play of the initiative</w:t>
      </w:r>
      <w:r w:rsidRPr="004C0441">
        <w:rPr>
          <w:rStyle w:val="FootnoteReference"/>
          <w:rFonts w:asciiTheme="majorBidi" w:hAnsiTheme="majorBidi" w:cstheme="majorBidi"/>
        </w:rPr>
        <w:footnoteReference w:id="86"/>
      </w:r>
      <w:r w:rsidRPr="004C0441">
        <w:rPr>
          <w:rFonts w:asciiTheme="majorBidi" w:hAnsiTheme="majorBidi" w:cstheme="majorBidi"/>
        </w:rPr>
        <w:t xml:space="preserve"> on community policing. They have taken a joint action approach to facilitate the collection and analysis of best community policing practices, with the intention </w:t>
      </w:r>
      <w:r>
        <w:rPr>
          <w:rFonts w:asciiTheme="majorBidi" w:hAnsiTheme="majorBidi" w:cstheme="majorBidi"/>
        </w:rPr>
        <w:t>of</w:t>
      </w:r>
      <w:r w:rsidRPr="004C0441">
        <w:rPr>
          <w:rFonts w:asciiTheme="majorBidi" w:hAnsiTheme="majorBidi" w:cstheme="majorBidi"/>
        </w:rPr>
        <w:t xml:space="preserve"> issu</w:t>
      </w:r>
      <w:r>
        <w:rPr>
          <w:rFonts w:asciiTheme="majorBidi" w:hAnsiTheme="majorBidi" w:cstheme="majorBidi"/>
        </w:rPr>
        <w:t>ing</w:t>
      </w:r>
      <w:r w:rsidRPr="004C0441">
        <w:rPr>
          <w:rFonts w:asciiTheme="majorBidi" w:hAnsiTheme="majorBidi" w:cstheme="majorBidi"/>
        </w:rPr>
        <w:t xml:space="preserve"> a joint handbook/toolbox of best practices</w:t>
      </w:r>
      <w:r>
        <w:rPr>
          <w:rFonts w:asciiTheme="majorBidi" w:hAnsiTheme="majorBidi" w:cstheme="majorBidi"/>
        </w:rPr>
        <w:t>,</w:t>
      </w:r>
      <w:r w:rsidRPr="004C0441">
        <w:rPr>
          <w:rFonts w:asciiTheme="majorBidi" w:hAnsiTheme="majorBidi" w:cstheme="majorBidi"/>
        </w:rPr>
        <w:t xml:space="preserve"> which will be prepared on that basis. An analytical paper on the use of community policing in the Member States, including an applicable policy framework will also be developed.</w:t>
      </w:r>
    </w:p>
    <w:p w:rsidR="00BA550B" w:rsidRPr="009E49A1" w:rsidRDefault="00BA550B" w:rsidP="003D33B0">
      <w:pPr>
        <w:pStyle w:val="Heading123"/>
        <w:numPr>
          <w:ilvl w:val="0"/>
          <w:numId w:val="24"/>
        </w:numPr>
        <w:spacing w:before="240"/>
        <w:rPr>
          <w:rFonts w:asciiTheme="majorBidi" w:hAnsiTheme="majorBidi" w:cstheme="majorBidi"/>
        </w:rPr>
      </w:pPr>
      <w:bookmarkStart w:id="78" w:name="_Toc1655432"/>
      <w:bookmarkStart w:id="79" w:name="_Toc3188522"/>
      <w:r w:rsidRPr="009E49A1">
        <w:rPr>
          <w:rFonts w:asciiTheme="majorBidi" w:hAnsiTheme="majorBidi" w:cstheme="majorBidi"/>
        </w:rPr>
        <w:t>Role of the COSI Support Group</w:t>
      </w:r>
      <w:bookmarkEnd w:id="78"/>
      <w:bookmarkEnd w:id="79"/>
    </w:p>
    <w:p w:rsidR="00BA550B" w:rsidRPr="004C0441" w:rsidRDefault="00BA550B" w:rsidP="00BA550B">
      <w:pPr>
        <w:widowControl w:val="0"/>
        <w:rPr>
          <w:rFonts w:asciiTheme="majorBidi" w:hAnsiTheme="majorBidi" w:cstheme="majorBidi"/>
          <w:lang w:eastAsia="fr-BE"/>
        </w:rPr>
      </w:pPr>
      <w:r w:rsidRPr="004C0441">
        <w:rPr>
          <w:rFonts w:asciiTheme="majorBidi" w:hAnsiTheme="majorBidi" w:cstheme="majorBidi"/>
          <w:lang w:eastAsia="fr-BE"/>
        </w:rPr>
        <w:t>The COSI SG should support and facilitate COSI</w:t>
      </w:r>
      <w:r>
        <w:rPr>
          <w:rFonts w:asciiTheme="majorBidi" w:hAnsiTheme="majorBidi" w:cstheme="majorBidi"/>
          <w:lang w:eastAsia="fr-BE"/>
        </w:rPr>
        <w:t>'</w:t>
      </w:r>
      <w:r w:rsidRPr="004C0441">
        <w:rPr>
          <w:rFonts w:asciiTheme="majorBidi" w:hAnsiTheme="majorBidi" w:cstheme="majorBidi"/>
          <w:lang w:eastAsia="fr-BE"/>
        </w:rPr>
        <w:t>s work, notably within the framework of the EU Policy Cycle. It should prepare discussions for COSI, either by concluding certain items that can be dealt with at COSI SG level or by streamlining discussions for COSI. Issues that require further guidance from COSI or issues of a strategic nature should be presented to COSI for discussion. The Europol findings on the implementation of OAPs, the EU SOCTA and the mid-term and final assessment of the results of the actions of the Policy Cycle should always be presented to COSI. COSI SG should not replace or duplicate work.</w:t>
      </w:r>
      <w:r w:rsidRPr="004C0441">
        <w:rPr>
          <w:rStyle w:val="FootnoteReference"/>
          <w:rFonts w:asciiTheme="majorBidi" w:hAnsiTheme="majorBidi" w:cstheme="majorBidi"/>
          <w:lang w:eastAsia="fr-BE"/>
        </w:rPr>
        <w:footnoteReference w:id="87"/>
      </w:r>
      <w:r w:rsidRPr="004C0441">
        <w:rPr>
          <w:rFonts w:asciiTheme="majorBidi" w:hAnsiTheme="majorBidi" w:cstheme="majorBidi"/>
          <w:lang w:eastAsia="fr-BE"/>
        </w:rPr>
        <w:t xml:space="preserve"> </w:t>
      </w:r>
    </w:p>
    <w:p w:rsidR="00BA550B" w:rsidRPr="004C0441" w:rsidRDefault="00BA550B" w:rsidP="003D33B0">
      <w:pPr>
        <w:pStyle w:val="Heading123"/>
        <w:numPr>
          <w:ilvl w:val="0"/>
          <w:numId w:val="24"/>
        </w:numPr>
        <w:tabs>
          <w:tab w:val="clear" w:pos="567"/>
        </w:tabs>
        <w:spacing w:before="240"/>
        <w:rPr>
          <w:rFonts w:asciiTheme="majorBidi" w:hAnsiTheme="majorBidi" w:cstheme="majorBidi"/>
          <w:lang w:eastAsia="fr-BE"/>
        </w:rPr>
      </w:pPr>
      <w:bookmarkStart w:id="80" w:name="_Toc1655433"/>
      <w:bookmarkStart w:id="81" w:name="_Toc3188523"/>
      <w:r w:rsidRPr="004C0441">
        <w:rPr>
          <w:rFonts w:asciiTheme="majorBidi" w:hAnsiTheme="majorBidi" w:cstheme="majorBidi"/>
          <w:lang w:eastAsia="fr-BE"/>
        </w:rPr>
        <w:t>Conclusion</w:t>
      </w:r>
      <w:bookmarkEnd w:id="80"/>
      <w:bookmarkEnd w:id="81"/>
    </w:p>
    <w:p w:rsidR="00BA550B" w:rsidRPr="004C0441" w:rsidRDefault="00BA550B" w:rsidP="00BA550B">
      <w:pPr>
        <w:rPr>
          <w:rFonts w:asciiTheme="majorBidi" w:hAnsiTheme="majorBidi" w:cstheme="majorBidi"/>
        </w:rPr>
      </w:pPr>
      <w:r w:rsidRPr="004C0441">
        <w:rPr>
          <w:rFonts w:asciiTheme="majorBidi" w:hAnsiTheme="majorBidi" w:cstheme="majorBidi"/>
        </w:rPr>
        <w:t xml:space="preserve">COSI remained committed to its central role in ensuring that operational cooperation on internal security is promoted and strengthened within the Union, as well as in developing, implementing and monitoring the renewed EU ISS 2015-2020 in cooperation with the Commission. COSI continued to monitor the implementation of the EU Policy Cycle and steer further developments. The new Policy Cycle 2018-2021 continues to be a key tool for the EU's fight against organised and serious international crime for the coming four years that provides a solid multidisciplinary platform for operational cooperation of a multitude of actors. </w:t>
      </w:r>
    </w:p>
    <w:p w:rsidR="00BA550B" w:rsidRPr="004C0441" w:rsidRDefault="00BA550B" w:rsidP="00BA550B">
      <w:pPr>
        <w:rPr>
          <w:rFonts w:asciiTheme="majorBidi" w:hAnsiTheme="majorBidi" w:cstheme="majorBidi"/>
        </w:rPr>
      </w:pPr>
      <w:r w:rsidRPr="004C0441">
        <w:rPr>
          <w:rFonts w:asciiTheme="majorBidi" w:hAnsiTheme="majorBidi" w:cstheme="majorBidi"/>
        </w:rPr>
        <w:t>Strengthening the nexus between internal and external security policies will continue to be a priority for the coming years. Making further progress in ensuring greater coherence between internal and external actions in the field of security, for example between CSDP missions and JHA actors will be key.</w:t>
      </w:r>
    </w:p>
    <w:p w:rsidR="00BA550B" w:rsidRPr="004C0441" w:rsidRDefault="00BA550B" w:rsidP="003D33B0">
      <w:pPr>
        <w:pStyle w:val="Heading123"/>
        <w:numPr>
          <w:ilvl w:val="0"/>
          <w:numId w:val="24"/>
        </w:numPr>
        <w:spacing w:after="360"/>
      </w:pPr>
      <w:r w:rsidRPr="004C0441">
        <w:rPr>
          <w:rFonts w:asciiTheme="majorHAnsi" w:hAnsiTheme="majorHAnsi" w:cstheme="majorBidi"/>
          <w:szCs w:val="32"/>
          <w:lang w:eastAsia="fr-BE"/>
        </w:rPr>
        <w:br w:type="page"/>
      </w:r>
      <w:bookmarkStart w:id="82" w:name="ControlPages"/>
      <w:bookmarkStart w:id="83" w:name="_Toc3188524"/>
      <w:bookmarkEnd w:id="82"/>
      <w:r w:rsidRPr="004C0441">
        <w:t>Annex I - COSI &amp; COSI</w:t>
      </w:r>
      <w:r>
        <w:t>-</w:t>
      </w:r>
      <w:r w:rsidRPr="004C0441">
        <w:t>PSC Meetings July 2017 - December 2018</w:t>
      </w:r>
      <w:bookmarkEnd w:id="83"/>
    </w:p>
    <w:tbl>
      <w:tblPr>
        <w:tblW w:w="0" w:type="auto"/>
        <w:jc w:val="center"/>
        <w:tblLook w:val="04A0" w:firstRow="1" w:lastRow="0" w:firstColumn="1" w:lastColumn="0" w:noHBand="0" w:noVBand="1"/>
      </w:tblPr>
      <w:tblGrid>
        <w:gridCol w:w="1951"/>
        <w:gridCol w:w="2268"/>
        <w:gridCol w:w="2747"/>
        <w:gridCol w:w="2073"/>
      </w:tblGrid>
      <w:tr w:rsidR="00BA550B" w:rsidRPr="004C0441" w:rsidTr="00BA550B">
        <w:trPr>
          <w:jc w:val="center"/>
        </w:trPr>
        <w:tc>
          <w:tcPr>
            <w:tcW w:w="1951" w:type="dxa"/>
          </w:tcPr>
          <w:p w:rsidR="00BA550B" w:rsidRPr="004C0441" w:rsidRDefault="00BA550B" w:rsidP="00BA550B">
            <w:pPr>
              <w:spacing w:before="60" w:after="60" w:line="240" w:lineRule="auto"/>
              <w:jc w:val="center"/>
              <w:rPr>
                <w:b/>
                <w:bCs/>
              </w:rPr>
            </w:pPr>
            <w:r w:rsidRPr="004C0441">
              <w:rPr>
                <w:b/>
                <w:bCs/>
              </w:rPr>
              <w:t>MEETING</w:t>
            </w:r>
          </w:p>
        </w:tc>
        <w:tc>
          <w:tcPr>
            <w:tcW w:w="2268" w:type="dxa"/>
          </w:tcPr>
          <w:p w:rsidR="00BA550B" w:rsidRPr="004C0441" w:rsidRDefault="00BA550B" w:rsidP="00BA550B">
            <w:pPr>
              <w:spacing w:before="60" w:after="60" w:line="240" w:lineRule="auto"/>
              <w:jc w:val="center"/>
              <w:rPr>
                <w:b/>
                <w:bCs/>
              </w:rPr>
            </w:pPr>
            <w:r w:rsidRPr="004C0441">
              <w:rPr>
                <w:b/>
                <w:bCs/>
              </w:rPr>
              <w:t>DATE</w:t>
            </w:r>
          </w:p>
        </w:tc>
        <w:tc>
          <w:tcPr>
            <w:tcW w:w="2747" w:type="dxa"/>
          </w:tcPr>
          <w:p w:rsidR="00BA550B" w:rsidRPr="004C0441" w:rsidRDefault="00BA550B" w:rsidP="00BA550B">
            <w:pPr>
              <w:spacing w:before="60" w:after="60" w:line="240" w:lineRule="auto"/>
              <w:jc w:val="center"/>
              <w:rPr>
                <w:b/>
                <w:bCs/>
              </w:rPr>
            </w:pPr>
            <w:r w:rsidRPr="004C0441">
              <w:rPr>
                <w:b/>
                <w:bCs/>
              </w:rPr>
              <w:t>AGENDA</w:t>
            </w:r>
          </w:p>
        </w:tc>
        <w:tc>
          <w:tcPr>
            <w:tcW w:w="2073" w:type="dxa"/>
          </w:tcPr>
          <w:p w:rsidR="00BA550B" w:rsidRPr="004C0441" w:rsidRDefault="00BA550B" w:rsidP="00BA550B">
            <w:pPr>
              <w:spacing w:before="60" w:after="60" w:line="240" w:lineRule="auto"/>
              <w:jc w:val="center"/>
              <w:rPr>
                <w:b/>
                <w:bCs/>
              </w:rPr>
            </w:pPr>
            <w:r w:rsidRPr="004C0441">
              <w:rPr>
                <w:b/>
                <w:bCs/>
              </w:rPr>
              <w:t>OOP</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10/07/2017</w:t>
            </w:r>
          </w:p>
        </w:tc>
        <w:tc>
          <w:tcPr>
            <w:tcW w:w="2747" w:type="dxa"/>
          </w:tcPr>
          <w:p w:rsidR="00BA550B" w:rsidRPr="004C0441" w:rsidRDefault="00BA550B" w:rsidP="00BA550B">
            <w:pPr>
              <w:spacing w:before="60" w:after="60" w:line="240" w:lineRule="auto"/>
            </w:pPr>
            <w:r w:rsidRPr="004C0441">
              <w:t>CM 3460/17</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8/09/2017</w:t>
            </w:r>
          </w:p>
        </w:tc>
        <w:tc>
          <w:tcPr>
            <w:tcW w:w="2747" w:type="dxa"/>
          </w:tcPr>
          <w:p w:rsidR="00BA550B" w:rsidRPr="004C0441" w:rsidRDefault="00BA550B" w:rsidP="00BA550B">
            <w:pPr>
              <w:spacing w:before="60" w:after="60" w:line="240" w:lineRule="auto"/>
            </w:pPr>
            <w:r w:rsidRPr="004C0441">
              <w:t>CM 3860/17</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18/09/2017</w:t>
            </w:r>
          </w:p>
        </w:tc>
        <w:tc>
          <w:tcPr>
            <w:tcW w:w="2747" w:type="dxa"/>
          </w:tcPr>
          <w:p w:rsidR="00BA550B" w:rsidRPr="004C0441" w:rsidRDefault="00BA550B" w:rsidP="00BA550B">
            <w:pPr>
              <w:spacing w:before="60" w:after="60" w:line="240" w:lineRule="auto"/>
            </w:pPr>
            <w:r w:rsidRPr="004C0441">
              <w:t>CM 4004/17</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w:t>
            </w:r>
          </w:p>
        </w:tc>
        <w:tc>
          <w:tcPr>
            <w:tcW w:w="2268" w:type="dxa"/>
          </w:tcPr>
          <w:p w:rsidR="00BA550B" w:rsidRPr="004C0441" w:rsidRDefault="00BA550B" w:rsidP="00BA550B">
            <w:pPr>
              <w:spacing w:before="60" w:after="60" w:line="240" w:lineRule="auto"/>
              <w:jc w:val="center"/>
            </w:pPr>
            <w:r w:rsidRPr="004C0441">
              <w:t>25/09/2017</w:t>
            </w:r>
          </w:p>
        </w:tc>
        <w:tc>
          <w:tcPr>
            <w:tcW w:w="2747" w:type="dxa"/>
          </w:tcPr>
          <w:p w:rsidR="00BA550B" w:rsidRPr="004C0441" w:rsidRDefault="00BA550B" w:rsidP="00BA550B">
            <w:pPr>
              <w:spacing w:before="60" w:after="60" w:line="240" w:lineRule="auto"/>
            </w:pPr>
            <w:r w:rsidRPr="004C0441">
              <w:t>CM 4081/17</w:t>
            </w:r>
          </w:p>
        </w:tc>
        <w:tc>
          <w:tcPr>
            <w:tcW w:w="2073" w:type="dxa"/>
          </w:tcPr>
          <w:p w:rsidR="00BA550B" w:rsidRPr="004C0441" w:rsidRDefault="00BA550B" w:rsidP="00BA550B">
            <w:pPr>
              <w:spacing w:before="60" w:after="60" w:line="240" w:lineRule="auto"/>
            </w:pPr>
            <w:r w:rsidRPr="004C0441">
              <w:t>13209/17</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COSI-PSC</w:t>
            </w:r>
          </w:p>
        </w:tc>
        <w:tc>
          <w:tcPr>
            <w:tcW w:w="2268" w:type="dxa"/>
          </w:tcPr>
          <w:p w:rsidR="00BA550B" w:rsidRPr="004C0441" w:rsidRDefault="00BA550B" w:rsidP="00BA550B">
            <w:pPr>
              <w:spacing w:before="60" w:after="60" w:line="240" w:lineRule="auto"/>
              <w:jc w:val="center"/>
            </w:pPr>
            <w:r w:rsidRPr="004C0441">
              <w:t>26/09/2017</w:t>
            </w:r>
          </w:p>
        </w:tc>
        <w:tc>
          <w:tcPr>
            <w:tcW w:w="2747" w:type="dxa"/>
          </w:tcPr>
          <w:p w:rsidR="00BA550B" w:rsidRPr="004C0441" w:rsidRDefault="00BA550B" w:rsidP="00BA550B">
            <w:pPr>
              <w:spacing w:before="60" w:after="60" w:line="240" w:lineRule="auto"/>
            </w:pPr>
            <w:r w:rsidRPr="004C0441">
              <w:t>CM 4131/17</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23/10/2017</w:t>
            </w:r>
          </w:p>
        </w:tc>
        <w:tc>
          <w:tcPr>
            <w:tcW w:w="2747" w:type="dxa"/>
          </w:tcPr>
          <w:p w:rsidR="00BA550B" w:rsidRPr="004C0441" w:rsidRDefault="00BA550B" w:rsidP="00BA550B">
            <w:pPr>
              <w:spacing w:before="60" w:after="60" w:line="240" w:lineRule="auto"/>
            </w:pPr>
            <w:r w:rsidRPr="004C0441">
              <w:t>CM 4571/1/17 REV 1</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10/11/2017</w:t>
            </w:r>
          </w:p>
        </w:tc>
        <w:tc>
          <w:tcPr>
            <w:tcW w:w="2747" w:type="dxa"/>
          </w:tcPr>
          <w:p w:rsidR="00BA550B" w:rsidRPr="004C0441" w:rsidRDefault="00BA550B" w:rsidP="00BA550B">
            <w:pPr>
              <w:spacing w:before="60" w:after="60" w:line="240" w:lineRule="auto"/>
            </w:pPr>
            <w:r w:rsidRPr="004C0441">
              <w:t>CM 4837/1/17 REV 1</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w:t>
            </w:r>
          </w:p>
        </w:tc>
        <w:tc>
          <w:tcPr>
            <w:tcW w:w="2268" w:type="dxa"/>
          </w:tcPr>
          <w:p w:rsidR="00BA550B" w:rsidRPr="004C0441" w:rsidRDefault="00BA550B" w:rsidP="00BA550B">
            <w:pPr>
              <w:spacing w:before="60" w:after="60" w:line="240" w:lineRule="auto"/>
              <w:jc w:val="center"/>
            </w:pPr>
            <w:r w:rsidRPr="004C0441">
              <w:t>21/11/2017</w:t>
            </w:r>
          </w:p>
        </w:tc>
        <w:tc>
          <w:tcPr>
            <w:tcW w:w="2747" w:type="dxa"/>
          </w:tcPr>
          <w:p w:rsidR="00BA550B" w:rsidRPr="004C0441" w:rsidRDefault="00BA550B" w:rsidP="00BA550B">
            <w:pPr>
              <w:spacing w:before="60" w:after="60" w:line="240" w:lineRule="auto"/>
            </w:pPr>
            <w:r w:rsidRPr="004C0441">
              <w:t xml:space="preserve">ST 14260/1/17 REV 1 </w:t>
            </w:r>
          </w:p>
        </w:tc>
        <w:tc>
          <w:tcPr>
            <w:tcW w:w="2073" w:type="dxa"/>
          </w:tcPr>
          <w:p w:rsidR="00BA550B" w:rsidRPr="004C0441" w:rsidRDefault="00BA550B" w:rsidP="00BA550B">
            <w:pPr>
              <w:spacing w:before="60" w:after="60" w:line="240" w:lineRule="auto"/>
            </w:pPr>
            <w:r w:rsidRPr="004C0441">
              <w:t>15754/17</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1/12/2017</w:t>
            </w:r>
          </w:p>
        </w:tc>
        <w:tc>
          <w:tcPr>
            <w:tcW w:w="2747" w:type="dxa"/>
          </w:tcPr>
          <w:p w:rsidR="00BA550B" w:rsidRPr="004C0441" w:rsidRDefault="00BA550B" w:rsidP="00BA550B">
            <w:pPr>
              <w:spacing w:before="60" w:after="60" w:line="240" w:lineRule="auto"/>
            </w:pPr>
            <w:r w:rsidRPr="004C0441">
              <w:t>CM 5250/1/17 REV 1</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w:t>
            </w:r>
          </w:p>
        </w:tc>
        <w:tc>
          <w:tcPr>
            <w:tcW w:w="2268" w:type="dxa"/>
          </w:tcPr>
          <w:p w:rsidR="00BA550B" w:rsidRPr="004C0441" w:rsidRDefault="00BA550B" w:rsidP="00BA550B">
            <w:pPr>
              <w:spacing w:before="60" w:after="60" w:line="240" w:lineRule="auto"/>
              <w:jc w:val="center"/>
            </w:pPr>
            <w:r w:rsidRPr="004C0441">
              <w:t>14/12/2017</w:t>
            </w:r>
          </w:p>
        </w:tc>
        <w:tc>
          <w:tcPr>
            <w:tcW w:w="2747" w:type="dxa"/>
          </w:tcPr>
          <w:p w:rsidR="00BA550B" w:rsidRPr="004C0441" w:rsidRDefault="00BA550B" w:rsidP="00BA550B">
            <w:pPr>
              <w:spacing w:before="60" w:after="60" w:line="240" w:lineRule="auto"/>
            </w:pPr>
            <w:r w:rsidRPr="004C0441">
              <w:t>CM 5251/17</w:t>
            </w:r>
          </w:p>
        </w:tc>
        <w:tc>
          <w:tcPr>
            <w:tcW w:w="2073" w:type="dxa"/>
          </w:tcPr>
          <w:p w:rsidR="00BA550B" w:rsidRPr="004C0441" w:rsidRDefault="00BA550B" w:rsidP="00BA550B">
            <w:pPr>
              <w:spacing w:before="60" w:after="60" w:line="240" w:lineRule="auto"/>
            </w:pPr>
            <w:r w:rsidRPr="004C0441">
              <w:t>5338/18</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5/02/2018</w:t>
            </w:r>
          </w:p>
        </w:tc>
        <w:tc>
          <w:tcPr>
            <w:tcW w:w="2747" w:type="dxa"/>
          </w:tcPr>
          <w:p w:rsidR="00BA550B" w:rsidRPr="004C0441" w:rsidRDefault="00BA550B" w:rsidP="00BA550B">
            <w:pPr>
              <w:spacing w:before="60" w:after="60" w:line="240" w:lineRule="auto"/>
            </w:pPr>
            <w:r w:rsidRPr="004C0441">
              <w:t>CM 1321/18 + COR 1</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w:t>
            </w:r>
          </w:p>
        </w:tc>
        <w:tc>
          <w:tcPr>
            <w:tcW w:w="2268" w:type="dxa"/>
          </w:tcPr>
          <w:p w:rsidR="00BA550B" w:rsidRPr="004C0441" w:rsidRDefault="00BA550B" w:rsidP="00BA550B">
            <w:pPr>
              <w:spacing w:before="60" w:after="60" w:line="240" w:lineRule="auto"/>
              <w:jc w:val="center"/>
            </w:pPr>
            <w:r w:rsidRPr="004C0441">
              <w:t>21/02/2018</w:t>
            </w:r>
          </w:p>
        </w:tc>
        <w:tc>
          <w:tcPr>
            <w:tcW w:w="2747" w:type="dxa"/>
          </w:tcPr>
          <w:p w:rsidR="00BA550B" w:rsidRPr="004C0441" w:rsidRDefault="00BA550B" w:rsidP="00BA550B">
            <w:pPr>
              <w:spacing w:before="60" w:after="60" w:line="240" w:lineRule="auto"/>
            </w:pPr>
            <w:r w:rsidRPr="004C0441">
              <w:t>CM 1486/18 + COR 1</w:t>
            </w:r>
          </w:p>
        </w:tc>
        <w:tc>
          <w:tcPr>
            <w:tcW w:w="2073" w:type="dxa"/>
          </w:tcPr>
          <w:p w:rsidR="00BA550B" w:rsidRPr="004C0441" w:rsidRDefault="00BA550B" w:rsidP="00BA550B">
            <w:pPr>
              <w:spacing w:before="60" w:after="60" w:line="240" w:lineRule="auto"/>
            </w:pPr>
            <w:r w:rsidRPr="004C0441">
              <w:t>7286/18</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16/04/2018</w:t>
            </w:r>
          </w:p>
        </w:tc>
        <w:tc>
          <w:tcPr>
            <w:tcW w:w="2747" w:type="dxa"/>
          </w:tcPr>
          <w:p w:rsidR="00BA550B" w:rsidRPr="004C0441" w:rsidRDefault="00BA550B" w:rsidP="00BA550B">
            <w:pPr>
              <w:spacing w:before="60" w:after="60" w:line="240" w:lineRule="auto"/>
            </w:pPr>
            <w:r w:rsidRPr="004C0441">
              <w:t>CM 2264/18</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2/05/2018</w:t>
            </w:r>
          </w:p>
        </w:tc>
        <w:tc>
          <w:tcPr>
            <w:tcW w:w="2747" w:type="dxa"/>
          </w:tcPr>
          <w:p w:rsidR="00BA550B" w:rsidRPr="004C0441" w:rsidRDefault="00BA550B" w:rsidP="00BA550B">
            <w:pPr>
              <w:spacing w:before="60" w:after="60" w:line="240" w:lineRule="auto"/>
            </w:pPr>
            <w:r w:rsidRPr="004C0441">
              <w:t>CM 2539/2/18 REV 2</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w:t>
            </w:r>
          </w:p>
        </w:tc>
        <w:tc>
          <w:tcPr>
            <w:tcW w:w="2268" w:type="dxa"/>
          </w:tcPr>
          <w:p w:rsidR="00BA550B" w:rsidRPr="004C0441" w:rsidRDefault="00BA550B" w:rsidP="00BA550B">
            <w:pPr>
              <w:spacing w:before="60" w:after="60" w:line="240" w:lineRule="auto"/>
              <w:jc w:val="center"/>
            </w:pPr>
            <w:r w:rsidRPr="004C0441">
              <w:t>15/05/2018</w:t>
            </w:r>
          </w:p>
        </w:tc>
        <w:tc>
          <w:tcPr>
            <w:tcW w:w="2747" w:type="dxa"/>
          </w:tcPr>
          <w:p w:rsidR="00BA550B" w:rsidRPr="004C0441" w:rsidRDefault="00BA550B" w:rsidP="00BA550B">
            <w:pPr>
              <w:spacing w:before="60" w:after="60" w:line="240" w:lineRule="auto"/>
            </w:pPr>
            <w:r w:rsidRPr="004C0441">
              <w:t>CM 2425/1/18 REV 1</w:t>
            </w:r>
          </w:p>
        </w:tc>
        <w:tc>
          <w:tcPr>
            <w:tcW w:w="2073" w:type="dxa"/>
          </w:tcPr>
          <w:p w:rsidR="00BA550B" w:rsidRPr="004C0441" w:rsidRDefault="00BA550B" w:rsidP="00BA550B">
            <w:pPr>
              <w:spacing w:before="60" w:after="60" w:line="240" w:lineRule="auto"/>
            </w:pPr>
            <w:r w:rsidRPr="004C0441">
              <w:t>11157/18</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15/06/2018</w:t>
            </w:r>
          </w:p>
        </w:tc>
        <w:tc>
          <w:tcPr>
            <w:tcW w:w="2747" w:type="dxa"/>
          </w:tcPr>
          <w:p w:rsidR="00BA550B" w:rsidRPr="004C0441" w:rsidRDefault="00BA550B" w:rsidP="00BA550B">
            <w:pPr>
              <w:spacing w:before="60" w:after="60" w:line="240" w:lineRule="auto"/>
            </w:pPr>
            <w:r w:rsidRPr="004C0441">
              <w:t>CM 3125/1/18 REV 1</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w:t>
            </w:r>
          </w:p>
        </w:tc>
        <w:tc>
          <w:tcPr>
            <w:tcW w:w="2268" w:type="dxa"/>
          </w:tcPr>
          <w:p w:rsidR="00BA550B" w:rsidRPr="004C0441" w:rsidRDefault="00BA550B" w:rsidP="00BA550B">
            <w:pPr>
              <w:spacing w:before="60" w:after="60" w:line="240" w:lineRule="auto"/>
              <w:jc w:val="center"/>
            </w:pPr>
            <w:r w:rsidRPr="004C0441">
              <w:t>26/06/2018</w:t>
            </w:r>
          </w:p>
        </w:tc>
        <w:tc>
          <w:tcPr>
            <w:tcW w:w="2747" w:type="dxa"/>
          </w:tcPr>
          <w:p w:rsidR="00BA550B" w:rsidRPr="004C0441" w:rsidRDefault="00BA550B" w:rsidP="00BA550B">
            <w:pPr>
              <w:spacing w:before="60" w:after="60" w:line="240" w:lineRule="auto"/>
            </w:pPr>
            <w:r w:rsidRPr="004C0441">
              <w:t>CM 3350/18</w:t>
            </w:r>
          </w:p>
        </w:tc>
        <w:tc>
          <w:tcPr>
            <w:tcW w:w="2073" w:type="dxa"/>
          </w:tcPr>
          <w:p w:rsidR="00BA550B" w:rsidRPr="004C0441" w:rsidRDefault="00BA550B" w:rsidP="00BA550B">
            <w:pPr>
              <w:spacing w:before="60" w:after="60" w:line="240" w:lineRule="auto"/>
            </w:pPr>
            <w:r w:rsidRPr="004C0441">
              <w:t>11158/18</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17/09/2018</w:t>
            </w:r>
          </w:p>
        </w:tc>
        <w:tc>
          <w:tcPr>
            <w:tcW w:w="2747" w:type="dxa"/>
          </w:tcPr>
          <w:p w:rsidR="00BA550B" w:rsidRPr="004C0441" w:rsidRDefault="00BA550B" w:rsidP="00BA550B">
            <w:pPr>
              <w:spacing w:before="60" w:after="60" w:line="240" w:lineRule="auto"/>
            </w:pPr>
            <w:r w:rsidRPr="004C0441">
              <w:t>CM 4193/18</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w:t>
            </w:r>
          </w:p>
        </w:tc>
        <w:tc>
          <w:tcPr>
            <w:tcW w:w="2268" w:type="dxa"/>
          </w:tcPr>
          <w:p w:rsidR="00BA550B" w:rsidRPr="004C0441" w:rsidRDefault="00BA550B" w:rsidP="00BA550B">
            <w:pPr>
              <w:spacing w:before="60" w:after="60" w:line="240" w:lineRule="auto"/>
              <w:jc w:val="center"/>
            </w:pPr>
            <w:r w:rsidRPr="004C0441">
              <w:t>28/09/2018</w:t>
            </w:r>
          </w:p>
        </w:tc>
        <w:tc>
          <w:tcPr>
            <w:tcW w:w="2747" w:type="dxa"/>
          </w:tcPr>
          <w:p w:rsidR="00BA550B" w:rsidRPr="004C0441" w:rsidRDefault="00BA550B" w:rsidP="00BA550B">
            <w:pPr>
              <w:spacing w:before="60" w:after="60" w:line="240" w:lineRule="auto"/>
            </w:pPr>
            <w:r w:rsidRPr="004C0441">
              <w:t>CM 4202/1/18 REV 1</w:t>
            </w:r>
          </w:p>
        </w:tc>
        <w:tc>
          <w:tcPr>
            <w:tcW w:w="2073" w:type="dxa"/>
          </w:tcPr>
          <w:p w:rsidR="00BA550B" w:rsidRPr="004C0441" w:rsidRDefault="00BA550B" w:rsidP="00BA550B">
            <w:pPr>
              <w:spacing w:before="60" w:after="60" w:line="240" w:lineRule="auto"/>
            </w:pPr>
            <w:r w:rsidRPr="004C0441">
              <w:t>12745/18</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16/11/2018</w:t>
            </w:r>
          </w:p>
        </w:tc>
        <w:tc>
          <w:tcPr>
            <w:tcW w:w="2747" w:type="dxa"/>
          </w:tcPr>
          <w:p w:rsidR="00BA550B" w:rsidRPr="004C0441" w:rsidRDefault="00BA550B" w:rsidP="00BA550B">
            <w:pPr>
              <w:spacing w:before="60" w:after="60" w:line="240" w:lineRule="auto"/>
            </w:pPr>
            <w:r w:rsidRPr="004C0441">
              <w:t>CM 5196/1/18 REV 1</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w:t>
            </w:r>
          </w:p>
        </w:tc>
        <w:tc>
          <w:tcPr>
            <w:tcW w:w="2268" w:type="dxa"/>
          </w:tcPr>
          <w:p w:rsidR="00BA550B" w:rsidRPr="004C0441" w:rsidRDefault="00BA550B" w:rsidP="00BA550B">
            <w:pPr>
              <w:spacing w:before="60" w:after="60" w:line="240" w:lineRule="auto"/>
              <w:jc w:val="center"/>
            </w:pPr>
            <w:r w:rsidRPr="004C0441">
              <w:t>22 &amp; 23/11/2018</w:t>
            </w:r>
          </w:p>
        </w:tc>
        <w:tc>
          <w:tcPr>
            <w:tcW w:w="2747" w:type="dxa"/>
          </w:tcPr>
          <w:p w:rsidR="00BA550B" w:rsidRPr="004C0441" w:rsidRDefault="00BA550B" w:rsidP="00BA550B">
            <w:pPr>
              <w:spacing w:before="60" w:after="60" w:line="240" w:lineRule="auto"/>
            </w:pPr>
            <w:r w:rsidRPr="004C0441">
              <w:t>CM 5197/1/18 REV 1</w:t>
            </w:r>
          </w:p>
        </w:tc>
        <w:tc>
          <w:tcPr>
            <w:tcW w:w="2073" w:type="dxa"/>
          </w:tcPr>
          <w:p w:rsidR="00BA550B" w:rsidRPr="004C0441" w:rsidRDefault="00BA550B" w:rsidP="00BA550B">
            <w:pPr>
              <w:spacing w:before="60" w:after="60" w:line="240" w:lineRule="auto"/>
            </w:pPr>
            <w:r w:rsidRPr="004C0441">
              <w:t>15077/18</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COSI-PSC</w:t>
            </w:r>
          </w:p>
        </w:tc>
        <w:tc>
          <w:tcPr>
            <w:tcW w:w="2268" w:type="dxa"/>
          </w:tcPr>
          <w:p w:rsidR="00BA550B" w:rsidRPr="004C0441" w:rsidRDefault="00BA550B" w:rsidP="00BA550B">
            <w:pPr>
              <w:spacing w:before="60" w:after="60" w:line="240" w:lineRule="auto"/>
              <w:jc w:val="center"/>
            </w:pPr>
            <w:r w:rsidRPr="004C0441">
              <w:t>23/11/2018</w:t>
            </w:r>
          </w:p>
        </w:tc>
        <w:tc>
          <w:tcPr>
            <w:tcW w:w="2747" w:type="dxa"/>
          </w:tcPr>
          <w:p w:rsidR="00BA550B" w:rsidRPr="004C0441" w:rsidRDefault="00BA550B" w:rsidP="00BA550B">
            <w:pPr>
              <w:spacing w:before="60" w:after="60" w:line="240" w:lineRule="auto"/>
            </w:pPr>
            <w:r w:rsidRPr="004C0441">
              <w:t>CM 5198/2/18 REV 2</w:t>
            </w:r>
          </w:p>
        </w:tc>
        <w:tc>
          <w:tcPr>
            <w:tcW w:w="2073" w:type="dxa"/>
          </w:tcPr>
          <w:p w:rsidR="00BA550B" w:rsidRPr="004C0441" w:rsidRDefault="00BA550B" w:rsidP="00BA550B">
            <w:pPr>
              <w:spacing w:before="60" w:after="60" w:line="240" w:lineRule="auto"/>
            </w:pPr>
            <w:r w:rsidRPr="004C0441">
              <w:t xml:space="preserve"> </w:t>
            </w:r>
          </w:p>
        </w:tc>
      </w:tr>
      <w:tr w:rsidR="00BA550B" w:rsidRPr="004C0441" w:rsidTr="00BA550B">
        <w:trPr>
          <w:jc w:val="center"/>
        </w:trPr>
        <w:tc>
          <w:tcPr>
            <w:tcW w:w="1951" w:type="dxa"/>
          </w:tcPr>
          <w:p w:rsidR="00BA550B" w:rsidRPr="004C0441" w:rsidRDefault="00BA550B" w:rsidP="00BA550B">
            <w:pPr>
              <w:spacing w:before="60" w:after="60" w:line="240" w:lineRule="auto"/>
              <w:jc w:val="center"/>
            </w:pPr>
            <w:r w:rsidRPr="004C0441">
              <w:t>COSI SG</w:t>
            </w:r>
          </w:p>
        </w:tc>
        <w:tc>
          <w:tcPr>
            <w:tcW w:w="2268" w:type="dxa"/>
          </w:tcPr>
          <w:p w:rsidR="00BA550B" w:rsidRPr="004C0441" w:rsidRDefault="00BA550B" w:rsidP="00BA550B">
            <w:pPr>
              <w:spacing w:before="60" w:after="60" w:line="240" w:lineRule="auto"/>
              <w:jc w:val="center"/>
            </w:pPr>
            <w:r w:rsidRPr="004C0441">
              <w:t>10/12/2018</w:t>
            </w:r>
          </w:p>
        </w:tc>
        <w:tc>
          <w:tcPr>
            <w:tcW w:w="2747" w:type="dxa"/>
          </w:tcPr>
          <w:p w:rsidR="00BA550B" w:rsidRPr="004C0441" w:rsidRDefault="00BA550B" w:rsidP="00BA550B">
            <w:pPr>
              <w:spacing w:before="60" w:after="60" w:line="240" w:lineRule="auto"/>
            </w:pPr>
            <w:r w:rsidRPr="004C0441">
              <w:t>CM 5550/1/18 REV 1</w:t>
            </w:r>
          </w:p>
        </w:tc>
        <w:tc>
          <w:tcPr>
            <w:tcW w:w="2073" w:type="dxa"/>
          </w:tcPr>
          <w:p w:rsidR="00BA550B" w:rsidRPr="004C0441" w:rsidRDefault="00BA550B" w:rsidP="00BA550B">
            <w:pPr>
              <w:spacing w:before="60" w:after="60" w:line="240" w:lineRule="auto"/>
            </w:pPr>
            <w:r w:rsidRPr="004C0441">
              <w:t xml:space="preserve"> </w:t>
            </w:r>
          </w:p>
        </w:tc>
      </w:tr>
    </w:tbl>
    <w:p w:rsidR="00BA550B" w:rsidRDefault="00BA550B" w:rsidP="00BA550B">
      <w:pPr>
        <w:pStyle w:val="FinalLine"/>
      </w:pPr>
    </w:p>
    <w:p w:rsidR="00FC4670" w:rsidRPr="00F92EFD" w:rsidRDefault="00FC4670" w:rsidP="00840D29"/>
    <w:sectPr w:rsidR="00FC4670" w:rsidRPr="00F92EFD" w:rsidSect="00CD26D8">
      <w:headerReference w:type="default" r:id="rId14"/>
      <w:foot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50B" w:rsidRDefault="00BA550B" w:rsidP="00F92EFD">
      <w:pPr>
        <w:spacing w:before="0" w:after="0" w:line="240" w:lineRule="auto"/>
      </w:pPr>
      <w:r>
        <w:separator/>
      </w:r>
    </w:p>
  </w:endnote>
  <w:endnote w:type="continuationSeparator" w:id="0">
    <w:p w:rsidR="00BA550B" w:rsidRDefault="00BA550B" w:rsidP="00F92E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0B" w:rsidRPr="00CD26D8" w:rsidRDefault="00BA550B" w:rsidP="00CD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CD26D8" w:rsidRPr="00D94637" w:rsidTr="00CD26D8">
      <w:trPr>
        <w:jc w:val="center"/>
      </w:trPr>
      <w:tc>
        <w:tcPr>
          <w:tcW w:w="5000" w:type="pct"/>
          <w:gridSpan w:val="7"/>
          <w:shd w:val="clear" w:color="auto" w:fill="auto"/>
          <w:tcMar>
            <w:top w:w="57" w:type="dxa"/>
          </w:tcMar>
        </w:tcPr>
        <w:p w:rsidR="00CD26D8" w:rsidRPr="00D94637" w:rsidRDefault="00CD26D8" w:rsidP="00D94637">
          <w:pPr>
            <w:pStyle w:val="FooterText"/>
            <w:pBdr>
              <w:top w:val="single" w:sz="4" w:space="1" w:color="auto"/>
            </w:pBdr>
            <w:spacing w:before="200"/>
            <w:rPr>
              <w:sz w:val="2"/>
              <w:szCs w:val="2"/>
            </w:rPr>
          </w:pPr>
          <w:bookmarkStart w:id="2" w:name="FOOTER_STANDARD"/>
        </w:p>
      </w:tc>
    </w:tr>
    <w:tr w:rsidR="00CD26D8" w:rsidRPr="00B310DC" w:rsidTr="00CD26D8">
      <w:trPr>
        <w:jc w:val="center"/>
      </w:trPr>
      <w:tc>
        <w:tcPr>
          <w:tcW w:w="2500" w:type="pct"/>
          <w:gridSpan w:val="2"/>
          <w:shd w:val="clear" w:color="auto" w:fill="auto"/>
          <w:tcMar>
            <w:top w:w="0" w:type="dxa"/>
          </w:tcMar>
        </w:tcPr>
        <w:p w:rsidR="00CD26D8" w:rsidRPr="00AD7BF2" w:rsidRDefault="00CD26D8" w:rsidP="004F54B2">
          <w:pPr>
            <w:pStyle w:val="FooterText"/>
          </w:pPr>
          <w:r>
            <w:t>7500/19</w:t>
          </w:r>
          <w:r w:rsidRPr="002511D8">
            <w:t xml:space="preserve"> </w:t>
          </w:r>
        </w:p>
      </w:tc>
      <w:tc>
        <w:tcPr>
          <w:tcW w:w="625" w:type="pct"/>
          <w:shd w:val="clear" w:color="auto" w:fill="auto"/>
          <w:tcMar>
            <w:top w:w="0" w:type="dxa"/>
          </w:tcMar>
        </w:tcPr>
        <w:p w:rsidR="00CD26D8" w:rsidRPr="00AD7BF2" w:rsidRDefault="00CD26D8" w:rsidP="00D94637">
          <w:pPr>
            <w:pStyle w:val="FooterText"/>
            <w:jc w:val="center"/>
          </w:pPr>
        </w:p>
      </w:tc>
      <w:tc>
        <w:tcPr>
          <w:tcW w:w="1286" w:type="pct"/>
          <w:gridSpan w:val="3"/>
          <w:shd w:val="clear" w:color="auto" w:fill="auto"/>
          <w:tcMar>
            <w:top w:w="0" w:type="dxa"/>
          </w:tcMar>
        </w:tcPr>
        <w:p w:rsidR="00CD26D8" w:rsidRPr="002511D8" w:rsidRDefault="00CD26D8" w:rsidP="00D94637">
          <w:pPr>
            <w:pStyle w:val="FooterText"/>
            <w:jc w:val="center"/>
          </w:pPr>
          <w:r>
            <w:t>PZ/ft</w:t>
          </w:r>
        </w:p>
      </w:tc>
      <w:tc>
        <w:tcPr>
          <w:tcW w:w="589" w:type="pct"/>
          <w:shd w:val="clear" w:color="auto" w:fill="auto"/>
          <w:tcMar>
            <w:top w:w="0" w:type="dxa"/>
          </w:tcMar>
        </w:tcPr>
        <w:p w:rsidR="00CD26D8" w:rsidRPr="00B310DC" w:rsidRDefault="00CD26D8" w:rsidP="00CD26D8">
          <w:pPr>
            <w:pStyle w:val="FooterText"/>
            <w:jc w:val="right"/>
          </w:pPr>
          <w:r>
            <w:fldChar w:fldCharType="begin"/>
          </w:r>
          <w:r>
            <w:instrText xml:space="preserve"> PAGE  \* MERGEFORMAT </w:instrText>
          </w:r>
          <w:r>
            <w:fldChar w:fldCharType="separate"/>
          </w:r>
          <w:r>
            <w:rPr>
              <w:noProof/>
            </w:rPr>
            <w:t>1</w:t>
          </w:r>
          <w:r>
            <w:fldChar w:fldCharType="end"/>
          </w:r>
        </w:p>
      </w:tc>
    </w:tr>
    <w:tr w:rsidR="00CD26D8" w:rsidRPr="00D94637" w:rsidTr="00CD26D8">
      <w:trPr>
        <w:jc w:val="center"/>
      </w:trPr>
      <w:tc>
        <w:tcPr>
          <w:tcW w:w="1774" w:type="pct"/>
          <w:shd w:val="clear" w:color="auto" w:fill="auto"/>
        </w:tcPr>
        <w:p w:rsidR="00CD26D8" w:rsidRPr="00AD7BF2" w:rsidRDefault="00CD26D8" w:rsidP="00D94637">
          <w:pPr>
            <w:pStyle w:val="FooterText"/>
            <w:spacing w:before="40"/>
          </w:pPr>
        </w:p>
      </w:tc>
      <w:tc>
        <w:tcPr>
          <w:tcW w:w="1455" w:type="pct"/>
          <w:gridSpan w:val="3"/>
          <w:shd w:val="clear" w:color="auto" w:fill="auto"/>
        </w:tcPr>
        <w:p w:rsidR="00CD26D8" w:rsidRPr="00AD7BF2" w:rsidRDefault="00CD26D8" w:rsidP="00D204D6">
          <w:pPr>
            <w:pStyle w:val="FooterText"/>
            <w:spacing w:before="40"/>
            <w:jc w:val="center"/>
          </w:pPr>
          <w:r>
            <w:t>GIP.2</w:t>
          </w:r>
        </w:p>
      </w:tc>
      <w:tc>
        <w:tcPr>
          <w:tcW w:w="742" w:type="pct"/>
          <w:shd w:val="clear" w:color="auto" w:fill="auto"/>
        </w:tcPr>
        <w:p w:rsidR="00CD26D8" w:rsidRPr="00D94637" w:rsidRDefault="00CD26D8" w:rsidP="002F0099">
          <w:pPr>
            <w:pStyle w:val="FooterText"/>
            <w:jc w:val="center"/>
            <w:rPr>
              <w:b/>
              <w:position w:val="-4"/>
              <w:sz w:val="36"/>
            </w:rPr>
          </w:pPr>
        </w:p>
      </w:tc>
      <w:tc>
        <w:tcPr>
          <w:tcW w:w="1029" w:type="pct"/>
          <w:gridSpan w:val="2"/>
          <w:shd w:val="clear" w:color="auto" w:fill="auto"/>
        </w:tcPr>
        <w:p w:rsidR="00CD26D8" w:rsidRPr="000310C2" w:rsidRDefault="00CD26D8" w:rsidP="00D94637">
          <w:pPr>
            <w:pStyle w:val="FooterText"/>
            <w:jc w:val="right"/>
            <w:rPr>
              <w:spacing w:val="-20"/>
              <w:sz w:val="16"/>
            </w:rPr>
          </w:pPr>
          <w:r>
            <w:rPr>
              <w:b/>
              <w:spacing w:val="-20"/>
              <w:position w:val="-4"/>
              <w:sz w:val="36"/>
            </w:rPr>
            <w:t>EN</w:t>
          </w:r>
        </w:p>
      </w:tc>
    </w:tr>
    <w:bookmarkEnd w:id="2"/>
  </w:tbl>
  <w:p w:rsidR="00BA550B" w:rsidRPr="00CD26D8" w:rsidRDefault="00BA550B" w:rsidP="00CD26D8">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CD26D8" w:rsidRPr="00D94637" w:rsidTr="00CD26D8">
      <w:trPr>
        <w:jc w:val="center"/>
      </w:trPr>
      <w:tc>
        <w:tcPr>
          <w:tcW w:w="5000" w:type="pct"/>
          <w:gridSpan w:val="7"/>
          <w:shd w:val="clear" w:color="auto" w:fill="auto"/>
          <w:tcMar>
            <w:top w:w="57" w:type="dxa"/>
          </w:tcMar>
        </w:tcPr>
        <w:p w:rsidR="00CD26D8" w:rsidRPr="00D94637" w:rsidRDefault="00CD26D8" w:rsidP="00D94637">
          <w:pPr>
            <w:pStyle w:val="FooterText"/>
            <w:pBdr>
              <w:top w:val="single" w:sz="4" w:space="1" w:color="auto"/>
            </w:pBdr>
            <w:spacing w:before="200"/>
            <w:rPr>
              <w:sz w:val="2"/>
              <w:szCs w:val="2"/>
            </w:rPr>
          </w:pPr>
        </w:p>
      </w:tc>
    </w:tr>
    <w:tr w:rsidR="00CD26D8" w:rsidRPr="00B310DC" w:rsidTr="00CD26D8">
      <w:trPr>
        <w:jc w:val="center"/>
      </w:trPr>
      <w:tc>
        <w:tcPr>
          <w:tcW w:w="2500" w:type="pct"/>
          <w:gridSpan w:val="2"/>
          <w:shd w:val="clear" w:color="auto" w:fill="auto"/>
          <w:tcMar>
            <w:top w:w="0" w:type="dxa"/>
          </w:tcMar>
        </w:tcPr>
        <w:p w:rsidR="00CD26D8" w:rsidRPr="00AD7BF2" w:rsidRDefault="00CD26D8" w:rsidP="004F54B2">
          <w:pPr>
            <w:pStyle w:val="FooterText"/>
          </w:pPr>
          <w:r>
            <w:t>7500/19</w:t>
          </w:r>
          <w:r w:rsidRPr="002511D8">
            <w:t xml:space="preserve"> </w:t>
          </w:r>
        </w:p>
      </w:tc>
      <w:tc>
        <w:tcPr>
          <w:tcW w:w="625" w:type="pct"/>
          <w:shd w:val="clear" w:color="auto" w:fill="auto"/>
          <w:tcMar>
            <w:top w:w="0" w:type="dxa"/>
          </w:tcMar>
        </w:tcPr>
        <w:p w:rsidR="00CD26D8" w:rsidRPr="00AD7BF2" w:rsidRDefault="00CD26D8" w:rsidP="00D94637">
          <w:pPr>
            <w:pStyle w:val="FooterText"/>
            <w:jc w:val="center"/>
          </w:pPr>
        </w:p>
      </w:tc>
      <w:tc>
        <w:tcPr>
          <w:tcW w:w="1286" w:type="pct"/>
          <w:gridSpan w:val="3"/>
          <w:shd w:val="clear" w:color="auto" w:fill="auto"/>
          <w:tcMar>
            <w:top w:w="0" w:type="dxa"/>
          </w:tcMar>
        </w:tcPr>
        <w:p w:rsidR="00CD26D8" w:rsidRPr="002511D8" w:rsidRDefault="00CD26D8" w:rsidP="00D94637">
          <w:pPr>
            <w:pStyle w:val="FooterText"/>
            <w:jc w:val="center"/>
          </w:pPr>
          <w:r>
            <w:t>PZ/ft</w:t>
          </w:r>
        </w:p>
      </w:tc>
      <w:tc>
        <w:tcPr>
          <w:tcW w:w="589" w:type="pct"/>
          <w:shd w:val="clear" w:color="auto" w:fill="auto"/>
          <w:tcMar>
            <w:top w:w="0" w:type="dxa"/>
          </w:tcMar>
        </w:tcPr>
        <w:p w:rsidR="00CD26D8" w:rsidRPr="00B310DC" w:rsidRDefault="00CD26D8" w:rsidP="00CD26D8">
          <w:pPr>
            <w:pStyle w:val="FooterText"/>
            <w:jc w:val="right"/>
          </w:pPr>
          <w:r>
            <w:fldChar w:fldCharType="begin"/>
          </w:r>
          <w:r>
            <w:instrText xml:space="preserve"> PAGE  \* MERGEFORMAT </w:instrText>
          </w:r>
          <w:r>
            <w:fldChar w:fldCharType="separate"/>
          </w:r>
          <w:r>
            <w:rPr>
              <w:noProof/>
            </w:rPr>
            <w:t>1</w:t>
          </w:r>
          <w:r>
            <w:fldChar w:fldCharType="end"/>
          </w:r>
        </w:p>
      </w:tc>
    </w:tr>
    <w:tr w:rsidR="00CD26D8" w:rsidRPr="00D94637" w:rsidTr="00CD26D8">
      <w:trPr>
        <w:jc w:val="center"/>
      </w:trPr>
      <w:tc>
        <w:tcPr>
          <w:tcW w:w="1774" w:type="pct"/>
          <w:shd w:val="clear" w:color="auto" w:fill="auto"/>
        </w:tcPr>
        <w:p w:rsidR="00CD26D8" w:rsidRPr="00AD7BF2" w:rsidRDefault="00CD26D8" w:rsidP="00D94637">
          <w:pPr>
            <w:pStyle w:val="FooterText"/>
            <w:spacing w:before="40"/>
          </w:pPr>
        </w:p>
      </w:tc>
      <w:tc>
        <w:tcPr>
          <w:tcW w:w="1455" w:type="pct"/>
          <w:gridSpan w:val="3"/>
          <w:shd w:val="clear" w:color="auto" w:fill="auto"/>
        </w:tcPr>
        <w:p w:rsidR="00CD26D8" w:rsidRPr="00AD7BF2" w:rsidRDefault="00CD26D8" w:rsidP="00D204D6">
          <w:pPr>
            <w:pStyle w:val="FooterText"/>
            <w:spacing w:before="40"/>
            <w:jc w:val="center"/>
          </w:pPr>
          <w:r>
            <w:t>GIP.2</w:t>
          </w:r>
        </w:p>
      </w:tc>
      <w:tc>
        <w:tcPr>
          <w:tcW w:w="742" w:type="pct"/>
          <w:shd w:val="clear" w:color="auto" w:fill="auto"/>
        </w:tcPr>
        <w:p w:rsidR="00CD26D8" w:rsidRPr="00D94637" w:rsidRDefault="00CD26D8" w:rsidP="002F0099">
          <w:pPr>
            <w:pStyle w:val="FooterText"/>
            <w:jc w:val="center"/>
            <w:rPr>
              <w:b/>
              <w:position w:val="-4"/>
              <w:sz w:val="36"/>
            </w:rPr>
          </w:pPr>
        </w:p>
      </w:tc>
      <w:tc>
        <w:tcPr>
          <w:tcW w:w="1029" w:type="pct"/>
          <w:gridSpan w:val="2"/>
          <w:shd w:val="clear" w:color="auto" w:fill="auto"/>
        </w:tcPr>
        <w:p w:rsidR="00CD26D8" w:rsidRPr="000310C2" w:rsidRDefault="00CD26D8" w:rsidP="00D94637">
          <w:pPr>
            <w:pStyle w:val="FooterText"/>
            <w:jc w:val="right"/>
            <w:rPr>
              <w:spacing w:val="-20"/>
              <w:sz w:val="16"/>
            </w:rPr>
          </w:pPr>
          <w:r>
            <w:rPr>
              <w:b/>
              <w:spacing w:val="-20"/>
              <w:position w:val="-4"/>
              <w:sz w:val="36"/>
            </w:rPr>
            <w:t>EN</w:t>
          </w:r>
        </w:p>
      </w:tc>
    </w:tr>
  </w:tbl>
  <w:p w:rsidR="00BA550B" w:rsidRPr="00CD26D8" w:rsidRDefault="00BA550B" w:rsidP="00CD26D8">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CD26D8" w:rsidRPr="00D94637" w:rsidTr="00CD26D8">
      <w:trPr>
        <w:jc w:val="center"/>
      </w:trPr>
      <w:tc>
        <w:tcPr>
          <w:tcW w:w="5000" w:type="pct"/>
          <w:gridSpan w:val="7"/>
          <w:shd w:val="clear" w:color="auto" w:fill="auto"/>
          <w:tcMar>
            <w:top w:w="57" w:type="dxa"/>
          </w:tcMar>
        </w:tcPr>
        <w:p w:rsidR="00CD26D8" w:rsidRPr="00D94637" w:rsidRDefault="00CD26D8" w:rsidP="00D94637">
          <w:pPr>
            <w:pStyle w:val="FooterText"/>
            <w:pBdr>
              <w:top w:val="single" w:sz="4" w:space="1" w:color="auto"/>
            </w:pBdr>
            <w:spacing w:before="200"/>
            <w:rPr>
              <w:sz w:val="2"/>
              <w:szCs w:val="2"/>
            </w:rPr>
          </w:pPr>
        </w:p>
      </w:tc>
    </w:tr>
    <w:tr w:rsidR="00CD26D8" w:rsidRPr="00B310DC" w:rsidTr="00CD26D8">
      <w:trPr>
        <w:jc w:val="center"/>
      </w:trPr>
      <w:tc>
        <w:tcPr>
          <w:tcW w:w="2500" w:type="pct"/>
          <w:gridSpan w:val="2"/>
          <w:shd w:val="clear" w:color="auto" w:fill="auto"/>
          <w:tcMar>
            <w:top w:w="0" w:type="dxa"/>
          </w:tcMar>
        </w:tcPr>
        <w:p w:rsidR="00CD26D8" w:rsidRPr="00AD7BF2" w:rsidRDefault="00CD26D8" w:rsidP="004F54B2">
          <w:pPr>
            <w:pStyle w:val="FooterText"/>
          </w:pPr>
          <w:r>
            <w:t>7500/19</w:t>
          </w:r>
          <w:r w:rsidRPr="002511D8">
            <w:t xml:space="preserve"> </w:t>
          </w:r>
        </w:p>
      </w:tc>
      <w:tc>
        <w:tcPr>
          <w:tcW w:w="625" w:type="pct"/>
          <w:shd w:val="clear" w:color="auto" w:fill="auto"/>
          <w:tcMar>
            <w:top w:w="0" w:type="dxa"/>
          </w:tcMar>
        </w:tcPr>
        <w:p w:rsidR="00CD26D8" w:rsidRPr="00AD7BF2" w:rsidRDefault="00CD26D8" w:rsidP="00D94637">
          <w:pPr>
            <w:pStyle w:val="FooterText"/>
            <w:jc w:val="center"/>
          </w:pPr>
        </w:p>
      </w:tc>
      <w:tc>
        <w:tcPr>
          <w:tcW w:w="1286" w:type="pct"/>
          <w:gridSpan w:val="3"/>
          <w:shd w:val="clear" w:color="auto" w:fill="auto"/>
          <w:tcMar>
            <w:top w:w="0" w:type="dxa"/>
          </w:tcMar>
        </w:tcPr>
        <w:p w:rsidR="00CD26D8" w:rsidRPr="002511D8" w:rsidRDefault="00CD26D8" w:rsidP="00D94637">
          <w:pPr>
            <w:pStyle w:val="FooterText"/>
            <w:jc w:val="center"/>
          </w:pPr>
          <w:r>
            <w:t>PZ/ft</w:t>
          </w:r>
        </w:p>
      </w:tc>
      <w:tc>
        <w:tcPr>
          <w:tcW w:w="589" w:type="pct"/>
          <w:shd w:val="clear" w:color="auto" w:fill="auto"/>
          <w:tcMar>
            <w:top w:w="0" w:type="dxa"/>
          </w:tcMar>
        </w:tcPr>
        <w:p w:rsidR="00CD26D8" w:rsidRPr="00B310DC" w:rsidRDefault="00CD26D8" w:rsidP="00CD26D8">
          <w:pPr>
            <w:pStyle w:val="FooterText"/>
            <w:jc w:val="right"/>
          </w:pPr>
          <w:r>
            <w:fldChar w:fldCharType="begin"/>
          </w:r>
          <w:r>
            <w:instrText xml:space="preserve"> PAGE  \* MERGEFORMAT </w:instrText>
          </w:r>
          <w:r>
            <w:fldChar w:fldCharType="separate"/>
          </w:r>
          <w:r>
            <w:rPr>
              <w:noProof/>
            </w:rPr>
            <w:t>2</w:t>
          </w:r>
          <w:r>
            <w:fldChar w:fldCharType="end"/>
          </w:r>
        </w:p>
      </w:tc>
    </w:tr>
    <w:tr w:rsidR="00CD26D8" w:rsidRPr="00D94637" w:rsidTr="00CD26D8">
      <w:trPr>
        <w:jc w:val="center"/>
      </w:trPr>
      <w:tc>
        <w:tcPr>
          <w:tcW w:w="1774" w:type="pct"/>
          <w:shd w:val="clear" w:color="auto" w:fill="auto"/>
        </w:tcPr>
        <w:p w:rsidR="00CD26D8" w:rsidRPr="00AD7BF2" w:rsidRDefault="00CD26D8" w:rsidP="00D94637">
          <w:pPr>
            <w:pStyle w:val="FooterText"/>
            <w:spacing w:before="40"/>
          </w:pPr>
          <w:r>
            <w:t>ANNEX</w:t>
          </w:r>
        </w:p>
      </w:tc>
      <w:tc>
        <w:tcPr>
          <w:tcW w:w="1455" w:type="pct"/>
          <w:gridSpan w:val="3"/>
          <w:shd w:val="clear" w:color="auto" w:fill="auto"/>
        </w:tcPr>
        <w:p w:rsidR="00CD26D8" w:rsidRPr="00AD7BF2" w:rsidRDefault="00CD26D8" w:rsidP="00D204D6">
          <w:pPr>
            <w:pStyle w:val="FooterText"/>
            <w:spacing w:before="40"/>
            <w:jc w:val="center"/>
          </w:pPr>
          <w:r>
            <w:t>GIP.2</w:t>
          </w:r>
        </w:p>
      </w:tc>
      <w:tc>
        <w:tcPr>
          <w:tcW w:w="742" w:type="pct"/>
          <w:shd w:val="clear" w:color="auto" w:fill="auto"/>
        </w:tcPr>
        <w:p w:rsidR="00CD26D8" w:rsidRPr="00D94637" w:rsidRDefault="00CD26D8" w:rsidP="002F0099">
          <w:pPr>
            <w:pStyle w:val="FooterText"/>
            <w:jc w:val="center"/>
            <w:rPr>
              <w:b/>
              <w:position w:val="-4"/>
              <w:sz w:val="36"/>
            </w:rPr>
          </w:pPr>
        </w:p>
      </w:tc>
      <w:tc>
        <w:tcPr>
          <w:tcW w:w="1029" w:type="pct"/>
          <w:gridSpan w:val="2"/>
          <w:shd w:val="clear" w:color="auto" w:fill="auto"/>
        </w:tcPr>
        <w:p w:rsidR="00CD26D8" w:rsidRPr="000310C2" w:rsidRDefault="00CD26D8" w:rsidP="00D94637">
          <w:pPr>
            <w:pStyle w:val="FooterText"/>
            <w:jc w:val="right"/>
            <w:rPr>
              <w:spacing w:val="-20"/>
              <w:sz w:val="16"/>
            </w:rPr>
          </w:pPr>
          <w:r>
            <w:rPr>
              <w:b/>
              <w:spacing w:val="-20"/>
              <w:position w:val="-4"/>
              <w:sz w:val="36"/>
            </w:rPr>
            <w:t>EN</w:t>
          </w:r>
        </w:p>
      </w:tc>
    </w:tr>
  </w:tbl>
  <w:p w:rsidR="00BA550B" w:rsidRPr="00CD26D8" w:rsidRDefault="00BA550B" w:rsidP="00CD26D8">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50B" w:rsidRDefault="00BA550B" w:rsidP="00F92EFD">
      <w:pPr>
        <w:spacing w:before="0" w:after="0" w:line="240" w:lineRule="auto"/>
      </w:pPr>
      <w:r>
        <w:separator/>
      </w:r>
    </w:p>
  </w:footnote>
  <w:footnote w:type="continuationSeparator" w:id="0">
    <w:p w:rsidR="00BA550B" w:rsidRDefault="00BA550B" w:rsidP="00F92EFD">
      <w:pPr>
        <w:spacing w:before="0" w:after="0" w:line="240" w:lineRule="auto"/>
      </w:pPr>
      <w:r>
        <w:continuationSeparator/>
      </w:r>
    </w:p>
  </w:footnote>
  <w:footnote w:id="1">
    <w:p w:rsidR="00BA550B" w:rsidRPr="00840D29" w:rsidRDefault="00BA550B" w:rsidP="00BA550B">
      <w:pPr>
        <w:pStyle w:val="FootnoteText"/>
      </w:pPr>
      <w:r>
        <w:rPr>
          <w:rStyle w:val="FootnoteReference"/>
        </w:rPr>
        <w:footnoteRef/>
      </w:r>
      <w:r>
        <w:t xml:space="preserve"> </w:t>
      </w:r>
      <w:r w:rsidRPr="000C19D2">
        <w:t xml:space="preserve">Available in all official languages of the European Union on the Council </w:t>
      </w:r>
      <w:r>
        <w:t xml:space="preserve">public </w:t>
      </w:r>
      <w:r w:rsidRPr="000C19D2">
        <w:t>register</w:t>
      </w:r>
      <w:r>
        <w:t>, doc. </w:t>
      </w:r>
      <w:r w:rsidRPr="00BA550B">
        <w:rPr>
          <w:lang w:val="en-US"/>
        </w:rPr>
        <w:t xml:space="preserve"> </w:t>
      </w:r>
      <w:hyperlink r:id="rId1" w:history="1">
        <w:r>
          <w:rPr>
            <w:rStyle w:val="Hyperlink"/>
            <w:lang w:val="en-US"/>
          </w:rPr>
          <w:t>6818/</w:t>
        </w:r>
        <w:r w:rsidRPr="00BA550B">
          <w:rPr>
            <w:rStyle w:val="Hyperlink"/>
            <w:lang w:val="en-US"/>
          </w:rPr>
          <w:t>19 REV 1</w:t>
        </w:r>
      </w:hyperlink>
      <w:r w:rsidRPr="00840D29">
        <w:t>.</w:t>
      </w:r>
    </w:p>
    <w:p w:rsidR="00BA550B" w:rsidRPr="00840D29" w:rsidRDefault="00BA550B" w:rsidP="00840D29">
      <w:pPr>
        <w:pStyle w:val="FootnoteText"/>
      </w:pPr>
    </w:p>
  </w:footnote>
  <w:footnote w:id="2">
    <w:p w:rsidR="00BA550B" w:rsidRPr="004C0441" w:rsidRDefault="00BA550B" w:rsidP="00BA550B">
      <w:pPr>
        <w:pStyle w:val="FootnoteText"/>
      </w:pPr>
      <w:r w:rsidRPr="004C0441">
        <w:rPr>
          <w:rStyle w:val="FootnoteReference"/>
        </w:rPr>
        <w:footnoteRef/>
      </w:r>
      <w:r w:rsidRPr="004C0441">
        <w:tab/>
      </w:r>
      <w:r w:rsidRPr="004C0441">
        <w:rPr>
          <w:bCs/>
        </w:rPr>
        <w:t>Council conclusions on the mid-term review of the Renewed European Union Internal Security Strategy 2015-2020 (13319/17)</w:t>
      </w:r>
    </w:p>
  </w:footnote>
  <w:footnote w:id="3">
    <w:p w:rsidR="00BA550B" w:rsidRPr="004C0441" w:rsidRDefault="00BA550B" w:rsidP="00BA550B">
      <w:pPr>
        <w:pStyle w:val="FootnoteText"/>
      </w:pPr>
      <w:r w:rsidRPr="004C0441">
        <w:rPr>
          <w:rStyle w:val="FootnoteReference"/>
        </w:rPr>
        <w:footnoteRef/>
      </w:r>
      <w:r w:rsidRPr="004C0441">
        <w:tab/>
        <w:t>9798/15</w:t>
      </w:r>
    </w:p>
  </w:footnote>
  <w:footnote w:id="4">
    <w:p w:rsidR="00BA550B" w:rsidRPr="004C0441" w:rsidRDefault="00BA550B" w:rsidP="00BA550B">
      <w:pPr>
        <w:pStyle w:val="FootnoteText"/>
      </w:pPr>
      <w:r w:rsidRPr="004C0441">
        <w:rPr>
          <w:rStyle w:val="FootnoteReference"/>
        </w:rPr>
        <w:footnoteRef/>
      </w:r>
      <w:r w:rsidRPr="004C0441">
        <w:tab/>
        <w:t>14806/18</w:t>
      </w:r>
    </w:p>
  </w:footnote>
  <w:footnote w:id="5">
    <w:p w:rsidR="00BA550B" w:rsidRPr="004C0441" w:rsidRDefault="00BA550B" w:rsidP="00BA550B">
      <w:pPr>
        <w:pStyle w:val="FootnoteText"/>
      </w:pPr>
      <w:r w:rsidRPr="004C0441">
        <w:rPr>
          <w:rStyle w:val="FootnoteReference"/>
        </w:rPr>
        <w:footnoteRef/>
      </w:r>
      <w:r w:rsidRPr="004C0441">
        <w:tab/>
        <w:t>13414/1/17 REV 1</w:t>
      </w:r>
    </w:p>
  </w:footnote>
  <w:footnote w:id="6">
    <w:p w:rsidR="00BA550B" w:rsidRPr="004C0441" w:rsidRDefault="00BA550B" w:rsidP="00BA550B">
      <w:pPr>
        <w:pStyle w:val="FootnoteText"/>
      </w:pPr>
      <w:r w:rsidRPr="004C0441">
        <w:rPr>
          <w:rStyle w:val="FootnoteReference"/>
        </w:rPr>
        <w:footnoteRef/>
      </w:r>
      <w:r w:rsidRPr="004C0441">
        <w:tab/>
        <w:t>9691/18</w:t>
      </w:r>
    </w:p>
  </w:footnote>
  <w:footnote w:id="7">
    <w:p w:rsidR="00BA550B" w:rsidRPr="004C0441" w:rsidRDefault="00BA550B" w:rsidP="00BA550B">
      <w:pPr>
        <w:pStyle w:val="FootnoteText"/>
      </w:pPr>
      <w:r w:rsidRPr="004C0441">
        <w:rPr>
          <w:rStyle w:val="FootnoteReference"/>
        </w:rPr>
        <w:footnoteRef/>
      </w:r>
      <w:r w:rsidRPr="004C0441">
        <w:tab/>
        <w:t>15627/17</w:t>
      </w:r>
    </w:p>
  </w:footnote>
  <w:footnote w:id="8">
    <w:p w:rsidR="00BA550B" w:rsidRPr="004C0441" w:rsidRDefault="00BA550B" w:rsidP="00BA550B">
      <w:pPr>
        <w:pStyle w:val="FootnoteText"/>
      </w:pPr>
      <w:r w:rsidRPr="004C0441">
        <w:rPr>
          <w:rStyle w:val="FootnoteReference"/>
        </w:rPr>
        <w:footnoteRef/>
      </w:r>
      <w:r w:rsidRPr="004C0441">
        <w:tab/>
        <w:t>15648/17</w:t>
      </w:r>
    </w:p>
  </w:footnote>
  <w:footnote w:id="9">
    <w:p w:rsidR="00BA550B" w:rsidRPr="004C0441" w:rsidRDefault="00BA550B" w:rsidP="00BA550B">
      <w:pPr>
        <w:pStyle w:val="FootnoteText"/>
      </w:pPr>
      <w:r w:rsidRPr="004C0441">
        <w:rPr>
          <w:rStyle w:val="FootnoteReference"/>
        </w:rPr>
        <w:footnoteRef/>
      </w:r>
      <w:r w:rsidRPr="004C0441">
        <w:tab/>
        <w:t>10544/2/17 REV 2</w:t>
      </w:r>
    </w:p>
  </w:footnote>
  <w:footnote w:id="10">
    <w:p w:rsidR="00BA550B" w:rsidRPr="004C0441" w:rsidRDefault="00BA550B" w:rsidP="00BA550B">
      <w:pPr>
        <w:pStyle w:val="FootnoteText"/>
      </w:pPr>
      <w:r w:rsidRPr="004C0441">
        <w:rPr>
          <w:rStyle w:val="FootnoteReference"/>
        </w:rPr>
        <w:footnoteRef/>
      </w:r>
      <w:r w:rsidRPr="004C0441">
        <w:tab/>
        <w:t>15250/18</w:t>
      </w:r>
    </w:p>
  </w:footnote>
  <w:footnote w:id="11">
    <w:p w:rsidR="00BA550B" w:rsidRPr="004C0441" w:rsidRDefault="00BA550B" w:rsidP="00BA550B">
      <w:pPr>
        <w:pStyle w:val="FootnoteText"/>
      </w:pPr>
      <w:r w:rsidRPr="004C0441">
        <w:rPr>
          <w:rStyle w:val="FootnoteReference"/>
        </w:rPr>
        <w:footnoteRef/>
      </w:r>
      <w:r w:rsidRPr="004C0441">
        <w:tab/>
        <w:t>7705/2/18 REV 2</w:t>
      </w:r>
    </w:p>
  </w:footnote>
  <w:footnote w:id="12">
    <w:p w:rsidR="00BA550B" w:rsidRPr="004C0441" w:rsidRDefault="00BA550B" w:rsidP="00BA550B">
      <w:pPr>
        <w:pStyle w:val="FootnoteText"/>
      </w:pPr>
      <w:r w:rsidRPr="004C0441">
        <w:rPr>
          <w:rStyle w:val="FootnoteReference"/>
        </w:rPr>
        <w:footnoteRef/>
      </w:r>
      <w:r w:rsidRPr="004C0441">
        <w:tab/>
        <w:t>13250/18</w:t>
      </w:r>
    </w:p>
  </w:footnote>
  <w:footnote w:id="13">
    <w:p w:rsidR="00BA550B" w:rsidRPr="004C0441" w:rsidRDefault="00BA550B" w:rsidP="00BA550B">
      <w:pPr>
        <w:pStyle w:val="FootnoteText"/>
      </w:pPr>
      <w:r w:rsidRPr="004C0441">
        <w:rPr>
          <w:rStyle w:val="FootnoteReference"/>
        </w:rPr>
        <w:footnoteRef/>
      </w:r>
      <w:r w:rsidRPr="004C0441">
        <w:tab/>
        <w:t>14762/17</w:t>
      </w:r>
    </w:p>
  </w:footnote>
  <w:footnote w:id="14">
    <w:p w:rsidR="00BA550B" w:rsidRPr="004C0441" w:rsidRDefault="00BA550B" w:rsidP="00BA550B">
      <w:pPr>
        <w:pStyle w:val="FootnoteText"/>
      </w:pPr>
      <w:r w:rsidRPr="004C0441">
        <w:rPr>
          <w:rStyle w:val="FootnoteReference"/>
        </w:rPr>
        <w:footnoteRef/>
      </w:r>
      <w:r w:rsidRPr="004C0441">
        <w:tab/>
        <w:t>7931/1/18 REV 1</w:t>
      </w:r>
    </w:p>
  </w:footnote>
  <w:footnote w:id="15">
    <w:p w:rsidR="00BA550B" w:rsidRPr="004C0441" w:rsidRDefault="00BA550B" w:rsidP="00BA550B">
      <w:pPr>
        <w:pStyle w:val="FootnoteText"/>
      </w:pPr>
      <w:r w:rsidRPr="004C0441">
        <w:rPr>
          <w:rStyle w:val="FootnoteReference"/>
        </w:rPr>
        <w:footnoteRef/>
      </w:r>
      <w:r w:rsidRPr="004C0441">
        <w:tab/>
        <w:t>14312/18</w:t>
      </w:r>
    </w:p>
  </w:footnote>
  <w:footnote w:id="16">
    <w:p w:rsidR="00BA550B" w:rsidRPr="004C0441" w:rsidRDefault="00BA550B" w:rsidP="00BA550B">
      <w:pPr>
        <w:pStyle w:val="FootnoteText"/>
      </w:pPr>
      <w:r w:rsidRPr="004C0441">
        <w:rPr>
          <w:rStyle w:val="FootnoteReference"/>
        </w:rPr>
        <w:footnoteRef/>
      </w:r>
      <w:r w:rsidRPr="004C0441">
        <w:tab/>
        <w:t>14305/18</w:t>
      </w:r>
    </w:p>
  </w:footnote>
  <w:footnote w:id="17">
    <w:p w:rsidR="00BA550B" w:rsidRPr="004C0441" w:rsidRDefault="00BA550B" w:rsidP="00BA550B">
      <w:pPr>
        <w:pStyle w:val="FootnoteText"/>
      </w:pPr>
      <w:r w:rsidRPr="004C0441">
        <w:rPr>
          <w:rStyle w:val="FootnoteReference"/>
        </w:rPr>
        <w:footnoteRef/>
      </w:r>
      <w:r w:rsidRPr="004C0441">
        <w:tab/>
      </w:r>
      <w:r w:rsidRPr="004C0441">
        <w:rPr>
          <w:bCs/>
        </w:rPr>
        <w:t>Council conclusions on the mid-term review of the Renewed European Union Internal Security Strategy 2015-2020 (13319/17)</w:t>
      </w:r>
    </w:p>
  </w:footnote>
  <w:footnote w:id="18">
    <w:p w:rsidR="00BA550B" w:rsidRPr="004C0441" w:rsidRDefault="00BA550B" w:rsidP="00BA550B">
      <w:pPr>
        <w:pStyle w:val="FootnoteText"/>
      </w:pPr>
      <w:r w:rsidRPr="004C0441">
        <w:rPr>
          <w:rStyle w:val="FootnoteReference"/>
        </w:rPr>
        <w:footnoteRef/>
      </w:r>
      <w:r w:rsidRPr="004C0441">
        <w:tab/>
        <w:t>11550/17 +ADD 1 +ADD 2</w:t>
      </w:r>
    </w:p>
  </w:footnote>
  <w:footnote w:id="19">
    <w:p w:rsidR="00BA550B" w:rsidRPr="004C0441" w:rsidRDefault="00BA550B" w:rsidP="00BA550B">
      <w:pPr>
        <w:pStyle w:val="FootnoteText"/>
      </w:pPr>
      <w:r w:rsidRPr="004C0441">
        <w:rPr>
          <w:rStyle w:val="FootnoteReference"/>
        </w:rPr>
        <w:footnoteRef/>
      </w:r>
      <w:r w:rsidRPr="004C0441">
        <w:tab/>
        <w:t>9798/15</w:t>
      </w:r>
    </w:p>
  </w:footnote>
  <w:footnote w:id="20">
    <w:p w:rsidR="00BA550B" w:rsidRPr="004C0441" w:rsidRDefault="00BA550B" w:rsidP="00BA550B">
      <w:pPr>
        <w:pStyle w:val="FootnoteText"/>
      </w:pPr>
      <w:r w:rsidRPr="004C0441">
        <w:rPr>
          <w:rStyle w:val="FootnoteReference"/>
        </w:rPr>
        <w:footnoteRef/>
      </w:r>
      <w:r w:rsidRPr="004C0441">
        <w:tab/>
      </w:r>
      <w:r w:rsidRPr="004C0441">
        <w:rPr>
          <w:bCs/>
        </w:rPr>
        <w:t>11968/1/17 REV 1</w:t>
      </w:r>
    </w:p>
  </w:footnote>
  <w:footnote w:id="21">
    <w:p w:rsidR="00BA550B" w:rsidRPr="004C0441" w:rsidRDefault="00BA550B" w:rsidP="00BA550B">
      <w:pPr>
        <w:pStyle w:val="FootnoteText"/>
        <w:rPr>
          <w:rFonts w:asciiTheme="majorBidi" w:hAnsiTheme="majorBidi" w:cstheme="majorBidi"/>
          <w:szCs w:val="24"/>
        </w:rPr>
      </w:pPr>
      <w:r w:rsidRPr="004C0441">
        <w:rPr>
          <w:rStyle w:val="FootnoteReference"/>
          <w:rFonts w:asciiTheme="majorBidi" w:hAnsiTheme="majorBidi" w:cstheme="majorBidi"/>
          <w:szCs w:val="24"/>
        </w:rPr>
        <w:footnoteRef/>
      </w:r>
      <w:r w:rsidRPr="004C0441">
        <w:rPr>
          <w:rFonts w:asciiTheme="majorBidi" w:hAnsiTheme="majorBidi" w:cstheme="majorBidi"/>
          <w:szCs w:val="24"/>
        </w:rPr>
        <w:tab/>
        <w:t>13319/17</w:t>
      </w:r>
    </w:p>
  </w:footnote>
  <w:footnote w:id="22">
    <w:p w:rsidR="00BA550B" w:rsidRPr="004C0441" w:rsidRDefault="00BA550B" w:rsidP="00BA550B">
      <w:pPr>
        <w:pStyle w:val="FootnoteText"/>
      </w:pPr>
      <w:r w:rsidRPr="004C0441">
        <w:rPr>
          <w:rStyle w:val="FootnoteReference"/>
        </w:rPr>
        <w:footnoteRef/>
      </w:r>
      <w:r w:rsidRPr="004C0441">
        <w:tab/>
      </w:r>
      <w:r w:rsidRPr="004C0441">
        <w:rPr>
          <w:rFonts w:asciiTheme="majorBidi" w:hAnsiTheme="majorBidi" w:cstheme="majorBidi"/>
          <w:szCs w:val="24"/>
        </w:rPr>
        <w:t>7706/18</w:t>
      </w:r>
    </w:p>
  </w:footnote>
  <w:footnote w:id="23">
    <w:p w:rsidR="00BA550B" w:rsidRPr="004C0441" w:rsidRDefault="00BA550B" w:rsidP="00BA550B">
      <w:pPr>
        <w:pStyle w:val="FootnoteText"/>
      </w:pPr>
      <w:r w:rsidRPr="004C0441">
        <w:rPr>
          <w:rStyle w:val="FootnoteReference"/>
        </w:rPr>
        <w:footnoteRef/>
      </w:r>
      <w:r w:rsidRPr="004C0441">
        <w:tab/>
        <w:t>13414/1/17 REV 1</w:t>
      </w:r>
    </w:p>
  </w:footnote>
  <w:footnote w:id="24">
    <w:p w:rsidR="00BA550B" w:rsidRPr="004C0441" w:rsidRDefault="00BA550B" w:rsidP="00BA550B">
      <w:pPr>
        <w:pStyle w:val="FootnoteText"/>
      </w:pPr>
      <w:r w:rsidRPr="004C0441">
        <w:rPr>
          <w:rStyle w:val="FootnoteReference"/>
        </w:rPr>
        <w:footnoteRef/>
      </w:r>
      <w:r w:rsidRPr="004C0441">
        <w:tab/>
        <w:t>7879/2/18</w:t>
      </w:r>
    </w:p>
  </w:footnote>
  <w:footnote w:id="25">
    <w:p w:rsidR="00BA550B" w:rsidRPr="004C0441" w:rsidRDefault="00BA550B" w:rsidP="00BA550B">
      <w:pPr>
        <w:pStyle w:val="FootnoteText"/>
      </w:pPr>
      <w:r w:rsidRPr="004C0441">
        <w:rPr>
          <w:rStyle w:val="FootnoteReference"/>
        </w:rPr>
        <w:footnoteRef/>
      </w:r>
      <w:r w:rsidRPr="004C0441">
        <w:tab/>
        <w:t>10259/18</w:t>
      </w:r>
    </w:p>
  </w:footnote>
  <w:footnote w:id="26">
    <w:p w:rsidR="00BA550B" w:rsidRPr="004C0441" w:rsidRDefault="00BA550B" w:rsidP="00BA550B">
      <w:pPr>
        <w:pStyle w:val="FootnoteText"/>
      </w:pPr>
      <w:r w:rsidRPr="004C0441">
        <w:rPr>
          <w:rStyle w:val="FootnoteReference"/>
        </w:rPr>
        <w:footnoteRef/>
      </w:r>
      <w:r w:rsidRPr="004C0441">
        <w:tab/>
        <w:t>8482/18</w:t>
      </w:r>
    </w:p>
  </w:footnote>
  <w:footnote w:id="27">
    <w:p w:rsidR="00BA550B" w:rsidRPr="004C0441" w:rsidRDefault="00BA550B" w:rsidP="00BA550B">
      <w:pPr>
        <w:pStyle w:val="FootnoteText"/>
      </w:pPr>
      <w:r w:rsidRPr="004C0441">
        <w:rPr>
          <w:rStyle w:val="FootnoteReference"/>
        </w:rPr>
        <w:footnoteRef/>
      </w:r>
      <w:r w:rsidRPr="004C0441">
        <w:tab/>
        <w:t>EUCO 8/17</w:t>
      </w:r>
    </w:p>
  </w:footnote>
  <w:footnote w:id="28">
    <w:p w:rsidR="00BA550B" w:rsidRPr="004C0441" w:rsidRDefault="00BA550B" w:rsidP="00BA550B">
      <w:pPr>
        <w:pStyle w:val="FootnoteText"/>
      </w:pPr>
      <w:r w:rsidRPr="004C0441">
        <w:rPr>
          <w:rStyle w:val="FootnoteReference"/>
        </w:rPr>
        <w:footnoteRef/>
      </w:r>
      <w:r w:rsidRPr="004C0441">
        <w:tab/>
        <w:t>Commission Decision of 27 July 2017 on setting up the High-Level Commission Expert Group on radicalisation (C(2017) 5149 final)</w:t>
      </w:r>
    </w:p>
  </w:footnote>
  <w:footnote w:id="29">
    <w:p w:rsidR="00BA550B" w:rsidRPr="004C0441" w:rsidRDefault="00BA550B" w:rsidP="00BA550B">
      <w:pPr>
        <w:pStyle w:val="FootnoteText"/>
      </w:pPr>
      <w:r w:rsidRPr="004C0441">
        <w:rPr>
          <w:rStyle w:val="FootnoteReference"/>
        </w:rPr>
        <w:footnoteRef/>
      </w:r>
      <w:r w:rsidRPr="004C0441">
        <w:tab/>
        <w:t>10239/18</w:t>
      </w:r>
    </w:p>
  </w:footnote>
  <w:footnote w:id="30">
    <w:p w:rsidR="00BA550B" w:rsidRPr="004C0441" w:rsidRDefault="00BA550B" w:rsidP="00BA550B">
      <w:pPr>
        <w:pStyle w:val="FootnoteText"/>
        <w:rPr>
          <w:rFonts w:asciiTheme="majorBidi" w:hAnsiTheme="majorBidi" w:cstheme="majorBidi"/>
        </w:rPr>
      </w:pPr>
      <w:r w:rsidRPr="004C0441">
        <w:rPr>
          <w:rStyle w:val="FootnoteReference"/>
          <w:rFonts w:asciiTheme="majorBidi" w:hAnsiTheme="majorBidi" w:cstheme="majorBidi"/>
        </w:rPr>
        <w:footnoteRef/>
      </w:r>
      <w:r w:rsidRPr="004C0441">
        <w:rPr>
          <w:rFonts w:asciiTheme="majorBidi" w:hAnsiTheme="majorBidi" w:cstheme="majorBidi"/>
        </w:rPr>
        <w:tab/>
        <w:t>5635/1/18 REV 1</w:t>
      </w:r>
    </w:p>
  </w:footnote>
  <w:footnote w:id="31">
    <w:p w:rsidR="00BA550B" w:rsidRPr="004C0441" w:rsidRDefault="00BA550B" w:rsidP="00BA550B">
      <w:pPr>
        <w:pStyle w:val="FootnoteText"/>
      </w:pPr>
      <w:r w:rsidRPr="004C0441">
        <w:rPr>
          <w:rStyle w:val="FootnoteReference"/>
        </w:rPr>
        <w:footnoteRef/>
      </w:r>
      <w:r w:rsidRPr="004C0441">
        <w:tab/>
        <w:t>9691/18</w:t>
      </w:r>
    </w:p>
  </w:footnote>
  <w:footnote w:id="32">
    <w:p w:rsidR="00BA550B" w:rsidRPr="004C0441" w:rsidRDefault="00BA550B" w:rsidP="00BA550B">
      <w:pPr>
        <w:pStyle w:val="FootnoteText"/>
      </w:pPr>
      <w:r w:rsidRPr="004C0441">
        <w:rPr>
          <w:rStyle w:val="FootnoteReference"/>
        </w:rPr>
        <w:footnoteRef/>
      </w:r>
      <w:r w:rsidRPr="004C0441">
        <w:tab/>
        <w:t>9316/18</w:t>
      </w:r>
    </w:p>
  </w:footnote>
  <w:footnote w:id="33">
    <w:p w:rsidR="00BA550B" w:rsidRPr="004C0441" w:rsidRDefault="00BA550B" w:rsidP="00BA550B">
      <w:pPr>
        <w:pStyle w:val="FootnoteText"/>
      </w:pPr>
      <w:r w:rsidRPr="004C0441">
        <w:rPr>
          <w:rStyle w:val="FootnoteReference"/>
        </w:rPr>
        <w:footnoteRef/>
      </w:r>
      <w:r w:rsidRPr="004C0441">
        <w:tab/>
        <w:t>6900/17</w:t>
      </w:r>
    </w:p>
  </w:footnote>
  <w:footnote w:id="34">
    <w:p w:rsidR="00BA550B" w:rsidRPr="004C0441" w:rsidRDefault="00BA550B" w:rsidP="00BA550B">
      <w:pPr>
        <w:pStyle w:val="FootnoteText"/>
        <w:rPr>
          <w:rFonts w:asciiTheme="majorBidi" w:hAnsiTheme="majorBidi" w:cstheme="majorBidi"/>
        </w:rPr>
      </w:pPr>
      <w:r w:rsidRPr="004C0441">
        <w:rPr>
          <w:rStyle w:val="FootnoteReference"/>
          <w:rFonts w:asciiTheme="majorBidi" w:hAnsiTheme="majorBidi" w:cstheme="majorBidi"/>
        </w:rPr>
        <w:footnoteRef/>
      </w:r>
      <w:r w:rsidRPr="004C0441">
        <w:rPr>
          <w:rFonts w:asciiTheme="majorBidi" w:hAnsiTheme="majorBidi" w:cstheme="majorBidi"/>
        </w:rPr>
        <w:tab/>
        <w:t>A cooperation platform of 38 special intervention units of EU Member States and associated countries, Switzerland, Norway and Iceland.</w:t>
      </w:r>
    </w:p>
  </w:footnote>
  <w:footnote w:id="35">
    <w:p w:rsidR="00BA550B" w:rsidRPr="004C0441" w:rsidRDefault="00BA550B" w:rsidP="00BA550B">
      <w:pPr>
        <w:pStyle w:val="FootnoteText"/>
        <w:rPr>
          <w:rFonts w:asciiTheme="majorBidi" w:hAnsiTheme="majorBidi" w:cstheme="majorBidi"/>
        </w:rPr>
      </w:pPr>
      <w:r w:rsidRPr="004C0441">
        <w:rPr>
          <w:rStyle w:val="FootnoteReference"/>
          <w:rFonts w:asciiTheme="majorBidi" w:hAnsiTheme="majorBidi" w:cstheme="majorBidi"/>
        </w:rPr>
        <w:footnoteRef/>
      </w:r>
      <w:r w:rsidRPr="004C0441">
        <w:rPr>
          <w:rFonts w:asciiTheme="majorBidi" w:hAnsiTheme="majorBidi" w:cstheme="majorBidi"/>
        </w:rPr>
        <w:tab/>
        <w:t>12583/5/17 REV 5</w:t>
      </w:r>
    </w:p>
  </w:footnote>
  <w:footnote w:id="36">
    <w:p w:rsidR="00BA550B" w:rsidRPr="004C0441" w:rsidRDefault="00BA550B" w:rsidP="00BA550B">
      <w:pPr>
        <w:pStyle w:val="FootnoteText"/>
      </w:pPr>
      <w:r w:rsidRPr="004C0441">
        <w:rPr>
          <w:rStyle w:val="FootnoteReference"/>
        </w:rPr>
        <w:footnoteRef/>
      </w:r>
      <w:r w:rsidRPr="004C0441">
        <w:tab/>
        <w:t>COM(2017) 610 final</w:t>
      </w:r>
    </w:p>
  </w:footnote>
  <w:footnote w:id="37">
    <w:p w:rsidR="00BA550B" w:rsidRPr="004C0441" w:rsidRDefault="00BA550B" w:rsidP="00BA550B">
      <w:pPr>
        <w:pStyle w:val="FootnoteText"/>
      </w:pPr>
      <w:r w:rsidRPr="004C0441">
        <w:rPr>
          <w:rStyle w:val="FootnoteReference"/>
        </w:rPr>
        <w:footnoteRef/>
      </w:r>
      <w:r w:rsidRPr="004C0441">
        <w:tab/>
        <w:t>12005/17</w:t>
      </w:r>
    </w:p>
  </w:footnote>
  <w:footnote w:id="38">
    <w:p w:rsidR="00BA550B" w:rsidRPr="004C0441" w:rsidRDefault="00BA550B" w:rsidP="00BA550B">
      <w:pPr>
        <w:pStyle w:val="FootnoteText"/>
        <w:rPr>
          <w:szCs w:val="24"/>
        </w:rPr>
      </w:pPr>
      <w:r w:rsidRPr="004C0441">
        <w:rPr>
          <w:rStyle w:val="FootnoteReference"/>
          <w:szCs w:val="24"/>
        </w:rPr>
        <w:footnoteRef/>
      </w:r>
      <w:r w:rsidRPr="004C0441">
        <w:rPr>
          <w:szCs w:val="24"/>
        </w:rPr>
        <w:tab/>
      </w:r>
      <w:r w:rsidRPr="004C0441">
        <w:rPr>
          <w:szCs w:val="24"/>
          <w:lang w:eastAsia="ar-SA"/>
        </w:rPr>
        <w:t>10544/2/17 REV 2</w:t>
      </w:r>
    </w:p>
  </w:footnote>
  <w:footnote w:id="39">
    <w:p w:rsidR="00BA550B" w:rsidRPr="004C0441" w:rsidRDefault="00BA550B" w:rsidP="00BA550B">
      <w:pPr>
        <w:pStyle w:val="FootnoteText"/>
        <w:rPr>
          <w:szCs w:val="24"/>
        </w:rPr>
      </w:pPr>
      <w:r w:rsidRPr="004C0441">
        <w:rPr>
          <w:rStyle w:val="FootnoteReference"/>
          <w:szCs w:val="24"/>
        </w:rPr>
        <w:footnoteRef/>
      </w:r>
      <w:r w:rsidRPr="007D6CE6">
        <w:rPr>
          <w:rStyle w:val="Hyperlink"/>
          <w:rFonts w:asciiTheme="majorBidi" w:hAnsiTheme="majorBidi"/>
          <w:szCs w:val="24"/>
          <w:u w:val="none"/>
        </w:rPr>
        <w:tab/>
      </w:r>
      <w:r w:rsidRPr="004C0441">
        <w:rPr>
          <w:rStyle w:val="Hyperlink"/>
          <w:rFonts w:asciiTheme="majorBidi" w:hAnsiTheme="majorBidi"/>
          <w:szCs w:val="24"/>
        </w:rPr>
        <w:t xml:space="preserve">See under </w:t>
      </w:r>
      <w:hyperlink r:id="rId2" w:history="1">
        <w:r w:rsidRPr="004C0441">
          <w:rPr>
            <w:rStyle w:val="Hyperlink"/>
            <w:rFonts w:asciiTheme="majorBidi" w:hAnsiTheme="majorBidi"/>
            <w:szCs w:val="24"/>
          </w:rPr>
          <w:t>https://www.consilium.europa.eu/en/policies/eu-fight-against-organised-crime-2018-2021/</w:t>
        </w:r>
      </w:hyperlink>
    </w:p>
  </w:footnote>
  <w:footnote w:id="40">
    <w:p w:rsidR="00BA550B" w:rsidRPr="004C0441" w:rsidRDefault="00BA550B" w:rsidP="00BA550B">
      <w:pPr>
        <w:pStyle w:val="FootnoteText"/>
      </w:pPr>
      <w:r w:rsidRPr="004C0441">
        <w:rPr>
          <w:rStyle w:val="FootnoteReference"/>
        </w:rPr>
        <w:footnoteRef/>
      </w:r>
      <w:r w:rsidRPr="004C0441">
        <w:tab/>
        <w:t>12561/17 + COR 1</w:t>
      </w:r>
    </w:p>
  </w:footnote>
  <w:footnote w:id="41">
    <w:p w:rsidR="00BA550B" w:rsidRPr="004C0441" w:rsidRDefault="00BA550B" w:rsidP="00BA550B">
      <w:pPr>
        <w:pStyle w:val="FootnoteText"/>
      </w:pPr>
      <w:r w:rsidRPr="004C0441">
        <w:rPr>
          <w:rStyle w:val="FootnoteReference"/>
        </w:rPr>
        <w:footnoteRef/>
      </w:r>
      <w:r w:rsidRPr="004C0441">
        <w:tab/>
        <w:t>The MASP and OAPs 2018 are listed on 15080/17 and 15077/1/17 REV 1 Respectively.</w:t>
      </w:r>
    </w:p>
  </w:footnote>
  <w:footnote w:id="42">
    <w:p w:rsidR="00BA550B" w:rsidRPr="004C0441" w:rsidRDefault="00BA550B" w:rsidP="00BA550B">
      <w:pPr>
        <w:pStyle w:val="FootnoteText"/>
      </w:pPr>
      <w:r w:rsidRPr="004C0441">
        <w:rPr>
          <w:rStyle w:val="FootnoteReference"/>
        </w:rPr>
        <w:footnoteRef/>
      </w:r>
      <w:r w:rsidRPr="004C0441">
        <w:tab/>
        <w:t>7912/18</w:t>
      </w:r>
    </w:p>
  </w:footnote>
  <w:footnote w:id="43">
    <w:p w:rsidR="00BA550B" w:rsidRPr="004C0441" w:rsidRDefault="00BA550B" w:rsidP="00BA550B">
      <w:pPr>
        <w:pStyle w:val="FootnoteText"/>
      </w:pPr>
      <w:r w:rsidRPr="004C0441">
        <w:rPr>
          <w:rStyle w:val="FootnoteReference"/>
        </w:rPr>
        <w:footnoteRef/>
      </w:r>
      <w:r w:rsidRPr="004C0441">
        <w:tab/>
        <w:t>14029/18</w:t>
      </w:r>
    </w:p>
  </w:footnote>
  <w:footnote w:id="44">
    <w:p w:rsidR="00BA550B" w:rsidRPr="004C0441" w:rsidRDefault="00BA550B" w:rsidP="00BA550B">
      <w:pPr>
        <w:pStyle w:val="FootnoteText"/>
      </w:pPr>
      <w:r w:rsidRPr="004C0441">
        <w:rPr>
          <w:rStyle w:val="FootnoteReference"/>
        </w:rPr>
        <w:footnoteRef/>
      </w:r>
      <w:r w:rsidRPr="004C0441">
        <w:tab/>
      </w:r>
      <w:r w:rsidRPr="004C0441">
        <w:rPr>
          <w:rFonts w:asciiTheme="majorBidi" w:hAnsiTheme="majorBidi" w:cstheme="majorBidi"/>
          <w:szCs w:val="24"/>
        </w:rPr>
        <w:t>5929/18</w:t>
      </w:r>
    </w:p>
  </w:footnote>
  <w:footnote w:id="45">
    <w:p w:rsidR="00BA550B" w:rsidRPr="004C0441" w:rsidRDefault="00BA550B" w:rsidP="00BA550B">
      <w:pPr>
        <w:pStyle w:val="FootnoteText"/>
      </w:pPr>
      <w:r w:rsidRPr="004C0441">
        <w:rPr>
          <w:rStyle w:val="FootnoteReference"/>
        </w:rPr>
        <w:footnoteRef/>
      </w:r>
      <w:r w:rsidRPr="004C0441">
        <w:tab/>
      </w:r>
      <w:r w:rsidRPr="004C0441">
        <w:rPr>
          <w:rFonts w:asciiTheme="majorBidi" w:hAnsiTheme="majorBidi" w:cstheme="majorBidi"/>
          <w:szCs w:val="24"/>
        </w:rPr>
        <w:t>5929/18 ADD 1</w:t>
      </w:r>
    </w:p>
  </w:footnote>
  <w:footnote w:id="46">
    <w:p w:rsidR="00BA550B" w:rsidRPr="004C0441" w:rsidRDefault="00BA550B" w:rsidP="00BA550B">
      <w:pPr>
        <w:pStyle w:val="FootnoteText"/>
      </w:pPr>
      <w:r w:rsidRPr="004C0441">
        <w:rPr>
          <w:rStyle w:val="FootnoteReference"/>
        </w:rPr>
        <w:footnoteRef/>
      </w:r>
      <w:r w:rsidRPr="004C0441">
        <w:tab/>
      </w:r>
      <w:r w:rsidRPr="004C0441">
        <w:rPr>
          <w:rFonts w:asciiTheme="majorBidi" w:hAnsiTheme="majorBidi" w:cstheme="majorBidi"/>
          <w:lang w:eastAsia="en-GB"/>
        </w:rPr>
        <w:t>11473/18</w:t>
      </w:r>
    </w:p>
  </w:footnote>
  <w:footnote w:id="47">
    <w:p w:rsidR="00BA550B" w:rsidRPr="004C0441" w:rsidRDefault="00BA550B" w:rsidP="00BA550B">
      <w:pPr>
        <w:pStyle w:val="FootnoteText"/>
      </w:pPr>
      <w:r w:rsidRPr="004C0441">
        <w:rPr>
          <w:rStyle w:val="FootnoteReference"/>
        </w:rPr>
        <w:footnoteRef/>
      </w:r>
      <w:r w:rsidRPr="004C0441">
        <w:tab/>
      </w:r>
      <w:r w:rsidRPr="004C0441">
        <w:rPr>
          <w:rFonts w:asciiTheme="majorBidi" w:hAnsiTheme="majorBidi" w:cstheme="majorBidi"/>
          <w:lang w:eastAsia="en-GB"/>
        </w:rPr>
        <w:t>12010/18</w:t>
      </w:r>
    </w:p>
  </w:footnote>
  <w:footnote w:id="48">
    <w:p w:rsidR="00BA550B" w:rsidRPr="004C0441" w:rsidRDefault="00BA550B" w:rsidP="00BA550B">
      <w:pPr>
        <w:pStyle w:val="FootnoteText"/>
      </w:pPr>
      <w:r w:rsidRPr="004C0441">
        <w:rPr>
          <w:rStyle w:val="FootnoteReference"/>
        </w:rPr>
        <w:footnoteRef/>
      </w:r>
      <w:r w:rsidRPr="004C0441">
        <w:tab/>
      </w:r>
      <w:r w:rsidRPr="004C0441">
        <w:rPr>
          <w:iCs/>
        </w:rPr>
        <w:t>11975/1/18 REV 1</w:t>
      </w:r>
    </w:p>
  </w:footnote>
  <w:footnote w:id="49">
    <w:p w:rsidR="00BA550B" w:rsidRPr="004C0441" w:rsidRDefault="00BA550B" w:rsidP="00BA550B">
      <w:pPr>
        <w:pStyle w:val="FootnoteText"/>
      </w:pPr>
      <w:r w:rsidRPr="004C0441">
        <w:rPr>
          <w:rStyle w:val="FootnoteReference"/>
        </w:rPr>
        <w:footnoteRef/>
      </w:r>
      <w:r w:rsidRPr="004C0441">
        <w:tab/>
      </w:r>
      <w:r w:rsidRPr="004C0441">
        <w:rPr>
          <w:rFonts w:asciiTheme="majorBidi" w:hAnsiTheme="majorBidi" w:cstheme="majorBidi"/>
          <w:szCs w:val="24"/>
        </w:rPr>
        <w:t>13460/3/17 REV 3</w:t>
      </w:r>
    </w:p>
  </w:footnote>
  <w:footnote w:id="50">
    <w:p w:rsidR="00BA550B" w:rsidRPr="004C0441" w:rsidRDefault="00BA550B" w:rsidP="00BA550B">
      <w:pPr>
        <w:pStyle w:val="FootnoteText"/>
      </w:pPr>
      <w:r w:rsidRPr="004C0441">
        <w:rPr>
          <w:rStyle w:val="FootnoteReference"/>
        </w:rPr>
        <w:footnoteRef/>
      </w:r>
      <w:r w:rsidRPr="004C0441">
        <w:tab/>
        <w:t>7912/18</w:t>
      </w:r>
    </w:p>
  </w:footnote>
  <w:footnote w:id="51">
    <w:p w:rsidR="00BA550B" w:rsidRPr="004C0441" w:rsidRDefault="00BA550B" w:rsidP="00BA550B">
      <w:pPr>
        <w:pStyle w:val="FootnoteText"/>
      </w:pPr>
      <w:r w:rsidRPr="004C0441">
        <w:rPr>
          <w:rStyle w:val="FootnoteReference"/>
        </w:rPr>
        <w:footnoteRef/>
      </w:r>
      <w:r w:rsidRPr="004C0441">
        <w:tab/>
      </w:r>
      <w:r w:rsidRPr="004C0441">
        <w:rPr>
          <w:color w:val="000000"/>
          <w:lang w:eastAsia="en-GB"/>
        </w:rPr>
        <w:t>7909/18</w:t>
      </w:r>
    </w:p>
  </w:footnote>
  <w:footnote w:id="52">
    <w:p w:rsidR="00BA550B" w:rsidRPr="004C0441" w:rsidRDefault="00BA550B" w:rsidP="00BA550B">
      <w:pPr>
        <w:pStyle w:val="FootnoteText"/>
      </w:pPr>
      <w:r w:rsidRPr="004C0441">
        <w:rPr>
          <w:rStyle w:val="FootnoteReference"/>
        </w:rPr>
        <w:footnoteRef/>
      </w:r>
      <w:r w:rsidRPr="004C0441">
        <w:tab/>
      </w:r>
      <w:hyperlink r:id="rId3" w:history="1">
        <w:r w:rsidRPr="004C0441">
          <w:rPr>
            <w:rStyle w:val="Hyperlink"/>
            <w:rFonts w:asciiTheme="majorBidi" w:hAnsiTheme="majorBidi"/>
            <w:szCs w:val="24"/>
          </w:rPr>
          <w:t>https://www.consilium.europa.eu/en/policies/eu-fight-against-organised-crime-2018-2021/</w:t>
        </w:r>
      </w:hyperlink>
    </w:p>
  </w:footnote>
  <w:footnote w:id="53">
    <w:p w:rsidR="00BA550B" w:rsidRPr="004C0441" w:rsidRDefault="00BA550B" w:rsidP="00BA550B">
      <w:pPr>
        <w:pStyle w:val="FootnoteText"/>
      </w:pPr>
      <w:r w:rsidRPr="004C0441">
        <w:rPr>
          <w:rStyle w:val="FootnoteReference"/>
        </w:rPr>
        <w:footnoteRef/>
      </w:r>
      <w:r w:rsidRPr="004C0441">
        <w:tab/>
        <w:t>14884/18 and revised with MSs comments 14884/1/18 REV 1</w:t>
      </w:r>
    </w:p>
  </w:footnote>
  <w:footnote w:id="54">
    <w:p w:rsidR="00BA550B" w:rsidRPr="004C0441" w:rsidRDefault="00BA550B" w:rsidP="00BA550B">
      <w:pPr>
        <w:pStyle w:val="FootnoteText"/>
      </w:pPr>
      <w:r w:rsidRPr="004C0441">
        <w:rPr>
          <w:rStyle w:val="FootnoteReference"/>
        </w:rPr>
        <w:footnoteRef/>
      </w:r>
      <w:r w:rsidRPr="004C0441">
        <w:tab/>
      </w:r>
      <w:r w:rsidRPr="004C0441">
        <w:rPr>
          <w:rFonts w:asciiTheme="majorBidi" w:hAnsiTheme="majorBidi" w:cstheme="majorBidi"/>
          <w:szCs w:val="24"/>
          <w:lang w:eastAsia="fr-BE"/>
        </w:rPr>
        <w:t>15755/17</w:t>
      </w:r>
    </w:p>
  </w:footnote>
  <w:footnote w:id="55">
    <w:p w:rsidR="00BA550B" w:rsidRPr="004C0441" w:rsidRDefault="00BA550B" w:rsidP="00BA550B">
      <w:pPr>
        <w:pStyle w:val="FootnoteText"/>
        <w:rPr>
          <w:rFonts w:asciiTheme="majorBidi" w:hAnsiTheme="majorBidi" w:cstheme="majorBidi"/>
          <w:szCs w:val="24"/>
          <w:lang w:eastAsia="fr-BE"/>
        </w:rPr>
      </w:pPr>
      <w:r w:rsidRPr="004C0441">
        <w:rPr>
          <w:rStyle w:val="FootnoteReference"/>
        </w:rPr>
        <w:footnoteRef/>
      </w:r>
      <w:r w:rsidRPr="004C0441">
        <w:tab/>
      </w:r>
      <w:r w:rsidRPr="004C0441">
        <w:rPr>
          <w:rFonts w:asciiTheme="majorBidi" w:hAnsiTheme="majorBidi" w:cstheme="majorBidi"/>
          <w:szCs w:val="24"/>
          <w:lang w:eastAsia="fr-BE"/>
        </w:rPr>
        <w:t>5676/18 EU RESTRICTED</w:t>
      </w:r>
    </w:p>
  </w:footnote>
  <w:footnote w:id="56">
    <w:p w:rsidR="00BA550B" w:rsidRPr="004C0441" w:rsidRDefault="00BA550B" w:rsidP="00BA550B">
      <w:pPr>
        <w:pStyle w:val="FootnoteText"/>
      </w:pPr>
      <w:r w:rsidRPr="004C0441">
        <w:rPr>
          <w:rStyle w:val="FootnoteReference"/>
        </w:rPr>
        <w:footnoteRef/>
      </w:r>
      <w:r w:rsidRPr="004C0441">
        <w:tab/>
        <w:t>14826/18</w:t>
      </w:r>
    </w:p>
  </w:footnote>
  <w:footnote w:id="57">
    <w:p w:rsidR="00BA550B" w:rsidRPr="004C0441" w:rsidRDefault="00BA550B" w:rsidP="00BA550B">
      <w:pPr>
        <w:pStyle w:val="FootnoteText"/>
      </w:pPr>
      <w:r w:rsidRPr="004C0441">
        <w:rPr>
          <w:rStyle w:val="FootnoteReference"/>
        </w:rPr>
        <w:footnoteRef/>
      </w:r>
      <w:r w:rsidRPr="004C0441">
        <w:t xml:space="preserve"> </w:t>
      </w:r>
      <w:r w:rsidRPr="004C0441">
        <w:tab/>
      </w:r>
      <w:r w:rsidRPr="004C0441">
        <w:rPr>
          <w:rFonts w:asciiTheme="majorBidi" w:hAnsiTheme="majorBidi" w:cstheme="majorBidi"/>
          <w:szCs w:val="24"/>
        </w:rPr>
        <w:t>10256/18</w:t>
      </w:r>
    </w:p>
  </w:footnote>
  <w:footnote w:id="58">
    <w:p w:rsidR="00BA550B" w:rsidRPr="004C0441" w:rsidRDefault="00BA550B" w:rsidP="00BA550B">
      <w:pPr>
        <w:pStyle w:val="FootnoteText"/>
      </w:pPr>
      <w:r w:rsidRPr="004C0441">
        <w:rPr>
          <w:rStyle w:val="FootnoteReference"/>
        </w:rPr>
        <w:footnoteRef/>
      </w:r>
      <w:r w:rsidRPr="004C0441">
        <w:tab/>
        <w:t>15250/18</w:t>
      </w:r>
    </w:p>
  </w:footnote>
  <w:footnote w:id="59">
    <w:p w:rsidR="00BA550B" w:rsidRPr="004C0441" w:rsidRDefault="00BA550B" w:rsidP="00BA550B">
      <w:pPr>
        <w:pStyle w:val="FootnoteText"/>
      </w:pPr>
      <w:r w:rsidRPr="004C0441">
        <w:rPr>
          <w:rStyle w:val="FootnoteReference"/>
        </w:rPr>
        <w:footnoteRef/>
      </w:r>
      <w:r w:rsidRPr="004C0441">
        <w:tab/>
        <w:t>14576/18</w:t>
      </w:r>
    </w:p>
  </w:footnote>
  <w:footnote w:id="60">
    <w:p w:rsidR="00BA550B" w:rsidRPr="004C0441" w:rsidRDefault="00BA550B" w:rsidP="00BA550B">
      <w:pPr>
        <w:pStyle w:val="FootnoteText"/>
      </w:pPr>
      <w:r w:rsidRPr="004C0441">
        <w:rPr>
          <w:rStyle w:val="FootnoteReference"/>
        </w:rPr>
        <w:footnoteRef/>
      </w:r>
      <w:r w:rsidRPr="004C0441">
        <w:tab/>
        <w:t>10256/18</w:t>
      </w:r>
    </w:p>
  </w:footnote>
  <w:footnote w:id="61">
    <w:p w:rsidR="00BA550B" w:rsidRPr="004C0441" w:rsidRDefault="00BA550B" w:rsidP="00BA550B">
      <w:pPr>
        <w:pStyle w:val="FootnoteText"/>
      </w:pPr>
      <w:r w:rsidRPr="004C0441">
        <w:rPr>
          <w:rStyle w:val="FootnoteReference"/>
        </w:rPr>
        <w:footnoteRef/>
      </w:r>
      <w:r w:rsidRPr="004C0441">
        <w:tab/>
        <w:t>10944/18 and 12383/18</w:t>
      </w:r>
    </w:p>
  </w:footnote>
  <w:footnote w:id="62">
    <w:p w:rsidR="00BA550B" w:rsidRPr="004C0441" w:rsidRDefault="00BA550B" w:rsidP="00BA550B">
      <w:pPr>
        <w:pStyle w:val="FootnoteText"/>
      </w:pPr>
      <w:r w:rsidRPr="004C0441">
        <w:rPr>
          <w:rStyle w:val="FootnoteReference"/>
        </w:rPr>
        <w:footnoteRef/>
      </w:r>
      <w:r w:rsidRPr="004C0441">
        <w:tab/>
        <w:t>COM(2015) 285 final</w:t>
      </w:r>
    </w:p>
  </w:footnote>
  <w:footnote w:id="63">
    <w:p w:rsidR="00BA550B" w:rsidRPr="004C0441" w:rsidRDefault="00BA550B" w:rsidP="00BA550B">
      <w:pPr>
        <w:pStyle w:val="FootnoteText"/>
      </w:pPr>
      <w:r w:rsidRPr="004C0441">
        <w:rPr>
          <w:rStyle w:val="FootnoteReference"/>
        </w:rPr>
        <w:footnoteRef/>
      </w:r>
      <w:r w:rsidRPr="004C0441">
        <w:tab/>
        <w:t>15438/17</w:t>
      </w:r>
    </w:p>
  </w:footnote>
  <w:footnote w:id="64">
    <w:p w:rsidR="00BA550B" w:rsidRPr="004C0441" w:rsidRDefault="00BA550B" w:rsidP="00BA550B">
      <w:pPr>
        <w:pStyle w:val="FootnoteText"/>
      </w:pPr>
      <w:r w:rsidRPr="004C0441">
        <w:rPr>
          <w:rStyle w:val="FootnoteReference"/>
        </w:rPr>
        <w:footnoteRef/>
      </w:r>
      <w:r w:rsidRPr="004C0441">
        <w:tab/>
      </w:r>
      <w:r w:rsidRPr="004C0441">
        <w:rPr>
          <w:rFonts w:asciiTheme="majorBidi" w:hAnsiTheme="majorBidi" w:cstheme="majorBidi"/>
          <w:szCs w:val="24"/>
        </w:rPr>
        <w:t>10260/18</w:t>
      </w:r>
    </w:p>
  </w:footnote>
  <w:footnote w:id="65">
    <w:p w:rsidR="00BA550B" w:rsidRPr="004C0441" w:rsidRDefault="00BA550B" w:rsidP="00BA550B">
      <w:pPr>
        <w:pStyle w:val="FootnoteText"/>
      </w:pPr>
      <w:r w:rsidRPr="004C0441">
        <w:rPr>
          <w:rStyle w:val="FootnoteReference"/>
        </w:rPr>
        <w:footnoteRef/>
      </w:r>
      <w:r w:rsidRPr="004C0441">
        <w:tab/>
      </w:r>
      <w:r w:rsidRPr="004C0441">
        <w:rPr>
          <w:rFonts w:asciiTheme="majorBidi" w:hAnsiTheme="majorBidi" w:cstheme="majorBidi"/>
          <w:szCs w:val="24"/>
        </w:rPr>
        <w:t>13268/16</w:t>
      </w:r>
    </w:p>
  </w:footnote>
  <w:footnote w:id="66">
    <w:p w:rsidR="00BA550B" w:rsidRPr="004C0441" w:rsidRDefault="00BA550B" w:rsidP="00BA550B">
      <w:pPr>
        <w:pStyle w:val="FootnoteText"/>
      </w:pPr>
      <w:r w:rsidRPr="004C0441">
        <w:rPr>
          <w:rStyle w:val="FootnoteReference"/>
        </w:rPr>
        <w:footnoteRef/>
      </w:r>
      <w:r w:rsidRPr="004C0441">
        <w:tab/>
        <w:t>8586/18</w:t>
      </w:r>
    </w:p>
  </w:footnote>
  <w:footnote w:id="67">
    <w:p w:rsidR="00BA550B" w:rsidRPr="004C0441" w:rsidRDefault="00BA550B" w:rsidP="00BA550B">
      <w:pPr>
        <w:pStyle w:val="FootnoteText"/>
      </w:pPr>
      <w:r w:rsidRPr="004C0441">
        <w:rPr>
          <w:rStyle w:val="FootnoteReference"/>
        </w:rPr>
        <w:footnoteRef/>
      </w:r>
      <w:r w:rsidRPr="004C0441">
        <w:tab/>
        <w:t>13461/17</w:t>
      </w:r>
    </w:p>
  </w:footnote>
  <w:footnote w:id="68">
    <w:p w:rsidR="00BA550B" w:rsidRPr="004C0441" w:rsidRDefault="00BA550B" w:rsidP="00BA550B">
      <w:pPr>
        <w:pStyle w:val="FootnoteText"/>
      </w:pPr>
      <w:r w:rsidRPr="004C0441">
        <w:rPr>
          <w:rStyle w:val="FootnoteReference"/>
        </w:rPr>
        <w:footnoteRef/>
      </w:r>
      <w:r w:rsidRPr="004C0441">
        <w:tab/>
        <w:t>14893/18</w:t>
      </w:r>
    </w:p>
  </w:footnote>
  <w:footnote w:id="69">
    <w:p w:rsidR="00BA550B" w:rsidRPr="004C0441" w:rsidRDefault="00BA550B" w:rsidP="00BA550B">
      <w:pPr>
        <w:pStyle w:val="FootnoteText"/>
      </w:pPr>
      <w:r w:rsidRPr="004C0441">
        <w:rPr>
          <w:rStyle w:val="FootnoteReference"/>
        </w:rPr>
        <w:footnoteRef/>
      </w:r>
      <w:r w:rsidRPr="004C0441">
        <w:tab/>
        <w:t>5920/2/18</w:t>
      </w:r>
    </w:p>
  </w:footnote>
  <w:footnote w:id="70">
    <w:p w:rsidR="00BA550B" w:rsidRPr="004C0441" w:rsidRDefault="00BA550B" w:rsidP="00BA550B">
      <w:pPr>
        <w:pStyle w:val="FootnoteText"/>
      </w:pPr>
      <w:r w:rsidRPr="004C0441">
        <w:rPr>
          <w:rStyle w:val="FootnoteReference"/>
        </w:rPr>
        <w:footnoteRef/>
      </w:r>
      <w:r w:rsidRPr="004C0441">
        <w:tab/>
        <w:t>13250/3/18 REV 3</w:t>
      </w:r>
    </w:p>
  </w:footnote>
  <w:footnote w:id="71">
    <w:p w:rsidR="00BA550B" w:rsidRPr="004C0441" w:rsidRDefault="00BA550B" w:rsidP="00BA550B">
      <w:pPr>
        <w:pStyle w:val="FootnoteText"/>
      </w:pPr>
      <w:r w:rsidRPr="004C0441">
        <w:rPr>
          <w:rStyle w:val="FootnoteReference"/>
        </w:rPr>
        <w:footnoteRef/>
      </w:r>
      <w:r w:rsidRPr="004C0441">
        <w:tab/>
        <w:t>11716/17</w:t>
      </w:r>
    </w:p>
  </w:footnote>
  <w:footnote w:id="72">
    <w:p w:rsidR="00BA550B" w:rsidRPr="004C0441" w:rsidRDefault="00BA550B" w:rsidP="00BA550B">
      <w:pPr>
        <w:pStyle w:val="FootnoteText"/>
      </w:pPr>
      <w:r w:rsidRPr="004C0441">
        <w:rPr>
          <w:rStyle w:val="FootnoteReference"/>
        </w:rPr>
        <w:footnoteRef/>
      </w:r>
      <w:r w:rsidRPr="004C0441">
        <w:tab/>
        <w:t>14265/17</w:t>
      </w:r>
    </w:p>
  </w:footnote>
  <w:footnote w:id="73">
    <w:p w:rsidR="00BA550B" w:rsidRPr="004C0441" w:rsidRDefault="00BA550B" w:rsidP="00BA550B">
      <w:pPr>
        <w:pStyle w:val="FootnoteText"/>
      </w:pPr>
      <w:r w:rsidRPr="004C0441">
        <w:rPr>
          <w:rStyle w:val="FootnoteReference"/>
        </w:rPr>
        <w:footnoteRef/>
      </w:r>
      <w:r w:rsidRPr="004C0441">
        <w:tab/>
        <w:t>7708/18</w:t>
      </w:r>
    </w:p>
  </w:footnote>
  <w:footnote w:id="74">
    <w:p w:rsidR="00BA550B" w:rsidRPr="004C0441" w:rsidRDefault="00BA550B" w:rsidP="00BA550B">
      <w:pPr>
        <w:pStyle w:val="FootnoteText"/>
      </w:pPr>
      <w:r w:rsidRPr="004C0441">
        <w:rPr>
          <w:rStyle w:val="FootnoteReference"/>
        </w:rPr>
        <w:footnoteRef/>
      </w:r>
      <w:r w:rsidRPr="004C0441">
        <w:tab/>
        <w:t>13272/3/17 REV 3</w:t>
      </w:r>
    </w:p>
  </w:footnote>
  <w:footnote w:id="75">
    <w:p w:rsidR="00BA550B" w:rsidRPr="004C0441" w:rsidRDefault="00BA550B" w:rsidP="00BA550B">
      <w:pPr>
        <w:pStyle w:val="FootnoteText"/>
      </w:pPr>
      <w:r w:rsidRPr="004C0441">
        <w:rPr>
          <w:rStyle w:val="FootnoteReference"/>
        </w:rPr>
        <w:footnoteRef/>
      </w:r>
      <w:r w:rsidRPr="004C0441">
        <w:tab/>
        <w:t>15615/17</w:t>
      </w:r>
    </w:p>
  </w:footnote>
  <w:footnote w:id="76">
    <w:p w:rsidR="00BA550B" w:rsidRPr="004C0441" w:rsidRDefault="00BA550B" w:rsidP="00BA550B">
      <w:pPr>
        <w:pStyle w:val="FootnoteText"/>
      </w:pPr>
      <w:r w:rsidRPr="004C0441">
        <w:rPr>
          <w:rStyle w:val="FootnoteReference"/>
        </w:rPr>
        <w:footnoteRef/>
      </w:r>
      <w:r w:rsidRPr="004C0441">
        <w:tab/>
        <w:t>12411/18</w:t>
      </w:r>
    </w:p>
  </w:footnote>
  <w:footnote w:id="77">
    <w:p w:rsidR="00BA550B" w:rsidRPr="004C0441" w:rsidRDefault="00BA550B" w:rsidP="00BA550B">
      <w:pPr>
        <w:pStyle w:val="FootnoteText"/>
      </w:pPr>
      <w:r w:rsidRPr="004C0441">
        <w:rPr>
          <w:rStyle w:val="FootnoteReference"/>
        </w:rPr>
        <w:footnoteRef/>
      </w:r>
      <w:r w:rsidRPr="004C0441">
        <w:tab/>
        <w:t>12373/17</w:t>
      </w:r>
    </w:p>
  </w:footnote>
  <w:footnote w:id="78">
    <w:p w:rsidR="00BA550B" w:rsidRPr="004C0441" w:rsidRDefault="00BA550B" w:rsidP="00BA550B">
      <w:pPr>
        <w:pStyle w:val="FootnoteText"/>
      </w:pPr>
      <w:r w:rsidRPr="004C0441">
        <w:rPr>
          <w:rStyle w:val="FootnoteReference"/>
        </w:rPr>
        <w:footnoteRef/>
      </w:r>
      <w:r w:rsidRPr="004C0441">
        <w:tab/>
        <w:t>5934/18</w:t>
      </w:r>
    </w:p>
  </w:footnote>
  <w:footnote w:id="79">
    <w:p w:rsidR="00BA550B" w:rsidRPr="004C0441" w:rsidRDefault="00BA550B" w:rsidP="00BA550B">
      <w:pPr>
        <w:pStyle w:val="FootnoteText"/>
      </w:pPr>
      <w:r w:rsidRPr="004C0441">
        <w:rPr>
          <w:rStyle w:val="FootnoteReference"/>
        </w:rPr>
        <w:footnoteRef/>
      </w:r>
      <w:r w:rsidRPr="004C0441">
        <w:tab/>
        <w:t>9063/18</w:t>
      </w:r>
    </w:p>
  </w:footnote>
  <w:footnote w:id="80">
    <w:p w:rsidR="00BA550B" w:rsidRPr="004C0441" w:rsidRDefault="00BA550B" w:rsidP="00BA550B">
      <w:pPr>
        <w:pStyle w:val="FootnoteText"/>
      </w:pPr>
      <w:r w:rsidRPr="004C0441">
        <w:rPr>
          <w:rStyle w:val="FootnoteReference"/>
        </w:rPr>
        <w:footnoteRef/>
      </w:r>
      <w:r w:rsidRPr="004C0441">
        <w:tab/>
        <w:t>10261/18</w:t>
      </w:r>
    </w:p>
  </w:footnote>
  <w:footnote w:id="81">
    <w:p w:rsidR="00BA550B" w:rsidRPr="004C0441" w:rsidRDefault="00BA550B" w:rsidP="00BA550B">
      <w:pPr>
        <w:pStyle w:val="FootnoteText"/>
      </w:pPr>
      <w:r w:rsidRPr="004C0441">
        <w:rPr>
          <w:rStyle w:val="FootnoteReference"/>
        </w:rPr>
        <w:footnoteRef/>
      </w:r>
      <w:r w:rsidRPr="004C0441">
        <w:tab/>
        <w:t xml:space="preserve">14750/17, presented to the Council </w:t>
      </w:r>
      <w:r w:rsidRPr="004C0441">
        <w:rPr>
          <w:rFonts w:asciiTheme="majorBidi" w:eastAsia="Arial Unicode MS" w:hAnsiTheme="majorBidi" w:cstheme="majorBidi"/>
        </w:rPr>
        <w:t>on 9 June 2017 in line with the Council conclusions on the way forward to improve information exchange and ensure the interoperability of EU information systems (</w:t>
      </w:r>
      <w:r w:rsidRPr="004C0441">
        <w:t>10151/17)</w:t>
      </w:r>
    </w:p>
  </w:footnote>
  <w:footnote w:id="82">
    <w:p w:rsidR="00BA550B" w:rsidRPr="004C0441" w:rsidRDefault="00BA550B" w:rsidP="00BA550B">
      <w:pPr>
        <w:pStyle w:val="FootnoteText"/>
      </w:pPr>
      <w:r w:rsidRPr="004C0441">
        <w:rPr>
          <w:rStyle w:val="FootnoteReference"/>
        </w:rPr>
        <w:footnoteRef/>
      </w:r>
      <w:r w:rsidRPr="004C0441">
        <w:tab/>
        <w:t>12223/3/17 REV 3</w:t>
      </w:r>
    </w:p>
  </w:footnote>
  <w:footnote w:id="83">
    <w:p w:rsidR="00BA550B" w:rsidRPr="004C0441" w:rsidRDefault="00BA550B" w:rsidP="00BA550B">
      <w:pPr>
        <w:pStyle w:val="FootnoteText"/>
      </w:pPr>
      <w:r w:rsidRPr="004C0441">
        <w:rPr>
          <w:rStyle w:val="FootnoteReference"/>
        </w:rPr>
        <w:footnoteRef/>
      </w:r>
      <w:r w:rsidRPr="004C0441">
        <w:tab/>
        <w:t>7931/1/18 REV 1</w:t>
      </w:r>
    </w:p>
  </w:footnote>
  <w:footnote w:id="84">
    <w:p w:rsidR="00BA550B" w:rsidRPr="004C0441" w:rsidRDefault="00BA550B" w:rsidP="00BA550B">
      <w:pPr>
        <w:pStyle w:val="FootnoteText"/>
      </w:pPr>
      <w:r w:rsidRPr="004C0441">
        <w:rPr>
          <w:rStyle w:val="FootnoteReference"/>
        </w:rPr>
        <w:footnoteRef/>
      </w:r>
      <w:r w:rsidRPr="004C0441">
        <w:tab/>
        <w:t>14196/18</w:t>
      </w:r>
    </w:p>
  </w:footnote>
  <w:footnote w:id="85">
    <w:p w:rsidR="00BA550B" w:rsidRPr="004C0441" w:rsidRDefault="00BA550B" w:rsidP="00BA550B">
      <w:pPr>
        <w:pStyle w:val="FootnoteText"/>
      </w:pPr>
      <w:r w:rsidRPr="004C0441">
        <w:rPr>
          <w:rStyle w:val="FootnoteReference"/>
        </w:rPr>
        <w:footnoteRef/>
      </w:r>
      <w:r w:rsidRPr="004C0441">
        <w:tab/>
        <w:t>12412/18</w:t>
      </w:r>
    </w:p>
  </w:footnote>
  <w:footnote w:id="86">
    <w:p w:rsidR="00BA550B" w:rsidRPr="004C0441" w:rsidRDefault="00BA550B" w:rsidP="00BA550B">
      <w:pPr>
        <w:pStyle w:val="FootnoteText"/>
      </w:pPr>
      <w:r w:rsidRPr="004C0441">
        <w:rPr>
          <w:rStyle w:val="FootnoteReference"/>
        </w:rPr>
        <w:footnoteRef/>
      </w:r>
      <w:r w:rsidRPr="004C0441">
        <w:tab/>
        <w:t>12088/18</w:t>
      </w:r>
    </w:p>
  </w:footnote>
  <w:footnote w:id="87">
    <w:p w:rsidR="00BA550B" w:rsidRPr="004C0441" w:rsidRDefault="00BA550B" w:rsidP="00BA550B">
      <w:pPr>
        <w:pStyle w:val="FootnoteText"/>
      </w:pPr>
      <w:r w:rsidRPr="004C0441">
        <w:rPr>
          <w:rStyle w:val="FootnoteReference"/>
        </w:rPr>
        <w:footnoteRef/>
      </w:r>
      <w:r w:rsidRPr="004C0441">
        <w:tab/>
      </w:r>
      <w:r w:rsidRPr="004C0441">
        <w:rPr>
          <w:szCs w:val="24"/>
          <w:lang w:eastAsia="fr-BE"/>
        </w:rPr>
        <w:t>8900/17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0B" w:rsidRPr="00CD26D8" w:rsidRDefault="00BA550B" w:rsidP="00CD2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0B" w:rsidRPr="00CD26D8" w:rsidRDefault="00CD26D8" w:rsidP="00CD26D8">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0B" w:rsidRPr="00CD26D8" w:rsidRDefault="00CD26D8" w:rsidP="00CD26D8">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0B" w:rsidRPr="00CD26D8" w:rsidRDefault="00BA550B" w:rsidP="00CD2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6B5A68"/>
    <w:multiLevelType w:val="singleLevel"/>
    <w:tmpl w:val="8B0853B0"/>
    <w:lvl w:ilvl="0">
      <w:start w:val="1"/>
      <w:numFmt w:val="bullet"/>
      <w:lvlRestart w:val="0"/>
      <w:lvlText w:val="–"/>
      <w:lvlJc w:val="left"/>
      <w:pPr>
        <w:tabs>
          <w:tab w:val="num" w:pos="1134"/>
        </w:tabs>
        <w:ind w:left="1134" w:hanging="567"/>
      </w:pPr>
    </w:lvl>
  </w:abstractNum>
  <w:abstractNum w:abstractNumId="2" w15:restartNumberingAfterBreak="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 w15:restartNumberingAfterBreak="0">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4" w15:restartNumberingAfterBreak="0">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C73EED"/>
    <w:multiLevelType w:val="singleLevel"/>
    <w:tmpl w:val="109A6A02"/>
    <w:lvl w:ilvl="0">
      <w:start w:val="1"/>
      <w:numFmt w:val="bullet"/>
      <w:lvlRestart w:val="0"/>
      <w:lvlText w:val=""/>
      <w:lvlJc w:val="left"/>
      <w:pPr>
        <w:tabs>
          <w:tab w:val="num" w:pos="1134"/>
        </w:tabs>
        <w:ind w:left="1134" w:hanging="567"/>
      </w:pPr>
      <w:rPr>
        <w:rFonts w:ascii="Symbol" w:hAnsi="Symbol" w:hint="default"/>
      </w:rPr>
    </w:lvl>
  </w:abstractNum>
  <w:abstractNum w:abstractNumId="6" w15:restartNumberingAfterBreak="0">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7" w15:restartNumberingAfterBreak="0">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7A94842"/>
    <w:multiLevelType w:val="multilevel"/>
    <w:tmpl w:val="AF12CA62"/>
    <w:lvl w:ilvl="0">
      <w:start w:val="1"/>
      <w:numFmt w:val="decimal"/>
      <w:lvlRestart w:val="0"/>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0" w15:restartNumberingAfterBreak="0">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1" w15:restartNumberingAfterBreak="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2" w15:restartNumberingAfterBreak="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3" w15:restartNumberingAfterBreak="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4" w15:restartNumberingAfterBreak="0">
    <w:nsid w:val="44830AE8"/>
    <w:multiLevelType w:val="singleLevel"/>
    <w:tmpl w:val="C694AB9E"/>
    <w:lvl w:ilvl="0">
      <w:start w:val="1"/>
      <w:numFmt w:val="bullet"/>
      <w:lvlRestart w:val="0"/>
      <w:lvlText w:val=""/>
      <w:lvlJc w:val="left"/>
      <w:pPr>
        <w:tabs>
          <w:tab w:val="num" w:pos="567"/>
        </w:tabs>
        <w:ind w:left="567" w:hanging="567"/>
      </w:pPr>
      <w:rPr>
        <w:rFonts w:ascii="Symbol" w:hAnsi="Symbol" w:hint="default"/>
      </w:rPr>
    </w:lvl>
  </w:abstractNum>
  <w:abstractNum w:abstractNumId="15" w15:restartNumberingAfterBreak="0">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15:restartNumberingAfterBreak="0">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7" w15:restartNumberingAfterBreak="0">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9" w15:restartNumberingAfterBreak="0">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21" w15:restartNumberingAfterBreak="0">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2" w15:restartNumberingAfterBreak="0">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3" w15:restartNumberingAfterBreak="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4" w15:restartNumberingAfterBreak="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20"/>
  </w:num>
  <w:num w:numId="2">
    <w:abstractNumId w:val="15"/>
  </w:num>
  <w:num w:numId="3">
    <w:abstractNumId w:val="13"/>
  </w:num>
  <w:num w:numId="4">
    <w:abstractNumId w:val="16"/>
  </w:num>
  <w:num w:numId="5">
    <w:abstractNumId w:val="11"/>
  </w:num>
  <w:num w:numId="6">
    <w:abstractNumId w:val="3"/>
  </w:num>
  <w:num w:numId="7">
    <w:abstractNumId w:val="10"/>
  </w:num>
  <w:num w:numId="8">
    <w:abstractNumId w:val="9"/>
  </w:num>
  <w:num w:numId="9">
    <w:abstractNumId w:val="6"/>
  </w:num>
  <w:num w:numId="10">
    <w:abstractNumId w:val="22"/>
  </w:num>
  <w:num w:numId="11">
    <w:abstractNumId w:val="23"/>
  </w:num>
  <w:num w:numId="12">
    <w:abstractNumId w:val="2"/>
  </w:num>
  <w:num w:numId="13">
    <w:abstractNumId w:val="25"/>
  </w:num>
  <w:num w:numId="14">
    <w:abstractNumId w:val="21"/>
  </w:num>
  <w:num w:numId="15">
    <w:abstractNumId w:val="18"/>
  </w:num>
  <w:num w:numId="16">
    <w:abstractNumId w:val="12"/>
  </w:num>
  <w:num w:numId="17">
    <w:abstractNumId w:val="19"/>
  </w:num>
  <w:num w:numId="18">
    <w:abstractNumId w:val="4"/>
  </w:num>
  <w:num w:numId="19">
    <w:abstractNumId w:val="24"/>
  </w:num>
  <w:num w:numId="20">
    <w:abstractNumId w:val="7"/>
  </w:num>
  <w:num w:numId="21">
    <w:abstractNumId w:val="1"/>
  </w:num>
  <w:num w:numId="22">
    <w:abstractNumId w:val="14"/>
  </w:num>
  <w:num w:numId="23">
    <w:abstractNumId w:val="5"/>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10&quot; technicalblockguid=&quot;535102800399839019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3-19&lt;/text&gt;_x000d__x000a_  &lt;/metadata&gt;_x000d__x000a_  &lt;metadata key=&quot;md_Prefix&quot;&gt;_x000d__x000a_    &lt;text&gt;&lt;/text&gt;_x000d__x000a_  &lt;/metadata&gt;_x000d__x000a_  &lt;metadata key=&quot;md_DocumentNumber&quot;&gt;_x000d__x000a_    &lt;text&gt;7500&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2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port to the European Parliament and national Parliaments on the proceedings of the Standing Committee on operational cooperation on internal security (COSI) for the period July 2017 - December 2018&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Report to the European Parliament and national Parliaments on the proceedings of the Standing Committee on operational cooperation on internal security (COSI) for the period July 2017 - December 2018&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xmlns=&quot;http://schemas.microsoft.com/winfx/2006/xaml/presentation&quot;&amp;gt;&amp;lt;Paragraph&amp;gt;&amp;lt;/Paragraph&amp;gt;&amp;lt;/FlowDocument&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F92EFD"/>
    <w:rsid w:val="00096B04"/>
    <w:rsid w:val="00130CD9"/>
    <w:rsid w:val="00182F2F"/>
    <w:rsid w:val="002345D5"/>
    <w:rsid w:val="00356F5F"/>
    <w:rsid w:val="003D33B0"/>
    <w:rsid w:val="00414945"/>
    <w:rsid w:val="004A5CE6"/>
    <w:rsid w:val="00625999"/>
    <w:rsid w:val="006351BB"/>
    <w:rsid w:val="007161AD"/>
    <w:rsid w:val="00840D29"/>
    <w:rsid w:val="00901450"/>
    <w:rsid w:val="009B07D1"/>
    <w:rsid w:val="00A30641"/>
    <w:rsid w:val="00A93207"/>
    <w:rsid w:val="00AF3113"/>
    <w:rsid w:val="00B54F86"/>
    <w:rsid w:val="00B90B81"/>
    <w:rsid w:val="00B90EBA"/>
    <w:rsid w:val="00BA550B"/>
    <w:rsid w:val="00BE6E3D"/>
    <w:rsid w:val="00CD26D8"/>
    <w:rsid w:val="00D13316"/>
    <w:rsid w:val="00DC5EF5"/>
    <w:rsid w:val="00E5767B"/>
    <w:rsid w:val="00E80814"/>
    <w:rsid w:val="00F86DEA"/>
    <w:rsid w:val="00F92EFD"/>
    <w:rsid w:val="00FC1016"/>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0ED1BA0-83A5-42F8-8277-732CC469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Normal"/>
    <w:link w:val="Heading1Char"/>
    <w:uiPriority w:val="9"/>
    <w:qFormat/>
    <w:rsid w:val="00BA550B"/>
    <w:pPr>
      <w:keepNext/>
      <w:keepLines/>
      <w:spacing w:before="240" w:after="0"/>
      <w:outlineLvl w:val="0"/>
    </w:pPr>
    <w:rPr>
      <w:rFonts w:asciiTheme="majorHAnsi" w:eastAsiaTheme="majorEastAsia" w:hAnsiTheme="majorHAnsi" w:cstheme="majorBidi"/>
      <w:color w:val="365F91" w:themeColor="accent1" w:themeShade="BF"/>
      <w:sz w:val="32"/>
      <w:szCs w:val="32"/>
      <w:lang w:val="en-IE"/>
    </w:rPr>
  </w:style>
  <w:style w:type="paragraph" w:styleId="Heading2">
    <w:name w:val="heading 2"/>
    <w:basedOn w:val="Normal"/>
    <w:next w:val="Normal"/>
    <w:link w:val="Heading2Char"/>
    <w:uiPriority w:val="9"/>
    <w:unhideWhenUsed/>
    <w:qFormat/>
    <w:rsid w:val="00BA550B"/>
    <w:pPr>
      <w:keepNext/>
      <w:keepLines/>
      <w:spacing w:before="40" w:after="0"/>
      <w:outlineLvl w:val="1"/>
    </w:pPr>
    <w:rPr>
      <w:rFonts w:asciiTheme="majorHAnsi" w:eastAsiaTheme="majorEastAsia" w:hAnsiTheme="majorHAnsi" w:cstheme="majorBidi"/>
      <w:color w:val="365F91" w:themeColor="accent1" w:themeShade="BF"/>
      <w:sz w:val="26"/>
      <w:szCs w:val="26"/>
      <w:lang w:val="en-IE"/>
    </w:rPr>
  </w:style>
  <w:style w:type="paragraph" w:styleId="Heading3">
    <w:name w:val="heading 3"/>
    <w:basedOn w:val="Normal"/>
    <w:next w:val="Normal"/>
    <w:link w:val="Heading3Char"/>
    <w:uiPriority w:val="9"/>
    <w:unhideWhenUsed/>
    <w:qFormat/>
    <w:rsid w:val="00BA550B"/>
    <w:pPr>
      <w:keepNext/>
      <w:keepLines/>
      <w:spacing w:before="40" w:after="0"/>
      <w:outlineLvl w:val="2"/>
    </w:pPr>
    <w:rPr>
      <w:rFonts w:asciiTheme="majorHAnsi" w:eastAsiaTheme="majorEastAsia" w:hAnsiTheme="majorHAnsi" w:cstheme="majorBidi"/>
      <w:color w:val="243F60" w:themeColor="accent1" w:themeShade="7F"/>
      <w:lang w:val="en-IE"/>
    </w:rPr>
  </w:style>
  <w:style w:type="paragraph" w:styleId="Heading4">
    <w:name w:val="heading 4"/>
    <w:basedOn w:val="Normal"/>
    <w:next w:val="Normal"/>
    <w:link w:val="Heading4Char"/>
    <w:uiPriority w:val="9"/>
    <w:unhideWhenUsed/>
    <w:qFormat/>
    <w:rsid w:val="00BA550B"/>
    <w:pPr>
      <w:keepNext/>
      <w:keepLines/>
      <w:spacing w:before="40" w:after="0"/>
      <w:outlineLvl w:val="3"/>
    </w:pPr>
    <w:rPr>
      <w:rFonts w:asciiTheme="majorHAnsi" w:eastAsiaTheme="majorEastAsia" w:hAnsiTheme="majorHAnsi" w:cstheme="majorBidi"/>
      <w:i/>
      <w:iCs/>
      <w:color w:val="365F91" w:themeColor="accent1" w:themeShade="BF"/>
      <w:szCs w:val="22"/>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50B"/>
    <w:rPr>
      <w:rFonts w:asciiTheme="majorHAnsi" w:eastAsiaTheme="majorEastAsia" w:hAnsiTheme="majorHAnsi" w:cstheme="majorBidi"/>
      <w:color w:val="365F91" w:themeColor="accent1" w:themeShade="BF"/>
      <w:sz w:val="32"/>
      <w:szCs w:val="32"/>
      <w:lang w:val="en-IE" w:eastAsia="en-US"/>
    </w:rPr>
  </w:style>
  <w:style w:type="character" w:customStyle="1" w:styleId="Heading2Char">
    <w:name w:val="Heading 2 Char"/>
    <w:basedOn w:val="DefaultParagraphFont"/>
    <w:link w:val="Heading2"/>
    <w:uiPriority w:val="9"/>
    <w:rsid w:val="00BA550B"/>
    <w:rPr>
      <w:rFonts w:asciiTheme="majorHAnsi" w:eastAsiaTheme="majorEastAsia" w:hAnsiTheme="majorHAnsi" w:cstheme="majorBidi"/>
      <w:color w:val="365F91" w:themeColor="accent1" w:themeShade="BF"/>
      <w:sz w:val="26"/>
      <w:szCs w:val="26"/>
      <w:lang w:val="en-IE" w:eastAsia="en-US"/>
    </w:rPr>
  </w:style>
  <w:style w:type="character" w:customStyle="1" w:styleId="Heading3Char">
    <w:name w:val="Heading 3 Char"/>
    <w:basedOn w:val="DefaultParagraphFont"/>
    <w:link w:val="Heading3"/>
    <w:uiPriority w:val="9"/>
    <w:rsid w:val="00BA550B"/>
    <w:rPr>
      <w:rFonts w:asciiTheme="majorHAnsi" w:eastAsiaTheme="majorEastAsia" w:hAnsiTheme="majorHAnsi" w:cstheme="majorBidi"/>
      <w:color w:val="243F60" w:themeColor="accent1" w:themeShade="7F"/>
      <w:sz w:val="24"/>
      <w:szCs w:val="24"/>
      <w:lang w:val="en-IE" w:eastAsia="en-US"/>
    </w:rPr>
  </w:style>
  <w:style w:type="character" w:customStyle="1" w:styleId="Heading4Char">
    <w:name w:val="Heading 4 Char"/>
    <w:basedOn w:val="DefaultParagraphFont"/>
    <w:link w:val="Heading4"/>
    <w:uiPriority w:val="9"/>
    <w:rsid w:val="00BA550B"/>
    <w:rPr>
      <w:rFonts w:asciiTheme="majorHAnsi" w:eastAsiaTheme="majorEastAsia" w:hAnsiTheme="majorHAnsi" w:cstheme="majorBidi"/>
      <w:i/>
      <w:iCs/>
      <w:color w:val="365F91" w:themeColor="accent1" w:themeShade="BF"/>
      <w:sz w:val="24"/>
      <w:szCs w:val="22"/>
      <w:lang w:val="en-IE" w:eastAsia="en-US"/>
    </w:rPr>
  </w:style>
  <w:style w:type="paragraph" w:styleId="Header">
    <w:name w:val="header"/>
    <w:basedOn w:val="Normal"/>
    <w:link w:val="HeaderChar"/>
    <w:uiPriority w:val="99"/>
    <w:rsid w:val="00F86DEA"/>
    <w:pPr>
      <w:tabs>
        <w:tab w:val="right" w:pos="9638"/>
      </w:tabs>
    </w:pPr>
  </w:style>
  <w:style w:type="character" w:customStyle="1" w:styleId="HeaderChar">
    <w:name w:val="Header Char"/>
    <w:basedOn w:val="DefaultParagraphFont"/>
    <w:link w:val="Header"/>
    <w:uiPriority w:val="99"/>
    <w:rsid w:val="00BA550B"/>
    <w:rPr>
      <w:sz w:val="24"/>
      <w:szCs w:val="24"/>
      <w:lang w:val="en-GB" w:eastAsia="en-US"/>
    </w:rPr>
  </w:style>
  <w:style w:type="paragraph" w:styleId="Footer">
    <w:name w:val="footer"/>
    <w:basedOn w:val="Normal"/>
    <w:link w:val="FooterChar"/>
    <w:uiPriority w:val="99"/>
    <w:rsid w:val="00F86DEA"/>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A550B"/>
    <w:rPr>
      <w:sz w:val="24"/>
      <w:szCs w:val="24"/>
      <w:lang w:val="en-GB" w:eastAsia="en-US"/>
    </w:rPr>
  </w:style>
  <w:style w:type="paragraph" w:styleId="FootnoteText">
    <w:name w:val="footnote text"/>
    <w:aliases w:val="Footnote,Schriftart: 9 pt,Schriftart: 10 pt,Schriftart: 8 pt,WB-Fußnotentext,Fußnote,Footnote Text Char Char,Footnote Text Char1 Char Char1,Footnote Text Char Char Char Char,Footnote Text Char1 Char Char Char Char,stile 1,Fußno,Reference"/>
    <w:basedOn w:val="Normal"/>
    <w:link w:val="FootnoteTextChar"/>
    <w:uiPriority w:val="99"/>
    <w:qFormat/>
    <w:rsid w:val="00F86DEA"/>
    <w:pPr>
      <w:spacing w:before="0" w:after="0" w:line="240" w:lineRule="auto"/>
      <w:ind w:left="720" w:hanging="720"/>
    </w:pPr>
    <w:rPr>
      <w:szCs w:val="20"/>
    </w:rPr>
  </w:style>
  <w:style w:type="character" w:customStyle="1" w:styleId="FootnoteTextChar">
    <w:name w:val="Footnote Text Char"/>
    <w:aliases w:val="Footnote Char,Schriftart: 9 pt Char,Schriftart: 10 pt Char,Schriftart: 8 pt Char,WB-Fußnotentext Char,Fußnote Char,Footnote Text Char Char Char,Footnote Text Char1 Char Char1 Char,Footnote Text Char Char Char Char Char,stile 1 Char"/>
    <w:basedOn w:val="DefaultParagraphFont"/>
    <w:link w:val="FootnoteText"/>
    <w:uiPriority w:val="99"/>
    <w:qFormat/>
    <w:rsid w:val="00840D29"/>
    <w:rPr>
      <w:sz w:val="24"/>
      <w:lang w:val="en-GB" w:eastAsia="en-US"/>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aliases w:val="Footnote Reference Superscript,BVI fnr,Footnote symbol,Footnote symboFußnotenzeichen,Footnote sign,Footnote Reference text,stylish,Footnote Reference/,Odwołanie przypisu,Times 10 Point,Exposant 3 Point,footnote ref,Footnote Refernece"/>
    <w:link w:val="BVIfnrZnak"/>
    <w:uiPriority w:val="99"/>
    <w:qFormat/>
    <w:rsid w:val="00F86DEA"/>
    <w:rPr>
      <w:b/>
      <w:shd w:val="clear" w:color="auto" w:fill="auto"/>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BA550B"/>
    <w:pPr>
      <w:spacing w:before="0" w:after="160" w:line="240" w:lineRule="exact"/>
    </w:pPr>
    <w:rPr>
      <w:b/>
      <w:sz w:val="20"/>
      <w:szCs w:val="20"/>
      <w:vertAlign w:val="superscript"/>
      <w:lang w:val="de-DE" w:eastAsia="de-DE"/>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CD26D8"/>
    <w:pPr>
      <w:spacing w:before="0" w:after="240" w:line="240" w:lineRule="auto"/>
      <w:jc w:val="center"/>
    </w:pPr>
    <w:rPr>
      <w:rFonts w:eastAsiaTheme="minorHAnsi"/>
      <w:szCs w:val="22"/>
    </w:rPr>
  </w:style>
  <w:style w:type="character" w:customStyle="1" w:styleId="TechnicalBlockChar">
    <w:name w:val="Technical Block Char"/>
    <w:basedOn w:val="DefaultParagraphFont"/>
    <w:link w:val="TechnicalBlock"/>
    <w:rsid w:val="00F92EFD"/>
    <w:rPr>
      <w:rFonts w:eastAsiaTheme="minorHAnsi"/>
      <w:sz w:val="24"/>
      <w:szCs w:val="22"/>
      <w:lang w:val="en-GB" w:eastAsia="en-US"/>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F92EFD"/>
    <w:pPr>
      <w:spacing w:before="0" w:after="440"/>
      <w:ind w:left="-1134" w:right="-1134"/>
    </w:pPr>
    <w:rPr>
      <w:rFonts w:eastAsiaTheme="minorHAnsi"/>
      <w:sz w:val="2"/>
    </w:rPr>
  </w:style>
  <w:style w:type="character" w:customStyle="1" w:styleId="HeaderCouncilLargeChar">
    <w:name w:val="Header Council Large Char"/>
    <w:basedOn w:val="TechnicalBlockChar"/>
    <w:link w:val="HeaderCouncilLarge"/>
    <w:rsid w:val="00F92EFD"/>
    <w:rPr>
      <w:rFonts w:eastAsiaTheme="minorHAnsi"/>
      <w:sz w:val="2"/>
      <w:szCs w:val="24"/>
      <w:lang w:val="en-GB" w:eastAsia="en-US"/>
    </w:rPr>
  </w:style>
  <w:style w:type="paragraph" w:customStyle="1" w:styleId="FooterText">
    <w:name w:val="Footer Text"/>
    <w:basedOn w:val="Normal"/>
    <w:rsid w:val="00F92EFD"/>
    <w:pPr>
      <w:spacing w:before="0" w:after="0" w:line="240" w:lineRule="auto"/>
    </w:pPr>
  </w:style>
  <w:style w:type="paragraph" w:customStyle="1" w:styleId="EntRefer">
    <w:name w:val="EntRefer"/>
    <w:basedOn w:val="Normal"/>
    <w:rsid w:val="00840D29"/>
    <w:pPr>
      <w:widowControl w:val="0"/>
      <w:spacing w:before="0" w:after="0" w:line="240" w:lineRule="auto"/>
    </w:pPr>
    <w:rPr>
      <w:b/>
      <w:szCs w:val="20"/>
      <w:lang w:eastAsia="fr-BE"/>
    </w:rPr>
  </w:style>
  <w:style w:type="paragraph" w:customStyle="1" w:styleId="ZchnZchn">
    <w:name w:val="Zchn Zchn"/>
    <w:basedOn w:val="Normal"/>
    <w:rsid w:val="00840D29"/>
    <w:pPr>
      <w:spacing w:before="0" w:after="0" w:line="240" w:lineRule="auto"/>
    </w:pPr>
    <w:rPr>
      <w:lang w:val="pl-PL" w:eastAsia="pl-PL"/>
    </w:rPr>
  </w:style>
  <w:style w:type="paragraph" w:customStyle="1" w:styleId="NormalConseil">
    <w:name w:val="NormalConseil"/>
    <w:basedOn w:val="Normal"/>
    <w:rsid w:val="00840D29"/>
    <w:pPr>
      <w:spacing w:before="0" w:after="0" w:line="240" w:lineRule="auto"/>
    </w:pPr>
    <w:rPr>
      <w:szCs w:val="20"/>
      <w:lang w:eastAsia="fr-BE"/>
    </w:rPr>
  </w:style>
  <w:style w:type="paragraph" w:styleId="BalloonText">
    <w:name w:val="Balloon Text"/>
    <w:basedOn w:val="Normal"/>
    <w:link w:val="BalloonTextChar"/>
    <w:uiPriority w:val="99"/>
    <w:semiHidden/>
    <w:unhideWhenUsed/>
    <w:rsid w:val="00840D29"/>
    <w:pPr>
      <w:spacing w:before="0"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840D29"/>
    <w:rPr>
      <w:rFonts w:ascii="Tahoma" w:hAnsi="Tahoma"/>
      <w:sz w:val="16"/>
      <w:szCs w:val="16"/>
      <w:lang w:val="x-none" w:eastAsia="en-US"/>
    </w:rPr>
  </w:style>
  <w:style w:type="character" w:styleId="CommentReference">
    <w:name w:val="annotation reference"/>
    <w:uiPriority w:val="99"/>
    <w:semiHidden/>
    <w:unhideWhenUsed/>
    <w:rsid w:val="00840D29"/>
    <w:rPr>
      <w:sz w:val="16"/>
      <w:szCs w:val="16"/>
    </w:rPr>
  </w:style>
  <w:style w:type="paragraph" w:styleId="CommentText">
    <w:name w:val="annotation text"/>
    <w:basedOn w:val="Normal"/>
    <w:link w:val="CommentTextChar"/>
    <w:uiPriority w:val="99"/>
    <w:unhideWhenUsed/>
    <w:rsid w:val="00840D29"/>
    <w:rPr>
      <w:sz w:val="20"/>
      <w:szCs w:val="20"/>
      <w:lang w:eastAsia="x-none"/>
    </w:rPr>
  </w:style>
  <w:style w:type="character" w:customStyle="1" w:styleId="CommentTextChar">
    <w:name w:val="Comment Text Char"/>
    <w:basedOn w:val="DefaultParagraphFont"/>
    <w:link w:val="CommentText"/>
    <w:uiPriority w:val="99"/>
    <w:rsid w:val="00840D29"/>
    <w:rPr>
      <w:lang w:val="en-GB" w:eastAsia="x-none"/>
    </w:rPr>
  </w:style>
  <w:style w:type="paragraph" w:styleId="CommentSubject">
    <w:name w:val="annotation subject"/>
    <w:basedOn w:val="CommentText"/>
    <w:next w:val="CommentText"/>
    <w:link w:val="CommentSubjectChar"/>
    <w:uiPriority w:val="99"/>
    <w:semiHidden/>
    <w:unhideWhenUsed/>
    <w:rsid w:val="00840D29"/>
    <w:rPr>
      <w:b/>
      <w:bCs/>
    </w:rPr>
  </w:style>
  <w:style w:type="character" w:customStyle="1" w:styleId="CommentSubjectChar">
    <w:name w:val="Comment Subject Char"/>
    <w:basedOn w:val="CommentTextChar"/>
    <w:link w:val="CommentSubject"/>
    <w:uiPriority w:val="99"/>
    <w:semiHidden/>
    <w:rsid w:val="00840D29"/>
    <w:rPr>
      <w:b/>
      <w:bCs/>
      <w:lang w:val="en-GB" w:eastAsia="x-none"/>
    </w:rPr>
  </w:style>
  <w:style w:type="paragraph" w:styleId="ListParagraph">
    <w:name w:val="List Paragraph"/>
    <w:basedOn w:val="Normal"/>
    <w:uiPriority w:val="34"/>
    <w:qFormat/>
    <w:rsid w:val="00840D29"/>
    <w:pPr>
      <w:spacing w:before="0" w:after="0"/>
      <w:ind w:left="720"/>
    </w:pPr>
    <w:rPr>
      <w:rFonts w:cs="Arial"/>
      <w:szCs w:val="22"/>
      <w:lang w:val="en-US"/>
    </w:rPr>
  </w:style>
  <w:style w:type="character" w:styleId="PlaceholderText">
    <w:name w:val="Placeholder Text"/>
    <w:basedOn w:val="DefaultParagraphFont"/>
    <w:uiPriority w:val="99"/>
    <w:semiHidden/>
    <w:rsid w:val="00B90EBA"/>
    <w:rPr>
      <w:color w:val="808080"/>
    </w:rPr>
  </w:style>
  <w:style w:type="character" w:styleId="Hyperlink">
    <w:name w:val="Hyperlink"/>
    <w:basedOn w:val="DefaultParagraphFont"/>
    <w:uiPriority w:val="99"/>
    <w:unhideWhenUsed/>
    <w:rsid w:val="00BA550B"/>
    <w:rPr>
      <w:color w:val="0000FF" w:themeColor="hyperlink"/>
      <w:u w:val="single"/>
    </w:rPr>
  </w:style>
  <w:style w:type="character" w:styleId="FollowedHyperlink">
    <w:name w:val="FollowedHyperlink"/>
    <w:basedOn w:val="DefaultParagraphFont"/>
    <w:uiPriority w:val="99"/>
    <w:semiHidden/>
    <w:unhideWhenUsed/>
    <w:rsid w:val="00BA550B"/>
    <w:rPr>
      <w:color w:val="800080" w:themeColor="followedHyperlink"/>
      <w:u w:val="single"/>
    </w:rPr>
  </w:style>
  <w:style w:type="character" w:customStyle="1" w:styleId="EndnoteTextChar">
    <w:name w:val="Endnote Text Char"/>
    <w:basedOn w:val="DefaultParagraphFont"/>
    <w:link w:val="EndnoteText"/>
    <w:uiPriority w:val="99"/>
    <w:semiHidden/>
    <w:rsid w:val="00BA550B"/>
    <w:rPr>
      <w:rFonts w:eastAsiaTheme="minorHAnsi"/>
      <w:lang w:val="en-GB" w:eastAsia="en-US"/>
    </w:rPr>
  </w:style>
  <w:style w:type="paragraph" w:styleId="EndnoteText">
    <w:name w:val="endnote text"/>
    <w:basedOn w:val="Normal"/>
    <w:link w:val="EndnoteTextChar"/>
    <w:uiPriority w:val="99"/>
    <w:semiHidden/>
    <w:unhideWhenUsed/>
    <w:rsid w:val="00BA550B"/>
    <w:pPr>
      <w:spacing w:before="0" w:after="0" w:line="240" w:lineRule="auto"/>
    </w:pPr>
    <w:rPr>
      <w:rFonts w:eastAsiaTheme="minorHAnsi"/>
      <w:sz w:val="20"/>
      <w:szCs w:val="20"/>
    </w:rPr>
  </w:style>
  <w:style w:type="character" w:customStyle="1" w:styleId="Title2Char">
    <w:name w:val="Title 2 Char"/>
    <w:basedOn w:val="DefaultParagraphFont"/>
    <w:link w:val="Title2"/>
    <w:locked/>
    <w:rsid w:val="00BA550B"/>
    <w:rPr>
      <w:rFonts w:asciiTheme="majorHAnsi" w:eastAsia="Georgia" w:hAnsiTheme="majorHAnsi" w:cs="Georgia"/>
      <w:i/>
      <w:color w:val="666666"/>
      <w:spacing w:val="15"/>
      <w:sz w:val="36"/>
      <w:szCs w:val="48"/>
    </w:rPr>
  </w:style>
  <w:style w:type="paragraph" w:customStyle="1" w:styleId="Title2">
    <w:name w:val="Title 2"/>
    <w:basedOn w:val="Subtitle"/>
    <w:link w:val="Title2Char"/>
    <w:qFormat/>
    <w:rsid w:val="00BA550B"/>
    <w:pPr>
      <w:keepNext/>
      <w:keepLines/>
      <w:numPr>
        <w:ilvl w:val="0"/>
      </w:numPr>
      <w:spacing w:before="360" w:after="80" w:line="256" w:lineRule="auto"/>
    </w:pPr>
    <w:rPr>
      <w:rFonts w:asciiTheme="majorHAnsi" w:eastAsia="Georgia" w:hAnsiTheme="majorHAnsi" w:cs="Georgia"/>
      <w:i/>
      <w:color w:val="666666"/>
      <w:sz w:val="36"/>
      <w:szCs w:val="48"/>
      <w:lang w:val="de-DE" w:eastAsia="de-DE"/>
    </w:rPr>
  </w:style>
  <w:style w:type="paragraph" w:styleId="Subtitle">
    <w:name w:val="Subtitle"/>
    <w:basedOn w:val="Normal"/>
    <w:next w:val="Normal"/>
    <w:link w:val="SubtitleChar"/>
    <w:uiPriority w:val="11"/>
    <w:qFormat/>
    <w:rsid w:val="00BA550B"/>
    <w:pPr>
      <w:numPr>
        <w:ilvl w:val="1"/>
      </w:numPr>
      <w:spacing w:before="0" w:after="160"/>
    </w:pPr>
    <w:rPr>
      <w:rFonts w:asciiTheme="minorHAnsi" w:eastAsiaTheme="minorEastAsia" w:hAnsiTheme="minorHAnsi" w:cstheme="minorBidi"/>
      <w:color w:val="5A5A5A" w:themeColor="text1" w:themeTint="A5"/>
      <w:spacing w:val="15"/>
      <w:sz w:val="22"/>
      <w:szCs w:val="22"/>
      <w:lang w:val="en-IE"/>
    </w:rPr>
  </w:style>
  <w:style w:type="character" w:customStyle="1" w:styleId="SubtitleChar">
    <w:name w:val="Subtitle Char"/>
    <w:basedOn w:val="DefaultParagraphFont"/>
    <w:link w:val="Subtitle"/>
    <w:uiPriority w:val="11"/>
    <w:rsid w:val="00BA550B"/>
    <w:rPr>
      <w:rFonts w:asciiTheme="minorHAnsi" w:eastAsiaTheme="minorEastAsia" w:hAnsiTheme="minorHAnsi" w:cstheme="minorBidi"/>
      <w:color w:val="5A5A5A" w:themeColor="text1" w:themeTint="A5"/>
      <w:spacing w:val="15"/>
      <w:sz w:val="22"/>
      <w:szCs w:val="22"/>
      <w:lang w:val="en-IE" w:eastAsia="en-US"/>
    </w:rPr>
  </w:style>
  <w:style w:type="paragraph" w:styleId="TOCHeading">
    <w:name w:val="TOC Heading"/>
    <w:basedOn w:val="Heading1"/>
    <w:next w:val="Normal"/>
    <w:uiPriority w:val="39"/>
    <w:unhideWhenUsed/>
    <w:qFormat/>
    <w:rsid w:val="00BA550B"/>
    <w:pPr>
      <w:spacing w:line="259" w:lineRule="auto"/>
      <w:outlineLvl w:val="9"/>
    </w:pPr>
    <w:rPr>
      <w:lang w:val="en-US"/>
    </w:rPr>
  </w:style>
  <w:style w:type="paragraph" w:customStyle="1" w:styleId="Par-bullet">
    <w:name w:val="Par-bullet"/>
    <w:basedOn w:val="Normal"/>
    <w:next w:val="Normal"/>
    <w:rsid w:val="00BA550B"/>
    <w:pPr>
      <w:widowControl w:val="0"/>
      <w:tabs>
        <w:tab w:val="num" w:pos="3119"/>
      </w:tabs>
      <w:spacing w:before="0" w:after="0"/>
      <w:ind w:left="3119" w:hanging="567"/>
    </w:pPr>
    <w:rPr>
      <w:rFonts w:ascii="Arial" w:hAnsi="Arial" w:cs="Arial"/>
      <w:sz w:val="28"/>
      <w:szCs w:val="22"/>
      <w:lang w:eastAsia="fr-BE"/>
    </w:rPr>
  </w:style>
  <w:style w:type="paragraph" w:styleId="NormalWeb">
    <w:name w:val="Normal (Web)"/>
    <w:basedOn w:val="Normal"/>
    <w:uiPriority w:val="99"/>
    <w:unhideWhenUsed/>
    <w:rsid w:val="00BA550B"/>
    <w:pPr>
      <w:spacing w:before="100" w:beforeAutospacing="1" w:after="100" w:afterAutospacing="1" w:line="240" w:lineRule="auto"/>
    </w:pPr>
    <w:rPr>
      <w:rFonts w:eastAsiaTheme="minorHAnsi"/>
      <w:lang w:eastAsia="en-GB"/>
    </w:rPr>
  </w:style>
  <w:style w:type="paragraph" w:styleId="TOC1">
    <w:name w:val="toc 1"/>
    <w:basedOn w:val="Normal"/>
    <w:next w:val="Normal"/>
    <w:autoRedefine/>
    <w:uiPriority w:val="39"/>
    <w:unhideWhenUsed/>
    <w:rsid w:val="00BA550B"/>
    <w:pPr>
      <w:tabs>
        <w:tab w:val="left" w:pos="567"/>
        <w:tab w:val="right" w:leader="dot" w:pos="9629"/>
      </w:tabs>
      <w:spacing w:before="0" w:after="100"/>
      <w:ind w:left="567" w:hanging="567"/>
    </w:pPr>
    <w:rPr>
      <w:rFonts w:eastAsiaTheme="minorHAnsi" w:cstheme="minorBidi"/>
      <w:szCs w:val="22"/>
      <w:lang w:val="en-IE"/>
    </w:rPr>
  </w:style>
  <w:style w:type="paragraph" w:styleId="TOC2">
    <w:name w:val="toc 2"/>
    <w:basedOn w:val="Normal"/>
    <w:next w:val="Normal"/>
    <w:autoRedefine/>
    <w:uiPriority w:val="39"/>
    <w:unhideWhenUsed/>
    <w:rsid w:val="00BA550B"/>
    <w:pPr>
      <w:tabs>
        <w:tab w:val="left" w:pos="880"/>
        <w:tab w:val="right" w:leader="dot" w:pos="9629"/>
      </w:tabs>
      <w:spacing w:before="0" w:after="100"/>
      <w:ind w:left="1134" w:hanging="567"/>
    </w:pPr>
    <w:rPr>
      <w:rFonts w:asciiTheme="majorBidi" w:eastAsiaTheme="minorHAnsi" w:hAnsiTheme="majorBidi" w:cstheme="minorBidi"/>
      <w:szCs w:val="22"/>
    </w:rPr>
  </w:style>
  <w:style w:type="paragraph" w:styleId="TOC3">
    <w:name w:val="toc 3"/>
    <w:basedOn w:val="Normal"/>
    <w:next w:val="Normal"/>
    <w:autoRedefine/>
    <w:uiPriority w:val="39"/>
    <w:unhideWhenUsed/>
    <w:rsid w:val="00BA550B"/>
    <w:pPr>
      <w:tabs>
        <w:tab w:val="left" w:pos="1100"/>
        <w:tab w:val="right" w:leader="dot" w:pos="9629"/>
      </w:tabs>
      <w:spacing w:before="0" w:after="100"/>
      <w:ind w:left="480" w:firstLine="87"/>
    </w:pPr>
    <w:rPr>
      <w:rFonts w:asciiTheme="majorBidi" w:eastAsiaTheme="minorHAnsi" w:hAnsiTheme="majorBidi" w:cstheme="minorBidi"/>
      <w:szCs w:val="22"/>
      <w:lang w:eastAsia="fr-BE"/>
    </w:rPr>
  </w:style>
  <w:style w:type="table" w:styleId="TableGrid">
    <w:name w:val="Table Grid"/>
    <w:basedOn w:val="TableNormal"/>
    <w:uiPriority w:val="59"/>
    <w:rsid w:val="00BA550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olicies/eu-fight-against-organised-crime-2018-2021/" TargetMode="External"/><Relationship Id="rId2" Type="http://schemas.openxmlformats.org/officeDocument/2006/relationships/hyperlink" Target="https://www.consilium.europa.eu/en/policies/eu-fight-against-organised-crime-2018-2021/" TargetMode="External"/><Relationship Id="rId1" Type="http://schemas.openxmlformats.org/officeDocument/2006/relationships/hyperlink" Target="https://www.consilium.europa.eu/register/en/content/out?typ=SET&amp;i=ADV&amp;RESULTSET=1&amp;DOC_TITLE=&amp;CONTENTS=&amp;DOC_ID=6818%2F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8"/>
    <w:rsid w:val="008D220C"/>
    <w:rsid w:val="00DE63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20C"/>
    <w:rPr>
      <w:color w:val="808080"/>
    </w:rPr>
  </w:style>
  <w:style w:type="paragraph" w:customStyle="1" w:styleId="28BF09E1197B4E248DF23FA8420CC003">
    <w:name w:val="28BF09E1197B4E248DF23FA8420CC003"/>
    <w:rsid w:val="00DE6338"/>
  </w:style>
  <w:style w:type="paragraph" w:customStyle="1" w:styleId="01D7FB6FD8DD4E87B94AC594C48AE18A">
    <w:name w:val="01D7FB6FD8DD4E87B94AC594C48AE18A"/>
    <w:rsid w:val="00DE6338"/>
  </w:style>
  <w:style w:type="paragraph" w:customStyle="1" w:styleId="B2F05DC97BA04A5494F61B8A8F546B94">
    <w:name w:val="B2F05DC97BA04A5494F61B8A8F546B94"/>
    <w:rsid w:val="00DE6338"/>
  </w:style>
  <w:style w:type="paragraph" w:customStyle="1" w:styleId="6F6B01F4A7E843CF8080765896126071">
    <w:name w:val="6F6B01F4A7E843CF8080765896126071"/>
    <w:rsid w:val="00DE6338"/>
  </w:style>
  <w:style w:type="paragraph" w:customStyle="1" w:styleId="8B4D896CF2F64A82AD9E2FA08CBA140E">
    <w:name w:val="8B4D896CF2F64A82AD9E2FA08CBA140E"/>
    <w:rsid w:val="00DE6338"/>
  </w:style>
  <w:style w:type="paragraph" w:customStyle="1" w:styleId="42125106A6B343CFB63B35C1A7AF37EF">
    <w:name w:val="42125106A6B343CFB63B35C1A7AF37EF"/>
    <w:rsid w:val="00DE6338"/>
  </w:style>
  <w:style w:type="paragraph" w:customStyle="1" w:styleId="E212A05FDD174887AE3CD1834AA5A94A">
    <w:name w:val="E212A05FDD174887AE3CD1834AA5A94A"/>
    <w:rsid w:val="008D220C"/>
  </w:style>
  <w:style w:type="paragraph" w:customStyle="1" w:styleId="370D0DA91EA644FFB7CA392A25F4E648">
    <w:name w:val="370D0DA91EA644FFB7CA392A25F4E648"/>
    <w:rsid w:val="008D220C"/>
  </w:style>
  <w:style w:type="paragraph" w:customStyle="1" w:styleId="448A9C0638CF480EA9AF2A13DFF8C914">
    <w:name w:val="448A9C0638CF480EA9AF2A13DFF8C914"/>
    <w:rsid w:val="008D2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14</TotalTime>
  <Pages>32</Pages>
  <Words>7735</Words>
  <Characters>41850</Characters>
  <Application>Microsoft Office Word</Application>
  <DocSecurity>0</DocSecurity>
  <Lines>760</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5</cp:revision>
  <cp:lastPrinted>2019-03-13T16:01:00Z</cp:lastPrinted>
  <dcterms:created xsi:type="dcterms:W3CDTF">2019-03-13T15:54:00Z</dcterms:created>
  <dcterms:modified xsi:type="dcterms:W3CDTF">2019-03-19T11:12:00Z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4.2.10, Build 20190314</vt:lpwstr>
  </property>
</Properties>
</file>