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8C28CD7-6069-409E-85E7-52D925A42BCB" style="width:450.8pt;height:392.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Предмет на предложението</w:t>
      </w:r>
    </w:p>
    <w:p>
      <w:pPr>
        <w:rPr>
          <w:noProof/>
        </w:rPr>
      </w:pPr>
      <w:r>
        <w:rPr>
          <w:noProof/>
        </w:rPr>
        <w:t>Настоящото предложение се отнася за позицията, която трябва да се заеме от името на Съюза в рамките на Съвместния комитет, създаден по силата на Споразумението между Европейския съюз и Япония за икономическо партньорство, във връзка с предвиденото приемане на Процедурния правилник на Съвместния комитет, Процедурния правилник на специална група, Процедурата по медиация и Кодекса за поведение на арбитрите.</w:t>
      </w:r>
    </w:p>
    <w:p>
      <w:pPr>
        <w:pStyle w:val="ManualHeading1"/>
        <w:rPr>
          <w:noProof/>
        </w:rPr>
      </w:pPr>
      <w:r>
        <w:t>2.</w:t>
      </w:r>
      <w:r>
        <w:tab/>
      </w:r>
      <w:r>
        <w:rPr>
          <w:noProof/>
        </w:rPr>
        <w:t>Контекст на предложението</w:t>
      </w:r>
    </w:p>
    <w:p>
      <w:pPr>
        <w:pStyle w:val="ManualHeading2"/>
        <w:rPr>
          <w:noProof/>
        </w:rPr>
      </w:pPr>
      <w:r>
        <w:t>2.1.</w:t>
      </w:r>
      <w:r>
        <w:tab/>
      </w:r>
      <w:r>
        <w:rPr>
          <w:noProof/>
        </w:rPr>
        <w:t xml:space="preserve">Споразумение между Европейския съюз и Япония за икономическо партньорство </w:t>
      </w:r>
    </w:p>
    <w:p>
      <w:pPr>
        <w:rPr>
          <w:noProof/>
        </w:rPr>
      </w:pPr>
      <w:r>
        <w:rPr>
          <w:noProof/>
        </w:rPr>
        <w:t>Споразумението между Европейския съюз и Япония за икономическо партньорство (наричано по-долу „споразумението“) има за цел да либерализира и улесни търговията и инвестициите, както и да насърчи по-тесните икономически връзки между страните.</w:t>
      </w:r>
    </w:p>
    <w:p>
      <w:pPr>
        <w:rPr>
          <w:noProof/>
        </w:rPr>
      </w:pPr>
      <w:r>
        <w:rPr>
          <w:noProof/>
        </w:rPr>
        <w:t>Споразумението бе сключено от Съвета на Европейския съюз на 20 декември 2018 г. след одобрението му от Европейския парламент на 12 декември 2018 г. Споразумението влезе в сила на 1 февруари 2019 г.</w:t>
      </w:r>
    </w:p>
    <w:p>
      <w:pPr>
        <w:pStyle w:val="ManualHeading2"/>
        <w:rPr>
          <w:noProof/>
        </w:rPr>
      </w:pPr>
      <w:r>
        <w:t>2.2.</w:t>
      </w:r>
      <w:r>
        <w:tab/>
      </w:r>
      <w:r>
        <w:rPr>
          <w:noProof/>
        </w:rPr>
        <w:t>Съвместен комитет</w:t>
      </w:r>
    </w:p>
    <w:p>
      <w:pPr>
        <w:rPr>
          <w:noProof/>
        </w:rPr>
      </w:pPr>
      <w:r>
        <w:rPr>
          <w:noProof/>
        </w:rPr>
        <w:t xml:space="preserve">По силата на член 22.1, параграф 1 от споразумението се създава Съвместен комитет, съставен от представители на двете страни. Член 22.1, параграф 4 гласи, че за да гарантира надлежното и ефикасно действие на споразумението, „Съвместният комитет: </w:t>
      </w:r>
    </w:p>
    <w:p>
      <w:pPr>
        <w:pStyle w:val="Point0"/>
        <w:rPr>
          <w:noProof/>
        </w:rPr>
      </w:pPr>
      <w:r>
        <w:rPr>
          <w:noProof/>
        </w:rPr>
        <w:t>а)</w:t>
      </w:r>
      <w:r>
        <w:rPr>
          <w:noProof/>
        </w:rPr>
        <w:tab/>
        <w:t xml:space="preserve">приема на първото си заседание свой процедурен правилник; а също така </w:t>
      </w:r>
    </w:p>
    <w:p>
      <w:pPr>
        <w:pStyle w:val="Point0"/>
        <w:rPr>
          <w:noProof/>
        </w:rPr>
      </w:pPr>
      <w:r>
        <w:rPr>
          <w:noProof/>
        </w:rPr>
        <w:t>б)</w:t>
      </w:r>
      <w:r>
        <w:rPr>
          <w:noProof/>
        </w:rPr>
        <w:tab/>
        <w:t xml:space="preserve">приема на първото си заседание Процедурния правилник на специална група и Кодекса за поведение на арбитрите, посочени в член 21.30, както и Процедурата по медиация, посочена в член 21.6, параграф 2“. </w:t>
      </w:r>
    </w:p>
    <w:p>
      <w:pPr>
        <w:rPr>
          <w:noProof/>
        </w:rPr>
      </w:pPr>
      <w:r>
        <w:rPr>
          <w:noProof/>
        </w:rPr>
        <w:t xml:space="preserve">Всички решения и препоръки на Съвместния комитет ще се взимат с консенсус. </w:t>
      </w:r>
    </w:p>
    <w:p>
      <w:pPr>
        <w:pStyle w:val="ManualHeading2"/>
        <w:rPr>
          <w:noProof/>
        </w:rPr>
      </w:pPr>
      <w:r>
        <w:t>2.3.</w:t>
      </w:r>
      <w:r>
        <w:tab/>
      </w:r>
      <w:r>
        <w:rPr>
          <w:noProof/>
        </w:rPr>
        <w:t>Предвиденият акт на Съвместния комитет</w:t>
      </w:r>
    </w:p>
    <w:p>
      <w:pPr>
        <w:rPr>
          <w:noProof/>
        </w:rPr>
      </w:pPr>
      <w:r>
        <w:rPr>
          <w:noProof/>
        </w:rPr>
        <w:t>По време на първото си заседание Съвместният комитет трябва да приеме свой Процедурен правилник, Процедурния правилник на специална група, Процедурата по медиация и Кодекса за поведение на арбитрите („предвидения акт“).</w:t>
      </w:r>
    </w:p>
    <w:p>
      <w:pPr>
        <w:pStyle w:val="ManualHeading1"/>
        <w:rPr>
          <w:noProof/>
        </w:rPr>
      </w:pPr>
      <w:r>
        <w:t>3.</w:t>
      </w:r>
      <w:r>
        <w:tab/>
      </w:r>
      <w:r>
        <w:rPr>
          <w:noProof/>
        </w:rPr>
        <w:t>Позиция, която трябва да се заеме от името на Съюза</w:t>
      </w:r>
    </w:p>
    <w:p>
      <w:pPr>
        <w:rPr>
          <w:noProof/>
        </w:rPr>
      </w:pPr>
      <w:r>
        <w:rPr>
          <w:noProof/>
        </w:rPr>
        <w:t>С настоящото предложение за решение на Съвета се установява позицията, която трябва да се заеме от името на Съюза в рамките на Съвместния комитет, създаден по силата на Споразумението между Европейския съюз и Япония за икономическо партньорство, във връзка с приемането на Процедурния правилник на Съвместния комитет, Процедурния правилник на специална група, Процедурата по медиация и Кодекса за поведение на арбитрите.</w:t>
      </w:r>
    </w:p>
    <w:p>
      <w:pPr>
        <w:rPr>
          <w:noProof/>
        </w:rPr>
      </w:pPr>
      <w:r>
        <w:rPr>
          <w:noProof/>
        </w:rPr>
        <w:t>Страните по споразумението постигнаха съгласие по проектите на съответните документи. При спазване на процедурите за вземане на решения на ЕС, те следва да бъдат приети на първото заседание на Съвместния комитет, което в съответствие с член 22.1, параграф 2 трябва да се проведе в тримесечен срок от датата на влизане в сила на споразумението, т.е. най-късно през май 2019 г.</w:t>
      </w:r>
    </w:p>
    <w:p>
      <w:pPr>
        <w:rPr>
          <w:noProof/>
        </w:rPr>
      </w:pPr>
      <w:r>
        <w:rPr>
          <w:noProof/>
        </w:rPr>
        <w:t xml:space="preserve">Приложените Процедурен правилник на Съвместния комитет, Процедурен правилник на специална група, Процедура по медиация и Кодекс за поведение на арбитрите по същество са много сходни с приетите от съвместните комитети, създадени по силата на други споразумения за икономическо партньорство или други търговски споразумения. </w:t>
      </w:r>
    </w:p>
    <w:p>
      <w:pPr>
        <w:rPr>
          <w:noProof/>
        </w:rPr>
      </w:pPr>
      <w:r>
        <w:rPr>
          <w:noProof/>
        </w:rPr>
        <w:t>Приемането на тези документи е от съществено значение, за да заработят на практика разпоредбите на споразумението, и по-специално за прилагането на разпоредбите на глава 21 (Уреждане на спорове) и глава 22 (Институционални разпоредби).</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1"/>
      </w:r>
      <w:r>
        <w:rPr>
          <w:noProof/>
        </w:rPr>
        <w:t>.</w:t>
      </w:r>
    </w:p>
    <w:p>
      <w:pPr>
        <w:pStyle w:val="ManualHeading3"/>
        <w:rPr>
          <w:noProof/>
        </w:rPr>
      </w:pPr>
      <w:r>
        <w:t>4.1.2.</w:t>
      </w:r>
      <w:r>
        <w:tab/>
      </w:r>
      <w:r>
        <w:rPr>
          <w:noProof/>
        </w:rPr>
        <w:t>Приложение в конкретния случай</w:t>
      </w:r>
    </w:p>
    <w:p>
      <w:pPr>
        <w:rPr>
          <w:noProof/>
        </w:rPr>
      </w:pPr>
      <w:r>
        <w:rPr>
          <w:noProof/>
        </w:rPr>
        <w:t>Съвместният комитет е орган, създаден със споразумение, и по-конкретно със Споразумението между Европейския съюз и Япония за икономическо партньорство.</w:t>
      </w:r>
    </w:p>
    <w:p>
      <w:pPr>
        <w:rPr>
          <w:noProof/>
        </w:rPr>
      </w:pPr>
      <w:r>
        <w:rPr>
          <w:noProof/>
        </w:rPr>
        <w:t>Актът, който Съвместният комитет има за задача да приеме, представлява акт с правно действие. Предвиденият акт ще бъде обвързващ съгласно международното право в съответствие с член 22.2 от споразумението.</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Целта и съдържанието, които са в основата на предвидения акт, са свързани с общата търговска политика.</w:t>
      </w:r>
    </w:p>
    <w:p>
      <w:pPr>
        <w:rPr>
          <w:noProof/>
        </w:rPr>
      </w:pPr>
      <w:r>
        <w:rPr>
          <w:noProof/>
        </w:rPr>
        <w:t>Поради това материалноправното основание за предложеното решение е член 207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от ДФЕС във връзка с член 218, параграф 9 от ДФЕС.</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2019/0082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се заеме от името на Европейския съюз в рамките на Съвместния комитет, създаден по силата на Споразумението между Европейския съюз и Япония за икономическо партньорство, във връзка с приемането на Процедурния правилник на Съвместния комитет, Процедурния правилник на специална група, Процедурата по медиация и Кодекса за поведение на арбитрите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3 и член 207, параграф 4, първата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между Европейския съюз и Япония за икономическо партньорство („споразумението“) бе одобрено от името на Съюза на 20 декември 2018 г.</w:t>
      </w:r>
    </w:p>
    <w:p>
      <w:pPr>
        <w:pStyle w:val="ManualConsidrant"/>
        <w:rPr>
          <w:noProof/>
        </w:rPr>
      </w:pPr>
      <w:r>
        <w:t>(2)</w:t>
      </w:r>
      <w:r>
        <w:tab/>
      </w:r>
      <w:r>
        <w:rPr>
          <w:noProof/>
        </w:rPr>
        <w:t>По силата на член 22.1, параграф 4, букви д) и е) от споразумението Съвместният комитет трябва да приеме на първото си заседание свой Процедурен правилник, Процедурния правилник на специална група и Кодекса за поведение на арбитрите, посочени в член 21.30, както и Процедурата по медиация, посочена в член 21.6, параграф 2 от споразумението.</w:t>
      </w:r>
    </w:p>
    <w:p>
      <w:pPr>
        <w:pStyle w:val="ManualConsidrant"/>
        <w:rPr>
          <w:noProof/>
        </w:rPr>
      </w:pPr>
      <w:r>
        <w:t>(3)</w:t>
      </w:r>
      <w:r>
        <w:tab/>
      </w:r>
      <w:r>
        <w:rPr>
          <w:noProof/>
        </w:rPr>
        <w:t>Целесъобразно е да се установи позицията, която да се заеме от името на Съюза в рамките на Съвместния комитет, тъй като предвиденото решение на Съвместния комитет ще бъде обвързващо за Съюза,</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на първото заседание на Съвместния комитет, създаден по силата на Споразумението между Европейския съюз и Япония за икономическо партньорство, във връзка с неговия Процедурен правилник, Процедурния правилник на специална група, Кодекса за поведение на арбитрите и Процедурата по медиация, се основава на проекта на решение на Съвместния комитет, включително приложенията към него, приложен към настоящото решение.</w:t>
      </w:r>
    </w:p>
    <w:p>
      <w:pPr>
        <w:pStyle w:val="Titrearticle"/>
        <w:rPr>
          <w:noProof/>
        </w:rPr>
      </w:pPr>
      <w:r>
        <w:rPr>
          <w:noProof/>
        </w:rPr>
        <w:t>Член 2</w:t>
      </w:r>
    </w:p>
    <w:p>
      <w:pPr>
        <w:keepNext/>
        <w:keepLines/>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Решение на Съда от 7 октомври 2014 г., Германия/Съвет, C-399/12, ECLI:EU:C:2014:2258, </w:t>
      </w:r>
      <w:r>
        <w:br/>
        <w:t xml:space="preserve">т. 61—64.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829C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CE4D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A72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0602A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403F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D06DB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89A025C"/>
    <w:lvl w:ilvl="0">
      <w:start w:val="1"/>
      <w:numFmt w:val="decimal"/>
      <w:pStyle w:val="ListNumber"/>
      <w:lvlText w:val="%1."/>
      <w:lvlJc w:val="left"/>
      <w:pPr>
        <w:tabs>
          <w:tab w:val="num" w:pos="360"/>
        </w:tabs>
        <w:ind w:left="360" w:hanging="360"/>
      </w:pPr>
    </w:lvl>
  </w:abstractNum>
  <w:abstractNum w:abstractNumId="7">
    <w:nsid w:val="FFFFFF89"/>
    <w:multiLevelType w:val="singleLevel"/>
    <w:tmpl w:val="D5B8A3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1 11:16:2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8C28CD7-6069-409E-85E7-52D925A42BCB"/>
    <w:docVar w:name="LW_COVERPAGE_TYPE" w:val="1"/>
    <w:docVar w:name="LW_CROSSREFERENCE" w:val="&lt;UNUSED&gt;"/>
    <w:docVar w:name="LW_DocType" w:val="COM"/>
    <w:docVar w:name="LW_EMISSION" w:val="15.3.2019"/>
    <w:docVar w:name="LW_EMISSION_ISODATE" w:val="2019-03-15"/>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82"/>
    <w:docVar w:name="LW_REF.II.NEW.CP_YEAR" w:val="2019"/>
    <w:docVar w:name="LW_REF.INST.NEW" w:val="COM"/>
    <w:docVar w:name="LW_REF.INST.NEW_ADOPTED" w:val="final"/>
    <w:docVar w:name="LW_REF.INST.NEW_TEXT" w:val="(2019) 1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80?\u1103? \u1089?\u1098?\u1102?\u1079? \u1080? \u1071?\u1087?\u1086?\u1085?\u1080?\u1103? \u1079?\u1072? \u1080?\u1082?\u1086?\u1085?\u1086?\u1084?\u1080?\u1095?\u1077?\u1089?\u1082?\u1086? \u1087?\u1072?\u1088?\u1090?\u1085?\u1100?\u1086?\u1088?\u1089?\u1090?\u1074?\u1086?, \u1074?\u1098?\u1074? \u1074?\u1088?\u1098?\u1079?\u1082?\u1072? \u1089? \u1087?\u1088?\u1080?\u1077?\u1084?\u1072?\u1085?\u1077?\u1090?\u1086? \u1085?\u1072? \u1055?\u1088?\u1086?\u1094?\u1077?\u1076?\u1091?\u1088?\u1085?\u1080?\u1103? \u1087?\u1088?\u1072?\u1074?\u1080?\u1083?\u1085?\u1080?\u1082? \u1085?\u1072? \u1057?\u1098?\u1074?\u1084?\u1077?\u1089?\u1090?\u1085?\u1080?\u1103? \u1082?\u1086?\u1084?\u1080?\u1090?\u1077?\u1090?, \u1055?\u1088?\u1086?\u1094?\u1077?\u1076?\u1091?\u1088?\u1085?\u1080?\u1103? \u1087?\u1088?\u1072?\u1074?\u1080?\u1083?\u1085?\u1080?\u1082? \u1085?\u1072? \u1089?\u1087?\u1077?\u1094?\u1080?\u1072?\u1083?\u1085?\u1072? \u1075?\u1088?\u1091?\u1087?\u1072?, \u1055?\u1088?\u1086?\u1094?\u1077?\u1076?\u1091?\u1088?\u1072?\u1090?\u1072? \u1087?\u1086? \u1084?\u1077?\u1076?\u1080?\u1072?\u1094?\u1080?\u1103? \u1080? \u1050?\u1086?\u1076?\u1077?\u1082?\u1089?\u1072? \u1079?\u1072? \u1087?\u1086?\u1074?\u1077?\u1076?\u1077?\u1085?\u1080?\u1077? \u1085?\u1072? \u1072?\u1088?\u1073?\u1080?\u1090?\u1088?\u1080?\u1090?\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2647">
      <w:bodyDiv w:val="1"/>
      <w:marLeft w:val="0"/>
      <w:marRight w:val="0"/>
      <w:marTop w:val="0"/>
      <w:marBottom w:val="0"/>
      <w:divBdr>
        <w:top w:val="none" w:sz="0" w:space="0" w:color="auto"/>
        <w:left w:val="none" w:sz="0" w:space="0" w:color="auto"/>
        <w:bottom w:val="none" w:sz="0" w:space="0" w:color="auto"/>
        <w:right w:val="none" w:sz="0" w:space="0" w:color="auto"/>
      </w:divBdr>
    </w:div>
    <w:div w:id="38584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10F11-0A84-46B3-B7AE-7D9AC0E2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1135</Words>
  <Characters>6573</Characters>
  <Application>Microsoft Office Word</Application>
  <DocSecurity>0</DocSecurity>
  <Lines>131</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2019-03-01T11:36:00Z</cp:lastPrinted>
  <dcterms:created xsi:type="dcterms:W3CDTF">2019-03-07T15:31:00Z</dcterms:created>
  <dcterms:modified xsi:type="dcterms:W3CDTF">2019-03-11T10:16:00Z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