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F5D9B1-2FCC-494F-ABFD-A0E61CA044BA"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търговия,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препоръката на Комитета по търговия към страните по споразумението относно измененията на споразумението, за да се вземе предвид присъединяването на нови държави от Тихоокеанския басейн към споразумението.</w:t>
      </w:r>
    </w:p>
    <w:p>
      <w:pPr>
        <w:pStyle w:val="ManualHeading1"/>
        <w:rPr>
          <w:rFonts w:eastAsia="Arial Unicode MS"/>
          <w:noProof/>
        </w:rPr>
      </w:pPr>
      <w:r>
        <w:t>2.</w:t>
      </w:r>
      <w:r>
        <w:tab/>
      </w:r>
      <w:r>
        <w:rPr>
          <w:noProof/>
        </w:rPr>
        <w:t>Контекст на предложението</w:t>
      </w:r>
    </w:p>
    <w:p>
      <w:pPr>
        <w:pStyle w:val="ManualHeading2"/>
        <w:rPr>
          <w:noProof/>
        </w:rPr>
      </w:pPr>
      <w:r>
        <w:t>2.1.</w:t>
      </w:r>
      <w:r>
        <w:tab/>
      </w:r>
      <w:r>
        <w:rPr>
          <w:noProof/>
        </w:rPr>
        <w:t>Временното споразумение за партньорство между Европейската общност, от една страна, и държавите от Тихоокеанския басейн, от друга страна</w:t>
      </w:r>
    </w:p>
    <w:p>
      <w:pPr>
        <w:rPr>
          <w:rFonts w:eastAsia="Arial Unicode MS"/>
          <w:noProof/>
        </w:rPr>
      </w:pPr>
      <w:r>
        <w:rPr>
          <w:noProof/>
        </w:rPr>
        <w:t>На 30 юли 2009 г. ЕС подписа Временното споразумение за партньорство</w:t>
      </w:r>
      <w:r>
        <w:rPr>
          <w:rStyle w:val="FootnoteReference"/>
          <w:noProof/>
        </w:rPr>
        <w:footnoteReference w:id="1"/>
      </w:r>
      <w:r>
        <w:rPr>
          <w:noProof/>
        </w:rPr>
        <w:t>, с което се установява рамка за Споразумение за икономическо партньорство (наричано по-нататък „СИП“) между Европейската общност, от една страна, и държавите от Тихоокеанския басейн, от друга страна. Папуа-Нова Гвинея, Република острови Фиджи и Независимата държава Самоа прилагат временно споразумението съответно от 20 декември 2009 г., 28 юли 2014 г. и 31 декември 2018 г.</w:t>
      </w:r>
    </w:p>
    <w:p>
      <w:pPr>
        <w:rPr>
          <w:rFonts w:eastAsia="Arial Unicode MS"/>
          <w:noProof/>
        </w:rPr>
      </w:pPr>
      <w:r>
        <w:rPr>
          <w:noProof/>
        </w:rPr>
        <w:t>Споразумението за икономическо партньорство има за цел:</w:t>
      </w:r>
    </w:p>
    <w:p>
      <w:pPr>
        <w:pStyle w:val="Point0"/>
        <w:rPr>
          <w:noProof/>
        </w:rPr>
      </w:pPr>
      <w:r>
        <w:rPr>
          <w:noProof/>
        </w:rPr>
        <w:t>а)</w:t>
      </w:r>
      <w:r>
        <w:rPr>
          <w:noProof/>
        </w:rPr>
        <w:tab/>
        <w:t>да позволи на държавите от Тихоокеанския басейн да се ползват от подобрения достъп до пазара, предложен от ЕО;</w:t>
      </w:r>
    </w:p>
    <w:p>
      <w:pPr>
        <w:pStyle w:val="Point0"/>
        <w:rPr>
          <w:noProof/>
        </w:rPr>
      </w:pPr>
      <w:r>
        <w:rPr>
          <w:noProof/>
        </w:rPr>
        <w:t>б)</w:t>
      </w:r>
      <w:r>
        <w:rPr>
          <w:noProof/>
        </w:rPr>
        <w:tab/>
        <w:t>да насърчи устойчивото развитие и постепенното интегриране на държавите от Тихоокеанския басейн в световната икономика;</w:t>
      </w:r>
    </w:p>
    <w:p>
      <w:pPr>
        <w:pStyle w:val="Point0"/>
        <w:rPr>
          <w:noProof/>
        </w:rPr>
      </w:pPr>
      <w:r>
        <w:rPr>
          <w:noProof/>
        </w:rPr>
        <w:t>в)</w:t>
      </w:r>
      <w:r>
        <w:rPr>
          <w:noProof/>
        </w:rPr>
        <w:tab/>
        <w:t>да създаде зона за свободна търговия между страните на основата на взаимния интерес чрез поетапна либерализация на търговията по начин, съответстващ на приложимите правила на СТО и принципа на асиметричния подход, като се вземат предвид специфичните нужди и ограниченията по отношение на капацитета на държавите от Тихоокеанския басейн, що се отнася до равнището на ангажиментите и до предвидения график за изпълнението им;</w:t>
      </w:r>
    </w:p>
    <w:p>
      <w:pPr>
        <w:pStyle w:val="Point0"/>
        <w:rPr>
          <w:noProof/>
        </w:rPr>
      </w:pPr>
      <w:r>
        <w:rPr>
          <w:noProof/>
        </w:rPr>
        <w:t>г)</w:t>
      </w:r>
      <w:r>
        <w:rPr>
          <w:noProof/>
        </w:rPr>
        <w:tab/>
        <w:t>да установи подходящите процедури за уреждане на спорове; и</w:t>
      </w:r>
    </w:p>
    <w:p>
      <w:pPr>
        <w:pStyle w:val="Point0"/>
        <w:rPr>
          <w:noProof/>
        </w:rPr>
      </w:pPr>
      <w:r>
        <w:rPr>
          <w:noProof/>
        </w:rPr>
        <w:t>д)</w:t>
      </w:r>
      <w:r>
        <w:rPr>
          <w:noProof/>
        </w:rPr>
        <w:tab/>
        <w:t>да установи подходящите институционални договорености.</w:t>
      </w:r>
    </w:p>
    <w:p>
      <w:pPr>
        <w:pStyle w:val="ManualHeading2"/>
        <w:rPr>
          <w:noProof/>
        </w:rPr>
      </w:pPr>
      <w:r>
        <w:t>2.2.</w:t>
      </w:r>
      <w:r>
        <w:tab/>
      </w:r>
      <w:r>
        <w:rPr>
          <w:noProof/>
        </w:rPr>
        <w:t>Комитетът по търговия в рамките на СИП</w:t>
      </w:r>
    </w:p>
    <w:p>
      <w:pPr>
        <w:rPr>
          <w:rFonts w:eastAsia="Arial Unicode MS"/>
          <w:noProof/>
        </w:rPr>
      </w:pPr>
      <w:r>
        <w:rPr>
          <w:noProof/>
        </w:rPr>
        <w:t>С член 68 от СИП се създава Комитет по търговия, който се състои от представители на страните (ЕС и държавите от Тихоокеанския басейн).</w:t>
      </w:r>
    </w:p>
    <w:p>
      <w:pPr>
        <w:rPr>
          <w:rFonts w:eastAsia="Arial Unicode MS"/>
          <w:noProof/>
        </w:rPr>
      </w:pPr>
      <w:r>
        <w:rPr>
          <w:noProof/>
        </w:rPr>
        <w:t>Комитетът по търговия изготвя свой процедурен правилник и се председателства съвместно от представител на страната по споразумението ЕО и представител на държавите от Тихоокеанския басейн. Двамата съпредседатели председателстват заседанията на ротационен принцип. За целите на споразумението лицето, председателстващо заседанието, се смята за „съпредседател, изпълняващ функциите на председател“, до момента на започване на следващото заседание и на поемане на функциите на председател от съпредседателя от другата страна.</w:t>
      </w:r>
    </w:p>
    <w:p>
      <w:pPr>
        <w:rPr>
          <w:rFonts w:eastAsia="Arial Unicode MS"/>
          <w:noProof/>
        </w:rPr>
      </w:pPr>
      <w:r>
        <w:rPr>
          <w:noProof/>
        </w:rPr>
        <w:t>Комитетът по търговия разглежда всички въпроси, необходими за прилагането на споразумението. При изпълнението на функциите си Комитетът по търговия може:</w:t>
      </w:r>
    </w:p>
    <w:p>
      <w:pPr>
        <w:pStyle w:val="Point0"/>
        <w:rPr>
          <w:noProof/>
        </w:rPr>
      </w:pPr>
      <w:r>
        <w:rPr>
          <w:noProof/>
        </w:rPr>
        <w:t>а)</w:t>
      </w:r>
      <w:r>
        <w:rPr>
          <w:noProof/>
        </w:rPr>
        <w:tab/>
        <w:t>да създава всякакви специални комитети или органи, необходими за прилагането на споразумението, и да упражнява надзор над тях;</w:t>
      </w:r>
    </w:p>
    <w:p>
      <w:pPr>
        <w:pStyle w:val="Point0"/>
        <w:rPr>
          <w:noProof/>
        </w:rPr>
      </w:pPr>
      <w:r>
        <w:rPr>
          <w:noProof/>
        </w:rPr>
        <w:t>б)</w:t>
      </w:r>
      <w:r>
        <w:rPr>
          <w:noProof/>
        </w:rPr>
        <w:tab/>
        <w:t>да заседава по всяко време, за което страните са постигнали съгласие;</w:t>
      </w:r>
    </w:p>
    <w:p>
      <w:pPr>
        <w:pStyle w:val="Point0"/>
        <w:rPr>
          <w:noProof/>
        </w:rPr>
      </w:pPr>
      <w:r>
        <w:rPr>
          <w:noProof/>
        </w:rPr>
        <w:t>в)</w:t>
      </w:r>
      <w:r>
        <w:rPr>
          <w:noProof/>
        </w:rPr>
        <w:tab/>
        <w:t>да разглежда всякакви въпроси, попадащи в приложното поле на споразумението, и да предприема подходящи действия при изпълнението на функциите си; и</w:t>
      </w:r>
    </w:p>
    <w:p>
      <w:pPr>
        <w:pStyle w:val="Point0"/>
        <w:rPr>
          <w:noProof/>
        </w:rPr>
      </w:pPr>
      <w:r>
        <w:rPr>
          <w:noProof/>
        </w:rPr>
        <w:t>г)</w:t>
      </w:r>
      <w:r>
        <w:rPr>
          <w:noProof/>
        </w:rPr>
        <w:tab/>
        <w:t>да взема решения или да отправя препоръки в случаите, предвидени в споразумението.</w:t>
      </w:r>
    </w:p>
    <w:p>
      <w:pPr>
        <w:rPr>
          <w:rFonts w:eastAsia="Arial Unicode MS"/>
          <w:noProof/>
        </w:rPr>
      </w:pPr>
      <w:r>
        <w:rPr>
          <w:noProof/>
        </w:rPr>
        <w:t>Комитетът по търговия делегира конкретни правомощия за вземане на решения на специалните комитети, съгласно предвиденото в съответните разпоредби на споразумението, и по-специално на Специалния комитет за митническо сътрудничество и правила за произход.</w:t>
      </w:r>
    </w:p>
    <w:p>
      <w:pPr>
        <w:rPr>
          <w:rFonts w:eastAsia="Arial Unicode MS"/>
          <w:noProof/>
        </w:rPr>
      </w:pPr>
      <w:r>
        <w:rPr>
          <w:noProof/>
        </w:rPr>
        <w:t>В член 78 (Клауза за ревизия) се предвижда, че Комитетът по търговия може да преразгледа настоящото споразумение, неговото прилагане, действие и изпълнение, когато това е необходимо, и да отправи до страните подходящи препоръки за изменение.</w:t>
      </w:r>
    </w:p>
    <w:p>
      <w:pPr>
        <w:pStyle w:val="ManualHeading2"/>
        <w:rPr>
          <w:noProof/>
        </w:rPr>
      </w:pPr>
      <w:r>
        <w:t>2.3.</w:t>
      </w:r>
      <w:r>
        <w:tab/>
      </w:r>
      <w:r>
        <w:rPr>
          <w:noProof/>
        </w:rPr>
        <w:t>Предвидената препоръка на Комитета по търговия в рамките на СИП</w:t>
      </w:r>
    </w:p>
    <w:p>
      <w:pPr>
        <w:rPr>
          <w:noProof/>
          <w:color w:val="000000"/>
          <w:szCs w:val="20"/>
        </w:rPr>
      </w:pPr>
      <w:r>
        <w:rPr>
          <w:noProof/>
          <w:color w:val="000000"/>
        </w:rPr>
        <w:t>В член 80 от СИП е предвидена възможността други тихоокеански острови да се присъединят към споразумението въз основа на подаване на предложение за достъп до пазара, в съответствие с член ХХIV от ГАТТ от 1994 г.</w:t>
      </w:r>
    </w:p>
    <w:p>
      <w:pPr>
        <w:rPr>
          <w:noProof/>
          <w:color w:val="000000"/>
          <w:szCs w:val="20"/>
        </w:rPr>
      </w:pPr>
      <w:r>
        <w:rPr>
          <w:noProof/>
          <w:color w:val="000000"/>
        </w:rPr>
        <w:t>Съответно Независимата държава Самоа се присъедини към споразумението на 21 декември 2018 г.</w:t>
      </w:r>
      <w:r>
        <w:rPr>
          <w:rStyle w:val="FootnoteReference"/>
          <w:noProof/>
        </w:rPr>
        <w:footnoteReference w:id="2"/>
      </w:r>
      <w:r>
        <w:rPr>
          <w:noProof/>
          <w:color w:val="000000"/>
        </w:rPr>
        <w:t>. Също така в процес на изпълнение са процедурите на страните във връзка с присъединяването към споразумението на Соломоновите острови и на Кралство Тонга. Освен това интерес от присъединяване към споразумението са изразили и други държави от Тихоокеанския басейн.</w:t>
      </w:r>
    </w:p>
    <w:p>
      <w:pPr>
        <w:rPr>
          <w:noProof/>
          <w:color w:val="000000"/>
          <w:szCs w:val="20"/>
        </w:rPr>
      </w:pPr>
      <w:r>
        <w:rPr>
          <w:noProof/>
        </w:rPr>
        <w:t>По време на шестото заседание на Комитета по търговия в рамките на СИП на 24 октомври 2018 г. представителите на Комисията и на държавите от Тихоокеанския басейн направиха преглед на споразумението и изготвиха списък с технически изменения на споразумението, които са необходими, за да се вземе предвид присъединяването на Самоа към споразумението. Комитетът стигна до заключението, че тези изменения биха довели до включването на Самоа като страна по споразумението и до добавяне на нейното предложение за достъп до пазара към приложение II към споразумението. Подобни промени в споразумението биха били необходими всеки път, когато нова държава от Тихоокеанския басейн се присъединява към споразумението.</w:t>
      </w:r>
    </w:p>
    <w:p>
      <w:pPr>
        <w:rPr>
          <w:rFonts w:eastAsia="Arial Unicode MS"/>
          <w:noProof/>
        </w:rPr>
      </w:pPr>
      <w:r>
        <w:rPr>
          <w:noProof/>
        </w:rPr>
        <w:t xml:space="preserve">Съответно на 24 юли 2019 г., по време на своето седмо заседание, Комитетът по търговия в рамките на СИП трябва да приеме препоръката си към страните да изменят споразумението, за да се вземе предвид присъединяването на Самоа, и </w:t>
      </w:r>
      <w:r>
        <w:rPr>
          <w:noProof/>
          <w:color w:val="000000"/>
        </w:rPr>
        <w:t>да предоставят правомощия на Комитета по търговия за вземането на решения относно всякакви преходни мерки или мерки за изменение, които могат да се окажат необходими след присъединяването на нова страна в бъдеще</w:t>
      </w:r>
      <w:r>
        <w:rPr>
          <w:noProof/>
        </w:rPr>
        <w:t xml:space="preserve"> („предвидената препоръка“).</w:t>
      </w:r>
    </w:p>
    <w:p>
      <w:pPr>
        <w:pStyle w:val="ManualHeading1"/>
        <w:rPr>
          <w:rFonts w:eastAsia="Arial Unicode MS"/>
          <w:noProof/>
        </w:rPr>
      </w:pPr>
      <w:r>
        <w:t>3.</w:t>
      </w:r>
      <w:r>
        <w:tab/>
      </w:r>
      <w:r>
        <w:rPr>
          <w:noProof/>
        </w:rPr>
        <w:t>Позиция, която трябва да се заеме от името на Съюза</w:t>
      </w:r>
    </w:p>
    <w:p>
      <w:pPr>
        <w:rPr>
          <w:rFonts w:eastAsia="Arial Unicode MS"/>
          <w:noProof/>
        </w:rPr>
      </w:pPr>
      <w:r>
        <w:rPr>
          <w:noProof/>
        </w:rPr>
        <w:t>С предложението за решение на Съвета се установява позицията, която трябва да се заеме от името на Съюза във връзка с приемането на предложените изменения на споразумението, за да се вземе предвид скорошното присъединяване на Независимата държава Самоа, както и последващите присъединявания, като по този начин се изпълнят задълженията на ЕС съгласно разпоредбите на СИП.</w:t>
      </w:r>
    </w:p>
    <w:p>
      <w:pPr>
        <w:rPr>
          <w:rFonts w:eastAsia="Arial Unicode MS"/>
          <w:noProof/>
        </w:rPr>
      </w:pPr>
      <w:r>
        <w:rPr>
          <w:noProof/>
        </w:rPr>
        <w:t>Тази позиция трябва да се основава на проекта на препоръка на Комитета по търговия относно измененията на споразумението, приложен към проекта на решение на Съвета.</w:t>
      </w:r>
    </w:p>
    <w:p>
      <w:pPr>
        <w:rPr>
          <w:rFonts w:eastAsia="Arial Unicode MS"/>
          <w:noProof/>
        </w:rPr>
      </w:pPr>
      <w:r>
        <w:rPr>
          <w:noProof/>
        </w:rPr>
        <w:t>Предметът на предвидената препоръка се отнася до област, в която Съюзът разполага с изключителна външна компетентност по силата на член 3, параграф 2 от ДФЕС.</w:t>
      </w:r>
    </w:p>
    <w:p>
      <w:pPr>
        <w:pStyle w:val="ManualHeading1"/>
        <w:rPr>
          <w:rFonts w:eastAsia="Arial Unicode MS"/>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rFonts w:eastAsia="Times New Roman"/>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rFonts w:eastAsia="Times New Roman"/>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p>
    <w:p>
      <w:pPr>
        <w:pStyle w:val="ManualHeading3"/>
        <w:rPr>
          <w:noProof/>
        </w:rPr>
      </w:pPr>
      <w:r>
        <w:t>4.1.2.</w:t>
      </w:r>
      <w:r>
        <w:tab/>
      </w:r>
      <w:r>
        <w:rPr>
          <w:noProof/>
        </w:rPr>
        <w:t>Приложение в конкретния случай</w:t>
      </w:r>
    </w:p>
    <w:p>
      <w:pPr>
        <w:rPr>
          <w:rFonts w:eastAsia="Times New Roman"/>
          <w:noProof/>
        </w:rPr>
      </w:pPr>
      <w:r>
        <w:rPr>
          <w:noProof/>
        </w:rPr>
        <w:t>Комитетът по търговия е орган, създаден по силата на Споразумението за икономическо партньорство.</w:t>
      </w:r>
    </w:p>
    <w:p>
      <w:pPr>
        <w:rPr>
          <w:rFonts w:eastAsia="Times New Roman"/>
          <w:noProof/>
        </w:rPr>
      </w:pPr>
      <w:r>
        <w:rPr>
          <w:noProof/>
        </w:rPr>
        <w:t>Измененията, които Комитетът по търговия препоръчва да бъдат приети от страните, имат правно действие. След като бъдат приети от страните, предвидените изменения ще бъдат обвързващи съгласно международното право в съответствие с член 68 във връзка с членове 78 и 80 от споразумението.</w:t>
      </w:r>
    </w:p>
    <w:p>
      <w:pPr>
        <w:rPr>
          <w:rFonts w:eastAsia="Times New Roman"/>
          <w:noProof/>
        </w:rPr>
      </w:pPr>
      <w:r>
        <w:rPr>
          <w:noProof/>
        </w:rPr>
        <w:t>Предвидените изменения не допълват, нито изменят институционалната рамка на споразумението.</w:t>
      </w:r>
    </w:p>
    <w:p>
      <w:pPr>
        <w:rPr>
          <w:rFonts w:eastAsia="Times New Roman"/>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rFonts w:eastAsia="Times New Roman"/>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предвидената препоръка, във връзка с която се заема позиция от името на Съюза. Ако предвидената препоръка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rFonts w:eastAsia="Times New Roman"/>
          <w:noProof/>
        </w:rPr>
      </w:pPr>
      <w:r>
        <w:rPr>
          <w:noProof/>
        </w:rPr>
        <w:t>Основната цел и съдържание на предвидената препоръка са свързани с общата търговска политика.</w:t>
      </w:r>
    </w:p>
    <w:p>
      <w:pPr>
        <w:rPr>
          <w:rFonts w:eastAsia="Times New Roman"/>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rFonts w:eastAsia="Times New Roman"/>
          <w:noProof/>
        </w:rPr>
      </w:pPr>
      <w:r>
        <w:rPr>
          <w:noProof/>
        </w:rPr>
        <w:t>Правното основание на предложеното решение следва да бъде член 207 от ДФЕС във връзка с член 218, параграф 9 от ДФЕС.</w:t>
      </w:r>
    </w:p>
    <w:p>
      <w:pPr>
        <w:pStyle w:val="ManualHeading1"/>
        <w:rPr>
          <w:rFonts w:eastAsia="Arial Unicode MS"/>
          <w:noProof/>
        </w:rPr>
      </w:pPr>
      <w:r>
        <w:t>5.</w:t>
      </w:r>
      <w:r>
        <w:tab/>
      </w:r>
      <w:r>
        <w:rPr>
          <w:noProof/>
        </w:rPr>
        <w:t>Публикуване на предвидената препоръка</w:t>
      </w:r>
    </w:p>
    <w:p>
      <w:pPr>
        <w:rPr>
          <w:noProof/>
        </w:rPr>
      </w:pPr>
      <w:r>
        <w:rPr>
          <w:noProof/>
        </w:rPr>
        <w:t xml:space="preserve">Тъй като препоръката на Комитета по търговия, след като бъде одобрена от страните, ще измени Споразумението за икономическо партньорство, е целесъобразно тя да бъде публикувана в </w:t>
      </w:r>
      <w:r>
        <w:rPr>
          <w:i/>
          <w:noProof/>
        </w:rPr>
        <w:t>Официален вестник на Европейския съюз</w:t>
      </w:r>
      <w:r>
        <w:rPr>
          <w:noProof/>
        </w:rPr>
        <w:t xml:space="preserve"> след приемането ѝ.</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търговия,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препоръка за извършване на някои изменения на споразумението, за да се вземат предвид присъединяването на Самоа и бъдещите присъединявания на други тихоокеански острови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3 и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Point1"/>
        <w:rPr>
          <w:noProof/>
          <w:szCs w:val="24"/>
        </w:rPr>
      </w:pPr>
      <w:r>
        <w:rPr>
          <w:noProof/>
        </w:rPr>
        <w:t>1)</w:t>
      </w:r>
      <w:r>
        <w:rPr>
          <w:noProof/>
        </w:rPr>
        <w:tab/>
        <w:t>На 30 юли 2009 г. Съюзът (Европейската общност към този момент) подписа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 с което се установява рамка за Споразумение за икономическо партньорство („споразумението“). Споразумението се прилага временно от Папуа-Нова Гвинея и Република острови Фиджи съответно от 20 декември 2009 г. и 28 юли 2014 г.</w:t>
      </w:r>
    </w:p>
    <w:p>
      <w:pPr>
        <w:pStyle w:val="Point1"/>
        <w:rPr>
          <w:noProof/>
        </w:rPr>
      </w:pPr>
      <w:r>
        <w:rPr>
          <w:noProof/>
        </w:rPr>
        <w:t>2)</w:t>
      </w:r>
      <w:r>
        <w:rPr>
          <w:noProof/>
        </w:rPr>
        <w:tab/>
        <w:t>В член 80 от споразумението се предвижда, че други тихоокеански острови могат да се присъединят към споразумението въз основа на подаване на предложение за достъп до пазара, в съответствие с член ХХIV от ГАТТ от 1994 г. Съответно на 5 февруари 2018 г. Независимата държава Самоа (Самоа) подаде до страните, с цел вземане на решение, искане за присъединяване, заедно с предложение за достъп до пазара, в съответствие с член ХХIV от ГАТТ от 1994 г.</w:t>
      </w:r>
    </w:p>
    <w:p>
      <w:pPr>
        <w:pStyle w:val="Point1"/>
        <w:rPr>
          <w:noProof/>
        </w:rPr>
      </w:pPr>
      <w:r>
        <w:rPr>
          <w:noProof/>
        </w:rPr>
        <w:t>3)</w:t>
      </w:r>
      <w:r>
        <w:rPr>
          <w:noProof/>
        </w:rPr>
        <w:tab/>
        <w:t>Съветът одобри искането за присъединяване на Самоа на 6 декември 2018 г.</w:t>
      </w:r>
      <w:r>
        <w:rPr>
          <w:rStyle w:val="FootnoteReference"/>
          <w:noProof/>
        </w:rPr>
        <w:footnoteReference w:id="4"/>
      </w:r>
      <w:r>
        <w:rPr>
          <w:noProof/>
        </w:rPr>
        <w:t>. Самоа се присъедини към споразумението на 21 декември 2018 г., като прилага временно споразумението от 31 декември 2018 г.</w:t>
      </w:r>
    </w:p>
    <w:p>
      <w:pPr>
        <w:pStyle w:val="Point1"/>
        <w:rPr>
          <w:noProof/>
        </w:rPr>
      </w:pPr>
      <w:r>
        <w:rPr>
          <w:noProof/>
        </w:rPr>
        <w:t>4)</w:t>
      </w:r>
      <w:r>
        <w:rPr>
          <w:noProof/>
        </w:rPr>
        <w:tab/>
        <w:t>По време на шестото заседание на Комитета по търговия в рамките на СИП на 24 октомври 2018 г. представителите на ЕС и на държавите от Тихоокеанския басейн изготвиха списък с технически изменения на споразумението, които са необходими, за да се вземе предвид присъединяването на Самоа към споразумението. Те стигнаха до заключението, че тези изменения биха довели до включването на Самоа като страна по споразумението и до добавяне на нейното предложение за достъп до пазара към приложение II към споразумението. Подобни промени в споразумението биха били необходими всеки път, когато нова държава от Тихоокеанския басейн се присъединява към споразумението.</w:t>
      </w:r>
    </w:p>
    <w:p>
      <w:pPr>
        <w:pStyle w:val="Point1"/>
        <w:rPr>
          <w:noProof/>
          <w:szCs w:val="24"/>
        </w:rPr>
      </w:pPr>
      <w:r>
        <w:rPr>
          <w:noProof/>
        </w:rPr>
        <w:t>5)</w:t>
      </w:r>
      <w:r>
        <w:rPr>
          <w:noProof/>
        </w:rPr>
        <w:tab/>
        <w:t>В член 68 от Споразумението се предвижда, че Комитетът по търговия в рамките на СИП разглежда всички въпроси, необходими за прилагането на споразумението. Необходимо е да се предоставят правомощия на Комитета по търговия за вземането на решения относно всякакви преходни мерки или мерки за изменение, които могат да се окажат необходими след присъединяването на нова страна.</w:t>
      </w:r>
    </w:p>
    <w:p>
      <w:pPr>
        <w:pStyle w:val="Point1"/>
        <w:rPr>
          <w:noProof/>
          <w:szCs w:val="24"/>
        </w:rPr>
      </w:pPr>
      <w:r>
        <w:rPr>
          <w:noProof/>
        </w:rPr>
        <w:t>6)</w:t>
      </w:r>
      <w:r>
        <w:rPr>
          <w:noProof/>
        </w:rPr>
        <w:tab/>
        <w:t>Следващото (седмо) заседание на Комитета по търговия в рамките на СИП трябва да се проведе на 24 юли 2019 г., като на него Комитетът ще има възможност в съответствие с член 78 от споразумението да препоръча на страните да извършат изменения на споразумението, за да се вземат предвид присъединяването на Самоа и бъдещите присъединявания на други тихоокеански острови към споразумението.</w:t>
      </w:r>
    </w:p>
    <w:p>
      <w:pPr>
        <w:pStyle w:val="Point1"/>
        <w:rPr>
          <w:noProof/>
        </w:rPr>
      </w:pPr>
      <w:r>
        <w:rPr>
          <w:noProof/>
        </w:rPr>
        <w:t>7)</w:t>
      </w:r>
      <w:r>
        <w:rPr>
          <w:noProof/>
        </w:rPr>
        <w:tab/>
        <w:t>Европейският съюз следва да определи позицията, която трябва да се заеме по отношение на препоръката за тези изменения,</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Европейския съюз в Комитета по търговия в рамките на СИП на следващото му заседание по отношение на измененията на споразумението, за да се вземат предвид присъединяването на Самоа и бъдещите присъединявания на други тихоокеански острови, се основава на приложението.</w:t>
      </w:r>
    </w:p>
    <w:p>
      <w:pPr>
        <w:pStyle w:val="Titrearticle"/>
        <w:rPr>
          <w:noProof/>
        </w:rPr>
      </w:pPr>
      <w:r>
        <w:rPr>
          <w:noProof/>
        </w:rPr>
        <w:t>Член 2</w:t>
      </w:r>
    </w:p>
    <w:p>
      <w:pPr>
        <w:rPr>
          <w:noProof/>
        </w:rPr>
      </w:pPr>
      <w:r>
        <w:rPr>
          <w:noProof/>
        </w:rPr>
        <w:t xml:space="preserve">След като бъде приета, препоръката на Комитета по търговия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 на настоящото решение е Европейската комисия.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OB L 333, 28.12.2018 г., стр. 1.</w:t>
      </w:r>
    </w:p>
  </w:footnote>
  <w:footnote w:id="3">
    <w:p>
      <w:pPr>
        <w:pStyle w:val="FootnoteText"/>
      </w:pPr>
      <w:r>
        <w:rPr>
          <w:rStyle w:val="FootnoteReference"/>
        </w:rPr>
        <w:footnoteRef/>
      </w:r>
      <w:r>
        <w:tab/>
        <w:t>OB L 272, 16.10.2009 г., стр. 1.</w:t>
      </w:r>
    </w:p>
  </w:footnote>
  <w:footnote w:id="4">
    <w:p>
      <w:pPr>
        <w:pStyle w:val="FootnoteText"/>
      </w:pPr>
      <w:r>
        <w:rPr>
          <w:rStyle w:val="FootnoteReference"/>
        </w:rPr>
        <w:footnoteRef/>
      </w:r>
      <w:r>
        <w:tab/>
        <w:t>OB L 333, 28.12.2018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9 08:23: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F5D9B1-2FCC-494F-ABFD-A0E61CA044BA"/>
    <w:docVar w:name="LW_COVERPAGE_TYPE" w:val="1"/>
    <w:docVar w:name="LW_CROSSREFERENCE" w:val="&lt;UNUSED&gt;"/>
    <w:docVar w:name="LW_DocType" w:val="COM"/>
    <w:docVar w:name="LW_EMISSION" w:val="26.3.2019"/>
    <w:docVar w:name="LW_EMISSION_ISODATE" w:val="2019-03-26"/>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5"/>
    <w:docVar w:name="LW_REF.II.NEW.CP_YEAR" w:val="2019"/>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 \u1089?\u1098?\u1079?\u1076?\u1072?\u1076?\u1077?\u1085? \u1089?\u1098?\u1075?\u1083?\u1072?\u1089?\u1085?\u1086?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7?\u1088?\u1077?\u1087?\u1086?\u1088?\u1098?\u1082?\u1072? \u1079?\u1072? \u1080?\u1079?\u1074?\u1098?\u1088?\u1096?\u1074?\u1072?\u1085?\u1077? \u1085?\u1072? \u1085?\u1103?\u1082?\u1086?\u1080? \u1080?\u1079?\u1084?\u1077?\u1085?\u1077?\u1085?\u1080?\u1103? \u1085?\u1072? \u1089?\u1087?\u1086?\u1088?\u1072?\u1079?\u1091?\u1084?\u1077?\u1085?\u1080?\u1077?\u1090?\u1086?, \u1079?\u1072? \u1076?\u1072? \u1089?\u1077? \u1074?\u1079?\u1077?\u1084?\u1072?\u1090? \u1087?\u1088?\u1077?\u1076?\u1074?\u1080?\u1076? \u1087?\u1088?\u1080?\u1089?\u1098?\u1077?\u1076?\u1080?\u1085?\u1103?\u1074?\u1072?\u1085?\u1077?\u1090?\u1086? \u1085?\u1072? \u1057?\u1072?\u1084?\u1086?\u1072? \u1080? \u1073?\u1098?\u1076?\u1077?\u1097?\u1080?\u1090?\u1077? \u1087?\u1088?\u1080?\u1089?\u1098?\u1077?\u1076?\u1080?\u1085?\u1103?\u1074?\u1072?\u1085?\u1080?\u1103? \u1085?\u1072? \u1076?\u1088?\u1091?\u1075?\u1080? \u1090?\u1080?\u1093?\u1086?\u1086?\u1082?\u1077?\u1072?\u1085?\u1089?\u1082?\u1080? \u1086?\u1089?\u1090?\u1088?\u1086?\u1074?\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C323A5-C185-4EC9-A086-A25B17DE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1940</Words>
  <Characters>11176</Characters>
  <Application>Microsoft Office Word</Application>
  <DocSecurity>0</DocSecurity>
  <Lines>219</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2019-03-11T10:23:00Z</dcterms:created>
  <dcterms:modified xsi:type="dcterms:W3CDTF">2019-03-19T07:23:00Z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