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9695261-805D-4135-BCC0-FEACA21D6BBC"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pStyle w:val="Heading1"/>
        <w:numPr>
          <w:ilvl w:val="0"/>
          <w:numId w:val="3"/>
        </w:numPr>
        <w:rPr>
          <w:noProof/>
        </w:rPr>
      </w:pPr>
      <w:r>
        <w:rPr>
          <w:noProof/>
        </w:rPr>
        <w:t xml:space="preserve">ЕСТЕСТВО И ОБХВАТ НА ПРАВИЛАТА И ЗАДЪЛЖЕНИЯТА </w:t>
      </w:r>
    </w:p>
    <w:p>
      <w:pPr>
        <w:pStyle w:val="NumPar1"/>
        <w:numPr>
          <w:ilvl w:val="0"/>
          <w:numId w:val="2"/>
        </w:numPr>
        <w:rPr>
          <w:noProof/>
        </w:rPr>
      </w:pPr>
      <w:r>
        <w:rPr>
          <w:noProof/>
        </w:rPr>
        <w:t>Въз основа на правомощията, предоставени от Съвета за преговори в Световната търговска организация (СТО) по Програмата за развитие от Доха, целта на плурилатералните преговори следва да е определянето на правила в СТО за търговските аспекти на електронната търговия, за да се утвърди световната електронна търговия, да се улеснят дейностите на предприятията, в това число на микро-, малките и средните предприятия, по-конкретно чрез укрепване на доверието на потребителите в онлайн средата и чрез създаване на нови възможности за стимулиране на приобщаващия и устойчив растеж и развитие. С преговорите следва да се цели също така либерализация на търговията с услуги и стоки в конкретни отрасли от пряко значение за утвърждаване на електронната търговия.</w:t>
      </w:r>
    </w:p>
    <w:p>
      <w:pPr>
        <w:pStyle w:val="NumPar1"/>
        <w:rPr>
          <w:noProof/>
        </w:rPr>
      </w:pPr>
      <w:r>
        <w:rPr>
          <w:noProof/>
        </w:rPr>
        <w:t xml:space="preserve">Преговорите следва да се провеждат и приключат, като се вземат надлежно предвид правата и задълженията на страните членки в рамките на СТО, като се съблюдават принципите на прозрачност и приобщаване и като се надгражда върху съществуващите споразумения на СТО, включително изключенията в тях. </w:t>
      </w:r>
    </w:p>
    <w:p>
      <w:pPr>
        <w:pStyle w:val="NumPar1"/>
        <w:rPr>
          <w:noProof/>
        </w:rPr>
      </w:pPr>
      <w:r>
        <w:rPr>
          <w:noProof/>
        </w:rPr>
        <w:t>Целта на преговорите следва да е разработването на правила и задължения, отговарящи на високи стандарти, с участието на възможно най-голям брой страни — членки на СТО. При преговорите следва да се отчитат конкретните възможности и предизвикателства за страните — членки на СТО, във връзка с електронната търговия. Съответно правилата и задълженията следва да предвиждат целесъобразна гъвкавост.</w:t>
      </w:r>
    </w:p>
    <w:p>
      <w:pPr>
        <w:pStyle w:val="NumPar1"/>
        <w:rPr>
          <w:b/>
          <w:noProof/>
        </w:rPr>
      </w:pPr>
      <w:r>
        <w:rPr>
          <w:noProof/>
        </w:rPr>
        <w:t xml:space="preserve">В договорените от Европейския съюз (ЕС) правила и задължения следва да се взема предвид задължението за третиране като най-облагодетелствана нация в съществуващите споразумения на СТО, освен ако страните — членки на СТО, могат да договорят различни клаузи. </w:t>
      </w:r>
    </w:p>
    <w:p>
      <w:pPr>
        <w:pStyle w:val="Heading1"/>
        <w:rPr>
          <w:noProof/>
          <w:szCs w:val="24"/>
        </w:rPr>
      </w:pPr>
      <w:r>
        <w:rPr>
          <w:noProof/>
        </w:rPr>
        <w:t>ПРЕДЛОЖЕНО СЪДЪРЖАНИЕ НА ПРАВИЛАТА И ЗАДЪЛЖЕНИЯТА</w:t>
      </w:r>
    </w:p>
    <w:p>
      <w:pPr>
        <w:pStyle w:val="NumPar1"/>
        <w:rPr>
          <w:noProof/>
        </w:rPr>
      </w:pPr>
      <w:r>
        <w:rPr>
          <w:noProof/>
        </w:rPr>
        <w:t>При преговорите следва да се разработят нови правила за търговските аспекти на електронната търговия в СТО. С тях следва да се цели подобряване на условията на световната електронна търговия в интерес на предприятията и потребителите в Европейския съюз и увеличение на участието на микро-, малките и средните предприятия, както и на развиващите се и на най-слаборазвитите държави в световните вериги на стойността.</w:t>
      </w:r>
    </w:p>
    <w:p>
      <w:pPr>
        <w:pStyle w:val="NumPar1"/>
        <w:rPr>
          <w:noProof/>
        </w:rPr>
      </w:pPr>
      <w:r>
        <w:rPr>
          <w:noProof/>
        </w:rPr>
        <w:t>Преговорите ще се водят по открит и приобщаващ начин. Поради това те могат да обхващат всички търговски аспекти на електронната търговия, предложени от участващите страни членки. Като се отчита междусекторното естество на електронната търговия, преговорите могат да обхванат въпроси, като:</w:t>
      </w:r>
    </w:p>
    <w:p>
      <w:pPr>
        <w:pStyle w:val="Tiret1"/>
        <w:numPr>
          <w:ilvl w:val="0"/>
          <w:numId w:val="1"/>
        </w:numPr>
        <w:rPr>
          <w:noProof/>
        </w:rPr>
      </w:pPr>
      <w:r>
        <w:rPr>
          <w:noProof/>
        </w:rPr>
        <w:t>улесняване на електронните трансакции (например електронни подписи и други удостоверителни услуги, електронна автентификация);</w:t>
      </w:r>
    </w:p>
    <w:p>
      <w:pPr>
        <w:pStyle w:val="Tiret1"/>
        <w:rPr>
          <w:noProof/>
        </w:rPr>
      </w:pPr>
      <w:r>
        <w:rPr>
          <w:noProof/>
        </w:rPr>
        <w:t>мита при предаването по електронен път и предаваното съдържание;</w:t>
      </w:r>
    </w:p>
    <w:p>
      <w:pPr>
        <w:pStyle w:val="Tiret1"/>
        <w:rPr>
          <w:noProof/>
        </w:rPr>
      </w:pPr>
      <w:r>
        <w:rPr>
          <w:noProof/>
        </w:rPr>
        <w:t xml:space="preserve">доверие на потребителите (например онлайн защитата на потребителите, нежелани електронни съобщения и достъп до правна защита); </w:t>
      </w:r>
    </w:p>
    <w:p>
      <w:pPr>
        <w:pStyle w:val="Tiret1"/>
        <w:rPr>
          <w:noProof/>
        </w:rPr>
      </w:pPr>
      <w:r>
        <w:rPr>
          <w:noProof/>
        </w:rPr>
        <w:lastRenderedPageBreak/>
        <w:t>регулаторни правила за далекосъобщителните услуги, за да се гарантира, че са осигурени еднакви условия на конкуренция, която да е ефективна в отрасъла на далекосъобщенията;</w:t>
      </w:r>
    </w:p>
    <w:p>
      <w:pPr>
        <w:pStyle w:val="Tiret1"/>
        <w:rPr>
          <w:noProof/>
        </w:rPr>
      </w:pPr>
      <w:r>
        <w:rPr>
          <w:noProof/>
        </w:rPr>
        <w:t>трансгранични потоци от данни, изисквания към локализирането на данните и защита на личните данни;</w:t>
      </w:r>
    </w:p>
    <w:p>
      <w:pPr>
        <w:pStyle w:val="Tiret1"/>
        <w:rPr>
          <w:noProof/>
        </w:rPr>
      </w:pPr>
      <w:r>
        <w:rPr>
          <w:noProof/>
        </w:rPr>
        <w:t>доверие на предприятията (например защита на компютърни изходни кодове, принудителен трансфер на технологии);</w:t>
      </w:r>
    </w:p>
    <w:p>
      <w:pPr>
        <w:pStyle w:val="Tiret1"/>
        <w:rPr>
          <w:noProof/>
        </w:rPr>
      </w:pPr>
      <w:r>
        <w:rPr>
          <w:noProof/>
        </w:rPr>
        <w:t>подобрен достъп до електронната търговия (например достъп до интернет, онлайн услуги и правителствени данни или отговорност на онлайн посредниците и достъп до онлайн посредниците);</w:t>
      </w:r>
    </w:p>
    <w:p>
      <w:pPr>
        <w:pStyle w:val="Tiret1"/>
        <w:rPr>
          <w:noProof/>
        </w:rPr>
      </w:pPr>
      <w:r>
        <w:rPr>
          <w:noProof/>
        </w:rPr>
        <w:t>мерки за улесняване на търговията, които са от значение за електронната търговия (например безкнижна търговия), като надлежно се взема предвид Споразумението на СТО за улесняване на търговията;</w:t>
      </w:r>
    </w:p>
    <w:p>
      <w:pPr>
        <w:pStyle w:val="Tiret1"/>
        <w:rPr>
          <w:noProof/>
        </w:rPr>
      </w:pPr>
      <w:r>
        <w:rPr>
          <w:noProof/>
        </w:rPr>
        <w:t>търговски аспекти на електронната търговия във връзка с правата върху интелектуална собственост, в това число търговските тайни;</w:t>
      </w:r>
    </w:p>
    <w:p>
      <w:pPr>
        <w:pStyle w:val="Tiret1"/>
        <w:rPr>
          <w:noProof/>
        </w:rPr>
      </w:pPr>
      <w:r>
        <w:rPr>
          <w:noProof/>
        </w:rPr>
        <w:t>свързани с развитието въпроси;</w:t>
      </w:r>
    </w:p>
    <w:p>
      <w:pPr>
        <w:pStyle w:val="Tiret1"/>
        <w:rPr>
          <w:noProof/>
        </w:rPr>
      </w:pPr>
      <w:r>
        <w:rPr>
          <w:noProof/>
        </w:rPr>
        <w:t>прозрачност, и</w:t>
      </w:r>
    </w:p>
    <w:p>
      <w:pPr>
        <w:pStyle w:val="Tiret1"/>
        <w:rPr>
          <w:noProof/>
        </w:rPr>
      </w:pPr>
      <w:r>
        <w:rPr>
          <w:noProof/>
        </w:rPr>
        <w:t xml:space="preserve">сътрудничество (например между участващите страни членки, органи за защита на потребителите). </w:t>
      </w:r>
    </w:p>
    <w:p>
      <w:pPr>
        <w:pStyle w:val="NumPar1"/>
        <w:rPr>
          <w:noProof/>
        </w:rPr>
      </w:pPr>
      <w:r>
        <w:rPr>
          <w:noProof/>
        </w:rPr>
        <w:t xml:space="preserve">Европейският съюз може също така да започне преговори по други търговски аспекти на електронната търговия, предложени от участващите страни членки, в съответствие с тези указания. </w:t>
      </w:r>
    </w:p>
    <w:p>
      <w:pPr>
        <w:pStyle w:val="NumPar1"/>
        <w:rPr>
          <w:noProof/>
        </w:rPr>
      </w:pPr>
      <w:r>
        <w:rPr>
          <w:noProof/>
        </w:rPr>
        <w:t xml:space="preserve">С преговорите следва също така да се цели постепенната либерализация на търговията с услуги и стоки, като се намалят ограниченията пред достъпа до пазара и националното третиране в определени конкретни отрасли, които са от пряко значение за утвърждаване на електронната търговия, по-специално далекосъобщителните услуги и компютърните и свързаните услуги, като се надхвърлят съществуващите задължения на страните членки в СТО. </w:t>
      </w:r>
    </w:p>
    <w:p>
      <w:pPr>
        <w:pStyle w:val="NumPar1"/>
        <w:rPr>
          <w:noProof/>
        </w:rPr>
      </w:pPr>
      <w:r>
        <w:rPr>
          <w:noProof/>
        </w:rPr>
        <w:t xml:space="preserve">Всяко договорено от Европейския съюз правило или задължение следва да отговаря на правната рамка на ЕС. </w:t>
      </w:r>
    </w:p>
    <w:p>
      <w:pPr>
        <w:pStyle w:val="NumPar1"/>
        <w:rPr>
          <w:noProof/>
          <w:sz w:val="22"/>
        </w:rPr>
      </w:pPr>
      <w:r>
        <w:rPr>
          <w:noProof/>
        </w:rPr>
        <w:t>По-конкретно Европейският съюз не приема правила или задължения, които биха могли да засегнат правната му рамка за киберсигурността, по-специално едно високо общо ниво на сигурност на мрежите и информационните системи в Европейския съюз.</w:t>
      </w:r>
    </w:p>
    <w:p>
      <w:pPr>
        <w:pStyle w:val="NumPar1"/>
        <w:rPr>
          <w:noProof/>
        </w:rPr>
      </w:pPr>
      <w:r>
        <w:rPr>
          <w:noProof/>
        </w:rPr>
        <w:t xml:space="preserve">Също така Европейският съюз не приема правила или задължения, които биха могли да засегнат правната му рамка за защита на личните данни. По отношение на трансграничните потоци от данни (изискванията към локализирането на данните и защитата на личните данни) Европейският съюз следва хоризонталния подход, възприет във връзка с двустранните търговски и инвестиционни споразумения. </w:t>
      </w:r>
    </w:p>
    <w:p>
      <w:pPr>
        <w:pStyle w:val="NumPar1"/>
        <w:rPr>
          <w:noProof/>
        </w:rPr>
      </w:pPr>
      <w:r>
        <w:rPr>
          <w:noProof/>
        </w:rPr>
        <w:t>Освен това Европейският съюз и неговите държави членки си запазват възможността да съхранят и развиват капацитета си за определяне и прилагане на културна и аудио-визуална политика с оглед на опазване на културното си многообразие. Европейският съюз не приема правила или задължения за аудио-</w:t>
      </w:r>
      <w:r>
        <w:rPr>
          <w:noProof/>
        </w:rPr>
        <w:lastRenderedPageBreak/>
        <w:t xml:space="preserve">визуалните услуги. Европейският съюз не поема задължения за услугите, нито за дейностите, предоставяни или извършвани при упражняване на държавна власт. </w:t>
      </w:r>
    </w:p>
    <w:p>
      <w:pPr>
        <w:pStyle w:val="NumPar1"/>
        <w:rPr>
          <w:noProof/>
        </w:rPr>
      </w:pPr>
      <w:r>
        <w:rPr>
          <w:noProof/>
        </w:rPr>
        <w:t>Правилата и задълженията не следва да възпрепятстват Европейския съюз, неговите държави членки и техните национални, регионални и местни органи да уреждат икономическата дейност в защита на обществения интерес с оглед на постигането на легитимните цели на обществената политика, като опазването и подобряването на общественото здраве, социалните услуги, общественото образование, безопасността, околната среда, обществения морал, социалната закрила или защитата на потребителите, неприкосновеността на личния живот и защита на личните данни, както и насърчаването и опазването на културното многообразие. Високото качество на обществените услуги в Европейския съюз следва да се запази в съответствие с Договора за функционирането на Европейския съюз, и по-специално протокол № 26 относно услугите от общ интерес, и следва да се вземат предвид резервите на Европейския съюз в тази област, включително съгласно ГАТС.</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2CCC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269F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30475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EC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F838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8E64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269E1A"/>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483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oNotDisplayPageBoundaries/>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4 14:39: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A9695261-805D-4135-BCC0-FEACA21D6BBC"/>
    <w:docVar w:name="LW_COVERPAGE_TYPE" w:val="1"/>
    <w:docVar w:name="LW_CROSSREFERENCE" w:val="&lt;UNUSED&gt;"/>
    <w:docVar w:name="LW_DocType" w:val="ANNEX"/>
    <w:docVar w:name="LW_EMISSION" w:val="2.4.2019"/>
    <w:docVar w:name="LW_EMISSION_ISODATE" w:val="2019-04-02"/>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76?\u1086?\u1087?\u1098?\u1083?\u1074?\u1072?\u1085?\u1077? \u1085?\u1072? \u1091?\u1082?\u1072?\u1079?\u1072?\u1085?\u1080?\u1103?\u1090?\u1072? \u1079?\u1072? \u1074?\u1086?\u1076?\u1077?\u1085?\u1077? \u1085?\u1072? \u1087?\u1088?\u1077?\u1075?\u1086?\u1074?\u1086?\u1088?\u1080? \u1079?\u1072? \u1055?\u1088?\u1086?\u1075?\u1088?\u1072?\u1084?\u1072?\u1090?\u1072? \u1079?\u1072? \u1088?\u1072?\u1079?\u1074?\u1080?\u1090?\u1080?\u1077? \u1086?\u1090? \u1044?\u1086?\u1093?\u1072? \u1087?\u1086? \u1086?\u1090?\u1085?\u1086?\u1096?\u1077?\u1085?\u1080?\u1077? \u1085?\u1072? \u1087?\u1083?\u1091?\u1088?\u1080?\u1083?\u1072?\u1090?\u1077?\u1088?\u1072?\u1083?\u1085?\u1080?\u1090?\u1077? \u1087?\u1088?\u1077?\u1075?\u1086?\u1074?\u1086?\u1088?\u1080? \u1074?\u1098?\u1074? \u1074?\u1088?\u1098?\u1079?\u1082?\u1072? \u1089? \u1087?\u1088?\u1072?\u1074?\u1080?\u1083?\u1072?\u1090?\u1072? \u1080? \u1079?\u1072?\u1076?\u1098?\u1083?\u1078?\u1077?\u1085?\u1080?\u1103?\u1090?\u1072? \u1079?\u1072? \u1077?\u1083?\u1077?\u1082?\u1090?\u1088?\u1086?\u1085?\u1085?\u1072?\u1090?\u1072? \u1090?\u1098?\u1088?\u1075?\u1086?\u1074?\u1080?\u1103?"/>
    <w:docVar w:name="LW_OBJETACTEPRINCIPAL.CP" w:val="\u1079?\u1072? \u1076?\u1086?\u1087?\u1098?\u1083?\u1074?\u1072?\u1085?\u1077? \u1085?\u1072? \u1091?\u1082?\u1072?\u1079?\u1072?\u1085?\u1080?\u1103?\u1090?\u1072? \u1079?\u1072? \u1074?\u1086?\u1076?\u1077?\u1085?\u1077? \u1085?\u1072? \u1087?\u1088?\u1077?\u1075?\u1086?\u1074?\u1086?\u1088?\u1080? \u1079?\u1072? \u1055?\u1088?\u1086?\u1075?\u1088?\u1072?\u1084?\u1072?\u1090?\u1072? \u1079?\u1072? \u1088?\u1072?\u1079?\u1074?\u1080?\u1090?\u1080?\u1077? \u1086?\u1090? \u1044?\u1086?\u1093?\u1072? \u1087?\u1086? \u1086?\u1090?\u1085?\u1086?\u1096?\u1077?\u1085?\u1080?\u1077? \u1085?\u1072? \u1087?\u1083?\u1091?\u1088?\u1080?\u1083?\u1072?\u1090?\u1077?\u1088?\u1072?\u1083?\u1085?\u1080?\u1090?\u1077? \u1087?\u1088?\u1077?\u1075?\u1086?\u1074?\u1086?\u1088?\u1080? \u1074?\u1098?\u1074? \u1074?\u1088?\u1098?\u1079?\u1082?\u1072? \u1089? \u1087?\u1088?\u1072?\u1074?\u1080?\u1083?\u1072?\u1090?\u1072? \u1080? \u1079?\u1072?\u1076?\u1098?\u1083?\u1078?\u1077?\u1085?\u1080?\u1103?\u1090?\u1072? \u1079?\u1072? \u1077?\u1083?\u1077?\u1082?\u1090?\u1088?\u1086?\u1085?\u1085?\u1072?\u1090?\u1072? \u1090?\u1098?\u1088?\u1075?\u1086?\u1074?\u1080?\u1103?"/>
    <w:docVar w:name="LW_PART_NBR" w:val="1"/>
    <w:docVar w:name="LW_PART_NBR_TOTAL" w:val="1"/>
    <w:docVar w:name="LW_REF.INST.NEW" w:val="COM"/>
    <w:docVar w:name="LW_REF.INST.NEW_ADOPTED" w:val="final"/>
    <w:docVar w:name="LW_REF.INST.NEW_TEXT" w:val="(2019)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56?\u1077?\u1096?\u1077?\u1085?\u1080?\u1077? \u1085?\u1072? \u1057?\u1098?\u1074?\u1077?\u1090?\u1072?"/>
    <w:docVar w:name="LW_TYPEACTEPRINCIPAL.CP" w:val="\u1055?\u1088?\u1077?\u1087?\u1086?\u1088?\u1098?\u1082?\u1072?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0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914</Words>
  <Characters>5646</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2019-04-04T10:39:00Z</dcterms:created>
  <dcterms:modified xsi:type="dcterms:W3CDTF">2019-04-04T12:39:00Z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