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013B055B-EDD5-4E89-9A51-07F12BEE9B97" style="width:450.5pt;height:352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13 декември 2017 г. на единадесетата Министерска конференция на Световната търговска организация (СТО) 70 от нейните страни членки приеха съвместно изявление относно електронната търговия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с което се започна проучвателна работа по бъдещите преговори в СТО за търговските аспекти на електронната търговия.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Европейският съюз (ЕС) оказа силна подкрепа за проучвателната работа, която се извърши през 2018 г. в рамките на СТО. Тази работа беше прозрачна и отворена за всички страни — членки на СТО, и при нея се обсъдиха търговските аспекти на електронната търговия, представени за дискусия от участващите страни членки.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След като през декември 2018 г. успешно приключи проучвателната работа, на 25 януари 2019 г. 76 страни — членки на СТО, включително ЕС, потвърдиха намерението си да започнат преговори в СТО за търговските аспекти на електронната търговия</w:t>
      </w:r>
      <w:r>
        <w:rPr>
          <w:rStyle w:val="FootnoteReference"/>
          <w:noProof/>
        </w:rPr>
        <w:footnoteReference w:id="2"/>
      </w:r>
      <w:r>
        <w:rPr>
          <w:noProof/>
        </w:rPr>
        <w:t>. Участващите страни членки потвърдиха, че ще се стремят да постигнат отговарящ на високи стандарти резултат, който надгражда върху съществуващите споразумения и рамки на СТО, като участват възможно най-много страни — членки на СТО. Участващите страни членки отчетоха конкретните възможности и предизвикателства за страните членки, в това число развиващите се и най-слаборазвитите държави, и за микро-, малките и средните предприятия във връзка с електронната търговия, и се ангажираха да ги вземат предвид. На последно място, те потвърдиха намерението си да продължават да насърчават всички страни — членки на СТО, да участват, за да се увеличат ползите от електронната търговия за предприятията, потребителите и световната икономика.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Съответно преговорите за електронната търговия следва да се провеждат в плурилатерален формат в рамките на СТО и да останат прозрачни и отворени за всяка една страна — членка на СТО, която желае да се присъедини. Участващите страни членки могат да представят всяко едно преговорно предложение в областта на търговските аспекти на електронната търговия в началото на преговорния процес в СТО или на по-късен етап.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Съветът оправомощи Комисията в рамките на Програмата за развитие от Доха (ПРД) за преговори в СТО, наред с другото, по търговията с услуги, улесняването на търговията и постепенната либерализация на търговските правила</w:t>
      </w:r>
      <w:r>
        <w:rPr>
          <w:rStyle w:val="FootnoteReference"/>
          <w:noProof/>
        </w:rPr>
        <w:footnoteReference w:id="3"/>
      </w:r>
      <w:r>
        <w:rPr>
          <w:noProof/>
        </w:rPr>
        <w:t>. Предвид на факта, че електронната търговия е един от неизменните начини за търговия с услуги и стоки</w:t>
      </w:r>
      <w:r>
        <w:rPr>
          <w:rStyle w:val="FootnoteReference"/>
          <w:noProof/>
        </w:rPr>
        <w:footnoteReference w:id="4"/>
      </w:r>
      <w:r>
        <w:rPr>
          <w:noProof/>
        </w:rPr>
        <w:t>, новите преговори в СТО за търговските аспекти на електронната търговия са в обхвата на предоставените правомощия, тъй като преговорите за електронната търговия спадат към търговията с услуги, улесняването на търговията и постепенната либерализация на търговските правила</w:t>
      </w:r>
      <w:r>
        <w:rPr>
          <w:rStyle w:val="FootnoteReference"/>
          <w:noProof/>
        </w:rPr>
        <w:footnoteReference w:id="5"/>
      </w:r>
      <w:r>
        <w:rPr>
          <w:noProof/>
        </w:rPr>
        <w:t>. Поради това не е необходимо ново решение на Съвета за оправомощаване с оглед на започването на преговори съгласно член 218, параграф 3 от Договора за функционирането на Европейския съюз (ДФЕС).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Въпреки че електронната търговия не е нов въпрос в дневния ред на СТО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плурилатералните преговори за търговските аспекти на електронната търговия биха могли обаче да са с широк обхват и да засегнат някои теми, по които ЕС има вътрешно законодателство или конкретни опасения, по-специално трансграничните потоци от данни и аудио-визуалните услуги, и специфични приоритети. Съответно, за да се зададат по-точни рамки на преговорите, Комисията препоръчва на Съвета приемането на указания за водене на преговори, които са конкретно за преговорите в СТО за електронната търговия.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 предлаганите указания за водене на преговори се цели да се гарантира, че ЕС може да започне преговори по всички търговски аспекти на електронната търговия, предложени от участващите страни — членки на СТО, в хода на преговорите, като се спазват изцяло достиженията на правото, в това число рамката за защита на личните данни, и политическите решения на ЕС при търговските преговори.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За ЕС целите при преговорите са утвърждаване на световната електронна търговия, улесняване на стопанските дейности, в това число на микро-, малките и средните предприятия, укрепване на доверието на потребителите в онлайн средата и създаване на нови възможности за стимулиране на приобщаващия растеж и развитие. За да се постигнат резултати, отговарящи на високи стандарти, с участието на възможно най-голям брой страни — членки на СТО, правилата и задълженията следва да предвиждат целесъобразна гъвкавост за страните членки.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 xml:space="preserve">Най-вероятният резултат от преговорите в СТО за електронната търговия е набор от правила на СТО, като впоследствие страните членки могат да решат едностранно да ги добавят към съответните си съществуващи списъци със задължения в СТО.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Горепосочените цели са съвместими с Договора за Европейския съюз (ДЕС), според който ЕС следва да насърчава „интеграцията на всички страни в световната икономика, включително чрез постепенно премахване на пречките пред международната търговия“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заседанието на Европейския съвет от 28 — 29 юни 2018 г. Комисията беше оправомощена да провежда политика за модернизация на СТО, за да може: 1) СТО да увеличи значимостта си и да се приспособява по-добре в условията на един променящ се свят и 2) да се увеличи ефективността на СТО. Модернизирането на начините, по които се създават правилата в СТО — една от главните цели на преговорите за електронната търговия — представлява основна част от този процес.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18 септември 2018 г. Комисията представи концептуален документ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по въпросите на модернизирането на СТО. Във връзка с укрепването на функцията за създаване на правила Комисията, наред с другото, подчерта необходимостта СТО да разгледа проблема с пречките пред цифровата търговия. В него се подчертава, че „[…] определянето на правила, обхващащи цифровата търговия, е важно за премахване на необоснованите пречки пред търговията, осъществявана по електронен път, за да се гарантира правна сигурност за дружествата и за да се осигури сигурна онлайн среда за потребителите. […] новите правила следва да обхващат не само търговията с услуги, но и всички икономически отрасли.“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ЕС систематично предлага амбициозни регулаторни правила за далекосъобщителните услуги и за цифровата търговия при преговорите си във връзка със свободната търговия. В указанията за водене на преговори, предложени с оглед на преговорите в СТО за електронната търговия, се следва същият подход като този, който ЕС следва в своите споразумения за свободна търговия (т. 10 — 12 в приложението).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Правилата, предлагани от ЕС в двустранните преговори, и тези, които ЕС може да предложи в СТО, надграждат върху законодателството на ЕС за вътрешния пазар в областта на цифровата търговия и далекосъобщителните услуги и са в пълно съответствие с него.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 предлаганите указания за водене на преговори се потвърждава, че всяко договорено от ЕС правило или задължение следва да отговаря на правната рамка на ЕС (т. 9 в приложението).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Член 207, параграф 3 и параграф 4, първа алинея във връзка с член 218, параграфи 3 и 4 от ДФЕС.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Съгласно член 207, параграф 3, когато се договарят споразумения за общата търговска политика, Комисията изготвя препоръки за Съвета. Съответните преговори се водят от Комисията в консултация със специален комитет, определен от Съвета, който я подпомага в тази задача, и в рамките на указанията, които Съветът може да ѝ отправи.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 218, параграф 3 от ДФЕС се предвижда, че Комисията представя препоръки на Съвета, който е овластен да приема решения за оправомощаване с оглед на започването на преговори, и съгласно член 218, параграф 4 от ДФЕС той може да отправя указания до преговарящия субект и да определя специален комитет, с който да се провеждат консултации при воденето на преговорите.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Що се отнася до преговорите в СТО за електронната търговия, Съветът вече оправомощи с оглед на започването на преговори и изготви указания за Комисията, като предоставените правомощия касаят търговията с услуги, улесняването на търговията и постепенната либерализация на търговските правила в СТО, което обхваща търговските правила и задълженията, свързани с електронната търговия (вж. раздел 1). Въпреки това е необходимо да се приемат допълнителни указания за водене на преговори, за да се зададат по-точни рамки за целта. Съответно Комисията препоръчва на Съвета да приеме решение на основание член 207, параграф 3 и параграф 4, първа алинея във връзка с член 218, параграфи 3 и 4 от ДФЕС.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 3 от ДФЕС общата търговска политика е област на изключителна компетентност на ЕС. Поради това принципът на субсидиарност не се прилага (член 5, параграф 3 от ДЕС).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. Препоръката на Комисията отговаря на принципа на пропорционалност.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Решение на Съвета на Европейския съюз за указанията за водене на преговори във връзка с търговските аспекти на електронната търговия, за да се допълнят указанията, изготвени за Комисията в рамките на ПРД.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съществуващото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проведе обществена консултация, тъй като все още не са известни аспектите по същество от преговорите в СТО.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провежда редовни консултации със заинтересованите страни, включително в експертната група за търговските споразумения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и в рамките на диалога с гражданското общество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налага оценка на въздействието на този етап, тъй като преговорите в СТО за електронната търговия се основават на правомощията, които Съветът предостави на Комисията за преговори в СТО (вж. раздел 1). Предметът на преговорите не представлява нова област на политиката. Преговорите са продължение на по-широките преговори в СТО, които се провеждат от години.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Освен това е от основно значение ЕС да извърши бърз напредък и да взема участие още от ранните етапи на преговорите.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Последиците от възможните нови правила и задължения в резултат на плурилатералните преговори в СТО не могат да се определят предварително. Първо, защото преговорните предложения не са представени още от участващите страни — членки на СТО. Второ, тъй като не е ясно кои страни членки ще поемат задължения за всички или за част от новите правила и задължения в рамките на СТО.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Необходимостта от оценка на въздействието ще се разгледа отново при приключване на преговорите в СТО.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Инициативата напълно съблюдава Хартата на основните права на Европейския съюз, и по-конкретно член 8 за защитата на личните данни.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няма отражение върху бюджета.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допълване на указанията за водене на преговори за Програмата за развитие от Доха по отношение на плурилатералните преговори във връзка с правилата и задълженията за електронната търговия 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207, параграф 3 и параграф 4, първа алинея във връзка с член 218, параграфи 3 и 4 от него, 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13 декември 2017 г. на единадесетата Министерска конференция на Световната търговска организация (СТО) 70 от нейните страни членки приеха съвместно изявление относно електронната търговия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, с което се започна проучвателна работа по бъдещите преговори в СТО за търговските аспекти на електронната търговия.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На 25 януари 2019 г. 76 страни — членки на СТО, потвърдиха намерението си да започнат преговори в СТО за търговските аспекти на електронната търговия</w:t>
      </w:r>
      <w:r>
        <w:rPr>
          <w:rStyle w:val="FootnoteReference"/>
          <w:noProof/>
        </w:rPr>
        <w:footnoteReference w:id="1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рамките на Програмата за развитие от Доха Съветът оправомощи с оглед на започването на преговори в Световната търговска организация и изготви указания за Комисията, наред с другото, във връзка с търговията с услуги, улесняването на търговията и постепенната либерализация на търговските правила.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Необходимо е да се приемат допълнителни указания за водене на преговори, за да се доуточни позицията на Съюза при преговорите в СТО за търговските аспекти на електронната търговия.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Съгласно член 218, параграф 4 комитетът „Търговска политика“ следва да продължи да е комитетът, с който се провеждат консултации във връзка с преговорите,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Указанията за водене на преговори, изготвени за Комисията във връзка с Програмата за развитие от Доха, се допълват с указанията за водене на преговори за плурилатералните преговори във връзка с правилата и задълженията за електронната търговия, които са представени в приложението.</w:t>
      </w:r>
      <w:bookmarkStart w:id="1" w:name="_CopyToNewDocument_"/>
      <w:bookmarkEnd w:id="1"/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WT/MIN(17)/60.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WT/L/1056.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Серия от заключения на Съвета от периода от 25 октомври 1999 г. до 10 март 2008 г. представят правомощията в рамките на ПРД.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Работната програма от 25 септември 1998 г. предвижда, че електронната търговия е производството, разпространението, пускането на пазара, продажбата или доставката на стоки или услуги чрез електронни средства.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По-конкретно се прави препратка към заключенията на Съвета от 25 октомври 1999 г., 21 ноември 2001 г., 21 юли 2003 г. (където специално се предвижда, че министерските декларации от Сингапур и Доха и свързаните текстове, приети в Доха, както и по-ранните заключения на Съвета представляват основанието за действие от страна на Съюза при преговорите в рамките на ПРД), 5 декември 2003 г., 6 октомври 2004 г., 19 юли 2005 г., 18 октомври 2005 г., 21 ноември 2005 г., 12 юни 2006 г. и 10 март 2008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Работната програма на СТО за електронната търговия беше започната през 1998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Член 21, параграф 2, буква д) от ДЕС.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http://trade.ec.europa.eu/doclib/docs/2018/september/tradoc_157331.pdf</w:t>
        </w:r>
      </w:hyperlink>
      <w:r>
        <w:t xml:space="preserve"> 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http://ec.europa.eu/trade/trade-policy-and-you/expert-groups/</w:t>
        </w:r>
      </w:hyperlink>
      <w:r>
        <w:t xml:space="preserve"> 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http://trade.ec.europa.eu/civilsoc/meetdetails.cfm?meet=11531</w:t>
        </w:r>
      </w:hyperlink>
      <w:r>
        <w:t xml:space="preserve"> </w:t>
      </w:r>
    </w:p>
  </w:footnote>
  <w:footnote w:id="11">
    <w:p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ab/>
        <w:t>WT/MIN(17)/60.</w:t>
      </w:r>
    </w:p>
  </w:footnote>
  <w:footnote w:id="12">
    <w:p>
      <w:pPr>
        <w:pStyle w:val="FootnoteText"/>
        <w:rPr>
          <w:lang w:val="da-DK"/>
        </w:rPr>
      </w:pPr>
      <w:r>
        <w:rPr>
          <w:rStyle w:val="FootnoteReference"/>
        </w:rPr>
        <w:footnoteRef/>
      </w:r>
      <w:r>
        <w:tab/>
        <w:t>WT/L/1056.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796BD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4A94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D4EBB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C606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89669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C80CD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0CE6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1D2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0"/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4-04 14:39:1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13B055B-EDD5-4E89-9A51-07F12BEE9B97"/>
    <w:docVar w:name="LW_COVERPAGE_TYPE" w:val="1"/>
    <w:docVar w:name="LW_CROSSREFERENCE" w:val="&lt;UNUSED&gt;"/>
    <w:docVar w:name="LW_DocType" w:val="COM"/>
    <w:docVar w:name="LW_EMISSION" w:val="2.4.2019"/>
    <w:docVar w:name="LW_EMISSION_ISODATE" w:val="2019-04-02"/>
    <w:docVar w:name="LW_EMISSION_LOCATION" w:val="BRX"/>
    <w:docVar w:name="LW_EMISSION_PREFIX" w:val="Брюксел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1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76?\u1086?\u1087?\u1098?\u1083?\u1074?\u1072?\u1085?\u1077? \u1085?\u1072? \u1091?\u1082?\u1072?\u1079?\u1072?\u1085?\u1080?\u1103?\u1090?\u1072? \u1079?\u1072? \u1074?\u1086?\u1076?\u1077?\u1085?\u1077? \u1085?\u1072? \u1087?\u1088?\u1077?\u1075?\u1086?\u1074?\u1086?\u1088?\u1080? \u1079?\u1072? \u1055?\u1088?\u1086?\u1075?\u1088?\u1072?\u1084?\u1072?\u1090?\u1072? \u1079?\u1072? \u1088?\u1072?\u1079?\u1074?\u1080?\u1090?\u1080?\u1077? \u1086?\u1090? \u1044?\u1086?\u1093?\u1072? \u1087?\u1086? \u1086?\u1090?\u1085?\u1086?\u1096?\u1077?\u1085?\u1080?\u1077? \u1085?\u1072? \u1087?\u1083?\u1091?\u1088?\u1080?\u1083?\u1072?\u1090?\u1077?\u1088?\u1072?\u1083?\u1085?\u1080?\u1090?\u1077? \u1087?\u1088?\u1077?\u1075?\u1086?\u1074?\u1086?\u1088?\u1080? \u1074?\u1098?\u1074? \u1074?\u1088?\u1098?\u1079?\u1082?\u1072? \u1089? \u1087?\u1088?\u1072?\u1074?\u1080?\u1083?\u1072?\u1090?\u1072? \u1080? \u1079?\u1072?\u1076?\u1098?\u1083?\u1078?\u1077?\u1085?\u1080?\u1103?\u1090?\u1072? \u1079?\u1072? \u1077?\u1083?\u1077?\u1082?\u1090?\u1088?\u1086?\u1085?\u1085?\u1072?\u1090?\u1072? \u1090?\u1098?\u1088?\u1075?\u1086?\u1074?\u1080?\u1103? 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rade.ec.europa.eu/civilsoc/meetdetails.cfm?meet=11531" TargetMode="External"/><Relationship Id="rId2" Type="http://schemas.openxmlformats.org/officeDocument/2006/relationships/hyperlink" Target="http://ec.europa.eu/trade/trade-policy-and-you/expert-groups/" TargetMode="External"/><Relationship Id="rId1" Type="http://schemas.openxmlformats.org/officeDocument/2006/relationships/hyperlink" Target="http://trade.ec.europa.eu/doclib/docs/2018/september/tradoc_15733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8</Pages>
  <Words>1969</Words>
  <Characters>11227</Characters>
  <Application>Microsoft Office Word</Application>
  <DocSecurity>0</DocSecurity>
  <Lines>215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DIGIT/C6</cp:lastModifiedBy>
  <cp:revision>19</cp:revision>
  <dcterms:created xsi:type="dcterms:W3CDTF">2019-04-04T10:20:00Z</dcterms:created>
  <dcterms:modified xsi:type="dcterms:W3CDTF">2019-04-04T12:39:00Z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