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38" w:rsidRDefault="00136E25">
      <w:pPr>
        <w:pStyle w:val="Pagedecouverture"/>
        <w:rPr>
          <w:noProof/>
          <w:highlight w:val="yellow"/>
        </w:rPr>
      </w:pPr>
      <w:r w:rsidRPr="00136E2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94F555C-F5E2-4FC1-92C4-AB4470BDE9E9" style="width:450pt;height:397.8pt">
            <v:imagedata r:id="rId11" o:title=""/>
          </v:shape>
        </w:pict>
      </w:r>
      <w:bookmarkStart w:id="0" w:name="_GoBack"/>
      <w:bookmarkEnd w:id="0"/>
    </w:p>
    <w:p w:rsidR="00F33F38" w:rsidRDefault="00F33F38">
      <w:pPr>
        <w:rPr>
          <w:noProof/>
          <w:highlight w:val="yellow"/>
        </w:rPr>
        <w:sectPr w:rsidR="00F33F38">
          <w:footerReference w:type="default" r:id="rId12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F33F38" w:rsidRDefault="00136E25">
      <w:pPr>
        <w:pStyle w:val="Annexetitre"/>
        <w:rPr>
          <w:noProof/>
        </w:rPr>
      </w:pPr>
      <w:r>
        <w:rPr>
          <w:noProof/>
        </w:rPr>
        <w:lastRenderedPageBreak/>
        <w:t>ПРИЛОЖЕНИЕ I</w:t>
      </w:r>
    </w:p>
    <w:p w:rsidR="00F33F38" w:rsidRDefault="00136E25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Позиция на Съюза по ключовите въпроси за обсъждане на 18-ата Конференция на страните по Конвенцията по международната търговия със</w:t>
      </w:r>
      <w:r>
        <w:rPr>
          <w:b/>
          <w:noProof/>
          <w:u w:val="single"/>
        </w:rPr>
        <w:t xml:space="preserve"> застрашени видове от дивата фауна и флора (CITES), Коломбо, Шри Ланка, 23 май—3 юни 2019 г.</w:t>
      </w:r>
    </w:p>
    <w:p w:rsidR="00F33F38" w:rsidRDefault="00136E25">
      <w:pPr>
        <w:pStyle w:val="ManualHeading1"/>
        <w:rPr>
          <w:noProof/>
        </w:rPr>
      </w:pPr>
      <w:r>
        <w:rPr>
          <w:noProof/>
        </w:rPr>
        <w:t>A.</w:t>
      </w:r>
      <w:r>
        <w:rPr>
          <w:noProof/>
        </w:rPr>
        <w:tab/>
        <w:t>Общи съображения</w:t>
      </w:r>
    </w:p>
    <w:p w:rsidR="00F33F38" w:rsidRDefault="00136E25">
      <w:pPr>
        <w:pStyle w:val="NumPar1"/>
        <w:numPr>
          <w:ilvl w:val="0"/>
          <w:numId w:val="9"/>
        </w:numPr>
        <w:rPr>
          <w:noProof/>
        </w:rPr>
      </w:pPr>
      <w:r>
        <w:rPr>
          <w:noProof/>
        </w:rPr>
        <w:t xml:space="preserve">Съюзът счита CITES за ключова международна конвенция за опазване на биологичното разнообразие и за борба срещу трафика на екземпляри от дивата </w:t>
      </w:r>
      <w:r>
        <w:rPr>
          <w:noProof/>
        </w:rPr>
        <w:t xml:space="preserve">флора и фауна. </w:t>
      </w:r>
    </w:p>
    <w:p w:rsidR="00F33F38" w:rsidRDefault="00136E25">
      <w:pPr>
        <w:pStyle w:val="NumPar1"/>
        <w:rPr>
          <w:noProof/>
        </w:rPr>
      </w:pPr>
      <w:r>
        <w:rPr>
          <w:noProof/>
        </w:rPr>
        <w:t xml:space="preserve">За 18-ата Конференция на страните по CITES (CoP 18) Съюзът следва да приеме амбициозна позиция, съобразена с неговите политики и международни ангажименти в съответните области, по-специално целите, свързани с дивата природа съгласно цел за </w:t>
      </w:r>
      <w:r>
        <w:rPr>
          <w:noProof/>
        </w:rPr>
        <w:t>устойчиво развитие 15, стратегическия план за биологично разнообразие за периода 2011—2020 г. и целите от Аичи, договорени в рамките на Конвенцията за биологичното разнообразие, стратегическите намерения на CITES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 Резолюция 71/326 на Общото събрание на О</w:t>
      </w:r>
      <w:r>
        <w:rPr>
          <w:noProof/>
        </w:rPr>
        <w:t>ОН относно борбата с незаконния трафик на екземпляри от дивата флора и фауна. Позицията на Съюза следва също така да подпомогне постигането на определените на равнище ЕС цели чрез стратегията на ЕС за биологичното разнообразие до 2020 г., плана за действие</w:t>
      </w:r>
      <w:r>
        <w:rPr>
          <w:noProof/>
        </w:rPr>
        <w:t xml:space="preserve"> на ЕС срещу трафика на екземпляри от дивата флора и фауна, подхода на ЕС за насърчаване на търговията и устойчивото развитие, отразен в неговата стратегия „Търговията — за всички“, общата политика в областта на рибарството и плана за действие на ЕС за опа</w:t>
      </w:r>
      <w:r>
        <w:rPr>
          <w:noProof/>
        </w:rPr>
        <w:t>зване и управление на популациите от акули.</w:t>
      </w:r>
    </w:p>
    <w:p w:rsidR="00F33F38" w:rsidRDefault="00136E25">
      <w:pPr>
        <w:pStyle w:val="NumPar1"/>
        <w:rPr>
          <w:noProof/>
        </w:rPr>
      </w:pPr>
      <w:r>
        <w:rPr>
          <w:noProof/>
        </w:rPr>
        <w:t>Приоритетите на Съюза по време на CoP 18 по CITES следва да бъдат следните:</w:t>
      </w:r>
    </w:p>
    <w:p w:rsidR="00F33F38" w:rsidRDefault="00136E25">
      <w:pPr>
        <w:pStyle w:val="Bullet1"/>
        <w:numPr>
          <w:ilvl w:val="0"/>
          <w:numId w:val="10"/>
        </w:numPr>
        <w:rPr>
          <w:noProof/>
        </w:rPr>
      </w:pPr>
      <w:r>
        <w:rPr>
          <w:noProof/>
        </w:rPr>
        <w:t>цялостно използване на инструментите на CITES за регулиране на международната търговия със застрашени видове животни и растения, които с</w:t>
      </w:r>
      <w:r>
        <w:rPr>
          <w:noProof/>
        </w:rPr>
        <w:t>а обект на неустойчиви нива на търговия, като се следва научнообоснован подход;</w:t>
      </w:r>
    </w:p>
    <w:p w:rsidR="00F33F38" w:rsidRDefault="00136E25">
      <w:pPr>
        <w:pStyle w:val="Bullet1"/>
        <w:rPr>
          <w:noProof/>
        </w:rPr>
      </w:pPr>
      <w:r>
        <w:rPr>
          <w:noProof/>
        </w:rPr>
        <w:t xml:space="preserve">засилване на ответните действия на международната общност срещу трафика на екземпляри от дивата флора и фауна; </w:t>
      </w:r>
    </w:p>
    <w:p w:rsidR="00F33F38" w:rsidRDefault="00136E25">
      <w:pPr>
        <w:pStyle w:val="Bullet1"/>
        <w:rPr>
          <w:noProof/>
        </w:rPr>
      </w:pPr>
      <w:r>
        <w:rPr>
          <w:noProof/>
        </w:rPr>
        <w:t>гарантиране, че статутът и правата на ЕС като страна по Конвенци</w:t>
      </w:r>
      <w:r>
        <w:rPr>
          <w:noProof/>
        </w:rPr>
        <w:t>ята продължават да бъдат изцяло отразени в съответните процедурни правила и договорености.</w:t>
      </w:r>
    </w:p>
    <w:p w:rsidR="00F33F38" w:rsidRDefault="00136E25">
      <w:pPr>
        <w:pStyle w:val="NumPar1"/>
        <w:rPr>
          <w:noProof/>
        </w:rPr>
      </w:pPr>
      <w:r>
        <w:rPr>
          <w:noProof/>
        </w:rPr>
        <w:t xml:space="preserve">Позицията на Съюза следва да отчита приноса, който проверките по CITES могат да окажат за подобряване на природозащитния статус на видовете, като същевременно се </w:t>
      </w:r>
      <w:r>
        <w:rPr>
          <w:noProof/>
        </w:rPr>
        <w:t>признават усилията на държавите, прилагащи ефективни мерки за опазване. Съюзът следва да гарантира, че взетите на CoP 18 решения водят до максимална ефективност на CITES, а ненужните административни пречки се свеждат до минимум чрез практически, икономичес</w:t>
      </w:r>
      <w:r>
        <w:rPr>
          <w:noProof/>
        </w:rPr>
        <w:t>ки ефективни и функционални решения на проблемите по прилагането и мониторинга.</w:t>
      </w:r>
    </w:p>
    <w:p w:rsidR="00F33F38" w:rsidRDefault="00136E25">
      <w:pPr>
        <w:pStyle w:val="NumPar1"/>
        <w:rPr>
          <w:noProof/>
        </w:rPr>
      </w:pPr>
      <w:r>
        <w:rPr>
          <w:noProof/>
        </w:rPr>
        <w:lastRenderedPageBreak/>
        <w:t>Конференцията на страните е управляващият орган на CITES и редица решения, приети в рамките на CoP 18, ще бъдат изпълнени от Постоянния комитет, който е нейн основен спомагател</w:t>
      </w:r>
      <w:r>
        <w:rPr>
          <w:noProof/>
        </w:rPr>
        <w:t>ен орган. Поради това установената за CoP 18 по CITES позиция на Съюза следва да определи и неговия подход на 71-вото и 72-рото заседание на Постоянния комитет, които се провеждат непосредствено преди и след COP 18.</w:t>
      </w:r>
    </w:p>
    <w:p w:rsidR="00F33F38" w:rsidRDefault="00136E25">
      <w:pPr>
        <w:pStyle w:val="ManualHeading1"/>
        <w:rPr>
          <w:noProof/>
        </w:rPr>
      </w:pPr>
      <w:r>
        <w:rPr>
          <w:noProof/>
        </w:rPr>
        <w:t>Б.</w:t>
      </w:r>
      <w:r>
        <w:rPr>
          <w:noProof/>
        </w:rPr>
        <w:tab/>
        <w:t>Специфични въпроси</w:t>
      </w:r>
    </w:p>
    <w:p w:rsidR="00F33F38" w:rsidRDefault="00136E25">
      <w:pPr>
        <w:pStyle w:val="NumPar1"/>
        <w:rPr>
          <w:noProof/>
        </w:rPr>
      </w:pPr>
      <w:r>
        <w:rPr>
          <w:noProof/>
        </w:rPr>
        <w:t>За обсъждане в рам</w:t>
      </w:r>
      <w:r>
        <w:rPr>
          <w:noProof/>
        </w:rPr>
        <w:t xml:space="preserve">ките на CoP 18 по CITES са внесени петдесет и седем </w:t>
      </w:r>
      <w:r>
        <w:rPr>
          <w:b/>
          <w:noProof/>
        </w:rPr>
        <w:t>предложения за изменение на приложенията към CITES</w:t>
      </w:r>
      <w:r>
        <w:rPr>
          <w:noProof/>
        </w:rPr>
        <w:t>. Дванадесет от тези предложения са представени от Съюза като основен поддръжник или като съвносител, следователно тяхното приемане следва също така да бъ</w:t>
      </w:r>
      <w:r>
        <w:rPr>
          <w:noProof/>
        </w:rPr>
        <w:t>де подкрепено от Съюза. Позицията на Съюза по всичките предложения следва да се основава на природозащитния статус на засегнатите видове и на въздействието, което търговията оказва или би оказвала върху тези видове, в съответствие с Резолюция 9.24 на Конфе</w:t>
      </w:r>
      <w:r>
        <w:rPr>
          <w:noProof/>
        </w:rPr>
        <w:t>ренцията на страните относно критериите за изменение на приложения I и II. По-специално внимание следва да се отдели на мненията на държавите, в които засегнатите от предложенията видове са разпространени. Съюзът също така счита, че принципно следва да бъд</w:t>
      </w:r>
      <w:r>
        <w:rPr>
          <w:noProof/>
        </w:rPr>
        <w:t>ат подкрепени предложенията за изменение на приложенията към CITES, които произтичат от работата на комитетите по животните и растенията към CITES и на Постоянния комитет. Освен това следва да се вземат предвид оценката на предложенията, изготвена от Секре</w:t>
      </w:r>
      <w:r>
        <w:rPr>
          <w:noProof/>
        </w:rPr>
        <w:t>тариата на CITES, IUCN и Traffic</w:t>
      </w:r>
      <w:r>
        <w:rPr>
          <w:rStyle w:val="FootnoteReference"/>
          <w:noProof/>
        </w:rPr>
        <w:footnoteReference w:id="2"/>
      </w:r>
      <w:r>
        <w:rPr>
          <w:noProof/>
        </w:rPr>
        <w:t>, както и — по отношение на морските видове, експлоатирани с търговска цел — оценката на специалната работна група на ФАО, когато бъдат предоставени.</w:t>
      </w:r>
    </w:p>
    <w:p w:rsidR="00F33F38" w:rsidRDefault="00136E25">
      <w:pPr>
        <w:pStyle w:val="NumPar1"/>
        <w:rPr>
          <w:noProof/>
        </w:rPr>
      </w:pPr>
      <w:r>
        <w:rPr>
          <w:noProof/>
        </w:rPr>
        <w:t>В съответствие със своята утвърдена позиция ЕС отново подчертава, че CITE</w:t>
      </w:r>
      <w:r>
        <w:rPr>
          <w:noProof/>
        </w:rPr>
        <w:t xml:space="preserve">S е подходящ инструмент за регулиране на международната търговия с </w:t>
      </w:r>
      <w:r>
        <w:rPr>
          <w:b/>
          <w:noProof/>
        </w:rPr>
        <w:t>морски видове</w:t>
      </w:r>
      <w:r>
        <w:rPr>
          <w:noProof/>
        </w:rPr>
        <w:t>, когато природозащитният им статус е засегнат от търговията и когато са (или е възможно да бъдат) застрашени от изчезване. По-специално Съюзът пледира за включване в приложени</w:t>
      </w:r>
      <w:r>
        <w:rPr>
          <w:noProof/>
        </w:rPr>
        <w:t xml:space="preserve">е II към CITES на три вида морски краставици от рода </w:t>
      </w:r>
      <w:r>
        <w:rPr>
          <w:i/>
          <w:noProof/>
        </w:rPr>
        <w:t xml:space="preserve">Holothuria (Microthele) </w:t>
      </w:r>
      <w:r>
        <w:rPr>
          <w:noProof/>
        </w:rPr>
        <w:t>поради прекомерната експлоатация на тези видове и големия обем на международната търговия с тях.</w:t>
      </w:r>
    </w:p>
    <w:p w:rsidR="00F33F38" w:rsidRDefault="00136E25">
      <w:pPr>
        <w:pStyle w:val="NumPar1"/>
        <w:rPr>
          <w:noProof/>
        </w:rPr>
      </w:pPr>
      <w:r>
        <w:rPr>
          <w:noProof/>
        </w:rPr>
        <w:t>Съюзът отбелязва, че през последните години е свършена значителна работа за</w:t>
      </w:r>
      <w:r>
        <w:rPr>
          <w:b/>
          <w:noProof/>
        </w:rPr>
        <w:t xml:space="preserve"> изграж</w:t>
      </w:r>
      <w:r>
        <w:rPr>
          <w:b/>
          <w:noProof/>
        </w:rPr>
        <w:t>дане на капацитет за прилагането</w:t>
      </w:r>
      <w:r>
        <w:rPr>
          <w:noProof/>
        </w:rPr>
        <w:t xml:space="preserve"> на CITES, не на последно място по отношение на морските видове, включително чрез финансовата подкрепа на Съюза. Съюзът подкрепя по-добро съгласуване между CITES, регионалните организации за управление на рибарството и други</w:t>
      </w:r>
      <w:r>
        <w:rPr>
          <w:noProof/>
        </w:rPr>
        <w:t xml:space="preserve"> съответни органи в рамките на съответните им мандати, с цел подобряване на управлението и взаимното допълване. По-конкретно Съюзът е съвносител на предложенията за включване в приложение II към CITES на определени видове акули (късопера акула мако – </w:t>
      </w:r>
      <w:r>
        <w:rPr>
          <w:i/>
          <w:noProof/>
        </w:rPr>
        <w:t>Isuru</w:t>
      </w:r>
      <w:r>
        <w:rPr>
          <w:i/>
          <w:noProof/>
        </w:rPr>
        <w:t>s oxyrinchus</w:t>
      </w:r>
      <w:r>
        <w:rPr>
          <w:noProof/>
        </w:rPr>
        <w:t xml:space="preserve"> – и дългопера акула мако</w:t>
      </w:r>
      <w:r>
        <w:rPr>
          <w:i/>
          <w:noProof/>
        </w:rPr>
        <w:t xml:space="preserve"> –Isurus paucus)</w:t>
      </w:r>
      <w:r>
        <w:rPr>
          <w:noProof/>
        </w:rPr>
        <w:t xml:space="preserve"> и скатови (гигантски китарни риби – </w:t>
      </w:r>
      <w:r>
        <w:rPr>
          <w:i/>
          <w:noProof/>
        </w:rPr>
        <w:t>Glaucostegus</w:t>
      </w:r>
      <w:r>
        <w:rPr>
          <w:noProof/>
        </w:rPr>
        <w:t xml:space="preserve"> spp. – и видове от семейство Rhinidae spp.). В случая на късоперата акула мако (</w:t>
      </w:r>
      <w:r>
        <w:rPr>
          <w:i/>
          <w:noProof/>
        </w:rPr>
        <w:t>Isurus oxyrinchus)</w:t>
      </w:r>
      <w:r>
        <w:rPr>
          <w:noProof/>
        </w:rPr>
        <w:t xml:space="preserve"> Съюзът следва да определи </w:t>
      </w:r>
      <w:r>
        <w:rPr>
          <w:noProof/>
        </w:rPr>
        <w:lastRenderedPageBreak/>
        <w:t>окончателно позицията си, ка</w:t>
      </w:r>
      <w:r>
        <w:rPr>
          <w:noProof/>
        </w:rPr>
        <w:t>то вземе предвид резултатите от оценките на експертната консултативна група на ФАО, Секретариата на CITES и IUCN.</w:t>
      </w:r>
    </w:p>
    <w:p w:rsidR="00F33F38" w:rsidRDefault="00136E25">
      <w:pPr>
        <w:pStyle w:val="NumPar1"/>
        <w:rPr>
          <w:noProof/>
        </w:rPr>
      </w:pPr>
      <w:r>
        <w:rPr>
          <w:noProof/>
        </w:rPr>
        <w:t>В рамките на CoP17 в приложение II на CITES бяха включени допълнителни видове розово дърво (</w:t>
      </w:r>
      <w:r>
        <w:rPr>
          <w:i/>
          <w:noProof/>
        </w:rPr>
        <w:t>Pterocarpus erinaceus</w:t>
      </w:r>
      <w:r>
        <w:rPr>
          <w:noProof/>
        </w:rPr>
        <w:t xml:space="preserve">, три вида от </w:t>
      </w:r>
      <w:r>
        <w:rPr>
          <w:i/>
          <w:noProof/>
        </w:rPr>
        <w:t>Guibourtia</w:t>
      </w:r>
      <w:r>
        <w:rPr>
          <w:noProof/>
        </w:rPr>
        <w:t xml:space="preserve"> и </w:t>
      </w:r>
      <w:r>
        <w:rPr>
          <w:i/>
          <w:noProof/>
        </w:rPr>
        <w:t>Dalbergia</w:t>
      </w:r>
      <w:r>
        <w:rPr>
          <w:noProof/>
        </w:rPr>
        <w:t xml:space="preserve"> spp.), за да се контролира по-добре международната търговия с тези </w:t>
      </w:r>
      <w:r>
        <w:rPr>
          <w:b/>
          <w:noProof/>
        </w:rPr>
        <w:t>тропически дървесни видове</w:t>
      </w:r>
      <w:r>
        <w:rPr>
          <w:noProof/>
        </w:rPr>
        <w:t>. За Съюза е важно да се гарантира, че настоящата анотация #15 бъде изменена, за да бъде поставен акцентът върху екземплярите, които се срещат за първи п</w:t>
      </w:r>
      <w:r>
        <w:rPr>
          <w:noProof/>
        </w:rPr>
        <w:t>ът в международната търговия, и да се избегнат ненужни административни тежести и тежести при правоприлагането. Поради това ЕС следва да подкрепи консенсусното изменение на анотация #15, постигнато на 70-ото заседание на Постоянния комитет, като същевременн</w:t>
      </w:r>
      <w:r>
        <w:rPr>
          <w:noProof/>
        </w:rPr>
        <w:t>о остане отворен за потенциални окончателни подобрения, до които може би ще доведат консултациите с други страни. В съответствие с ангажимента си за по-добър контрол на вноса на дървен материал от Централна Африка Съюзът следва също така да подкрепи разшир</w:t>
      </w:r>
      <w:r>
        <w:rPr>
          <w:noProof/>
        </w:rPr>
        <w:t>яването на приложното поле на настоящото вписване в CITES на афрормозия (</w:t>
      </w:r>
      <w:r>
        <w:rPr>
          <w:i/>
          <w:noProof/>
        </w:rPr>
        <w:t>Pericopsis elat</w:t>
      </w:r>
      <w:r>
        <w:rPr>
          <w:noProof/>
        </w:rPr>
        <w:t>a) в приложение II към Конвенцията.</w:t>
      </w:r>
    </w:p>
    <w:p w:rsidR="00F33F38" w:rsidRDefault="00136E25">
      <w:pPr>
        <w:pStyle w:val="NumPar1"/>
        <w:rPr>
          <w:noProof/>
        </w:rPr>
      </w:pPr>
      <w:r>
        <w:rPr>
          <w:noProof/>
        </w:rPr>
        <w:t>Освен това Съюзът следва да подкрепи трансверсалните усилия за по-ефективно регулиране на международната търговия със застрашени вид</w:t>
      </w:r>
      <w:r>
        <w:rPr>
          <w:noProof/>
        </w:rPr>
        <w:t xml:space="preserve">ове на дивата флора и фауна, включително предложената резолюция относно </w:t>
      </w:r>
      <w:r>
        <w:rPr>
          <w:b/>
          <w:noProof/>
        </w:rPr>
        <w:t>проверката на законното придобиване</w:t>
      </w:r>
      <w:r>
        <w:rPr>
          <w:noProof/>
        </w:rPr>
        <w:t xml:space="preserve">, която се основава на резултатите от специална работна среща, на която ЕС беше домакин през юни 2018 г. Приемането от CоP 18 на нова </w:t>
      </w:r>
      <w:r>
        <w:rPr>
          <w:b/>
          <w:noProof/>
        </w:rPr>
        <w:t>стратегическа в</w:t>
      </w:r>
      <w:r>
        <w:rPr>
          <w:b/>
          <w:noProof/>
        </w:rPr>
        <w:t>изия</w:t>
      </w:r>
      <w:r>
        <w:rPr>
          <w:noProof/>
        </w:rPr>
        <w:t xml:space="preserve"> за CITES за периода 2021—2030 г. предоставя възможност за консолидиране и, където е необходимо, изясняване на ролята на Конвенцията в по-широкия контекст на международното управление в областта на околната среда, включително рамката за биологичното ра</w:t>
      </w:r>
      <w:r>
        <w:rPr>
          <w:noProof/>
        </w:rPr>
        <w:t>знообразие за периода след 2020 г. съгласно Конвенцията за биологичното разнообразие.</w:t>
      </w:r>
    </w:p>
    <w:p w:rsidR="00F33F38" w:rsidRDefault="00136E25">
      <w:pPr>
        <w:pStyle w:val="NumPar1"/>
        <w:rPr>
          <w:noProof/>
        </w:rPr>
      </w:pPr>
      <w:r>
        <w:rPr>
          <w:noProof/>
        </w:rPr>
        <w:t xml:space="preserve">Позицията на Съюза относно предложенията, свързани с </w:t>
      </w:r>
      <w:r>
        <w:rPr>
          <w:b/>
          <w:noProof/>
        </w:rPr>
        <w:t>трафика на екземпляри от дивата флора и фауна</w:t>
      </w:r>
      <w:r>
        <w:rPr>
          <w:noProof/>
        </w:rPr>
        <w:t>, следва да бъде в съответствие с трите приоритета, набелязани в плана з</w:t>
      </w:r>
      <w:r>
        <w:rPr>
          <w:noProof/>
        </w:rPr>
        <w:t>а действие на ЕС срещу трафика на екземпляри от дивата флора и фауна и в свързаните с него заключения на Съвета. Позицията следва да вземе под внимание и неотдавнашния доклад на Комисията относно изпълнението на плана за действие.</w:t>
      </w:r>
    </w:p>
    <w:p w:rsidR="00F33F38" w:rsidRDefault="00136E25">
      <w:pPr>
        <w:pStyle w:val="NumPar1"/>
        <w:rPr>
          <w:noProof/>
        </w:rPr>
      </w:pPr>
      <w:r>
        <w:rPr>
          <w:noProof/>
        </w:rPr>
        <w:t>В съответствие с първия п</w:t>
      </w:r>
      <w:r>
        <w:rPr>
          <w:noProof/>
        </w:rPr>
        <w:t xml:space="preserve">риоритет от плана за действие Съюзът насърчава по-добрата защита чрез CITES на видове, чийто внос в ЕС понастоящем е неустойчив или незаконен (по-специално за търговията с </w:t>
      </w:r>
      <w:r>
        <w:rPr>
          <w:b/>
          <w:noProof/>
        </w:rPr>
        <w:t>екзотични домашни любимци</w:t>
      </w:r>
      <w:r>
        <w:rPr>
          <w:noProof/>
        </w:rPr>
        <w:t>). Поради това Съюзът подкрепя предложенията за изменение н</w:t>
      </w:r>
      <w:r>
        <w:rPr>
          <w:noProof/>
        </w:rPr>
        <w:t xml:space="preserve">а приложенията във връзка с различни видове влечуги и земноводни, по-специално някои видове гекони и тритони. </w:t>
      </w:r>
    </w:p>
    <w:p w:rsidR="00F33F38" w:rsidRDefault="00136E25">
      <w:pPr>
        <w:pStyle w:val="NumPar1"/>
        <w:rPr>
          <w:noProof/>
        </w:rPr>
      </w:pPr>
      <w:r>
        <w:rPr>
          <w:noProof/>
        </w:rPr>
        <w:t xml:space="preserve">В съответствие с втория и третия приоритет Съюзът подкрепя строги мерки за </w:t>
      </w:r>
      <w:r>
        <w:rPr>
          <w:b/>
          <w:noProof/>
        </w:rPr>
        <w:t>прилагането</w:t>
      </w:r>
      <w:r>
        <w:rPr>
          <w:noProof/>
        </w:rPr>
        <w:t xml:space="preserve"> на Конвенцията от страните по нея. Той се застъпва за ясен</w:t>
      </w:r>
      <w:r>
        <w:rPr>
          <w:noProof/>
        </w:rPr>
        <w:t xml:space="preserve"> график с механизми за мониторинг (включително възможност от търговски санкции) по отношение на страните, които многократно не изпълняват задълженията си по CITES. Това е от особено значение за борбата с бракониерството и трафика, засягащи слоновете (вж. п</w:t>
      </w:r>
      <w:r>
        <w:rPr>
          <w:noProof/>
        </w:rPr>
        <w:t>о-долу), носорозите, азиатските големи котки, розовото дърво и люспениците.</w:t>
      </w:r>
    </w:p>
    <w:p w:rsidR="00F33F38" w:rsidRDefault="00136E25">
      <w:pPr>
        <w:pStyle w:val="NumPar1"/>
        <w:rPr>
          <w:noProof/>
        </w:rPr>
      </w:pPr>
      <w:r>
        <w:rPr>
          <w:noProof/>
        </w:rPr>
        <w:lastRenderedPageBreak/>
        <w:t xml:space="preserve">Няколко предложения, представени на CoP 18, засягат въпроси на </w:t>
      </w:r>
      <w:r>
        <w:rPr>
          <w:b/>
          <w:noProof/>
        </w:rPr>
        <w:t>устойчивото използване</w:t>
      </w:r>
      <w:r>
        <w:rPr>
          <w:noProof/>
        </w:rPr>
        <w:t>, препитанието и селските общности. Съюзът следва да подкрепи тези предложения, доколкото те сп</w:t>
      </w:r>
      <w:r>
        <w:rPr>
          <w:noProof/>
        </w:rPr>
        <w:t>омагат за гарантиране, че съответната информация се взема предвид в съществуващите процеси, в съответствие с разпоредбите на Конвенцията. Следва да се избегне създаването на допълнителни процеси или структури със значителни разходи и несигурни ползи.</w:t>
      </w:r>
    </w:p>
    <w:p w:rsidR="00F33F38" w:rsidRDefault="00136E25">
      <w:pPr>
        <w:pStyle w:val="NumPar1"/>
        <w:rPr>
          <w:noProof/>
        </w:rPr>
      </w:pPr>
      <w:r>
        <w:rPr>
          <w:b/>
          <w:noProof/>
        </w:rPr>
        <w:t>Брако</w:t>
      </w:r>
      <w:r>
        <w:rPr>
          <w:b/>
          <w:noProof/>
        </w:rPr>
        <w:t>ниерството на слонове и трафикът на слонова кост</w:t>
      </w:r>
      <w:r>
        <w:rPr>
          <w:noProof/>
        </w:rPr>
        <w:t xml:space="preserve"> все още са на тревожно високо равнище. Както Съюзът, така и неговите държави членки предоставиха значителна подкрепа на африканските държави с цел по-добро опазване на дивата природа и болба с трафика на екз</w:t>
      </w:r>
      <w:r>
        <w:rPr>
          <w:noProof/>
        </w:rPr>
        <w:t>емпляри от дивата флора и фауна. Съюзът е решен да продължи да подкрепя африканските си партньори и да увеличи усилията си в това отношение, в съответствие с плана за действие на ЕС срещу трафика на екземпляри от дивата флора и фауна. ЕС продължава да е се</w:t>
      </w:r>
      <w:r>
        <w:rPr>
          <w:noProof/>
        </w:rPr>
        <w:t>риозно загрижен поради високите равнища на бракониерството и трафика и приоритетът на ЕС по всички точки от дневния ред на СоР 18, свързани със слоновете, трябва да бъде подкрепата за действията, насочени пряко към този проблем.</w:t>
      </w:r>
    </w:p>
    <w:p w:rsidR="00F33F38" w:rsidRDefault="00136E25">
      <w:pPr>
        <w:pStyle w:val="NumPar1"/>
        <w:rPr>
          <w:noProof/>
        </w:rPr>
      </w:pPr>
      <w:r>
        <w:rPr>
          <w:noProof/>
        </w:rPr>
        <w:t xml:space="preserve">Съюзът отбелязва, че някои </w:t>
      </w:r>
      <w:r>
        <w:rPr>
          <w:noProof/>
        </w:rPr>
        <w:t xml:space="preserve">страни са внесли редица — донякъде противоречащи си — предложения във връзка със </w:t>
      </w:r>
      <w:r>
        <w:rPr>
          <w:b/>
          <w:noProof/>
        </w:rPr>
        <w:t>законната търговия със слонова кост</w:t>
      </w:r>
      <w:r>
        <w:rPr>
          <w:noProof/>
        </w:rPr>
        <w:t>. Международната търговия със слонова кост понастоящем е забранена съгласно рамката на CITES. Съюзът счита, че условията за повторно разреша</w:t>
      </w:r>
      <w:r>
        <w:rPr>
          <w:noProof/>
        </w:rPr>
        <w:t>ване на такава търговия не са изпълнени, и на CoP 18 няма да подкрепи предложенията за нейното подновяване. Що се отнася до местните пазари на слонова кост, Съюзът следва да продължи да подкрепя пропорционални и ефективни мерки, основаващи се на най-добрит</w:t>
      </w:r>
      <w:r>
        <w:rPr>
          <w:noProof/>
        </w:rPr>
        <w:t>е налични доказателства, в рамките на обхвата на Конвенцията.</w:t>
      </w:r>
    </w:p>
    <w:p w:rsidR="00F33F38" w:rsidRDefault="00136E25">
      <w:pPr>
        <w:pStyle w:val="NumPar1"/>
        <w:rPr>
          <w:noProof/>
        </w:rPr>
      </w:pPr>
      <w:r>
        <w:rPr>
          <w:noProof/>
        </w:rPr>
        <w:t xml:space="preserve">Съюзът счита, че </w:t>
      </w:r>
      <w:r>
        <w:rPr>
          <w:b/>
          <w:noProof/>
        </w:rPr>
        <w:t>правилникът за дейността</w:t>
      </w:r>
      <w:r>
        <w:rPr>
          <w:noProof/>
        </w:rPr>
        <w:t xml:space="preserve"> на Конференцията на страните не трябва да се отклонява от текста на Конвенцията, включително нейния член XXI, параграфи 2—6. Евентуални опити за добавян</w:t>
      </w:r>
      <w:r>
        <w:rPr>
          <w:noProof/>
        </w:rPr>
        <w:t>е на разпоредби, които биха подчинили упражняването на правата на Съюза като страна на условия, които не са предвидени в Конвенцията, следва да бъдат категорично отхвърлени.</w:t>
      </w:r>
    </w:p>
    <w:p w:rsidR="00F33F38" w:rsidRDefault="00136E25">
      <w:pPr>
        <w:pStyle w:val="NumPar1"/>
        <w:rPr>
          <w:noProof/>
        </w:rPr>
      </w:pPr>
      <w:r>
        <w:rPr>
          <w:noProof/>
        </w:rPr>
        <w:t>Кризата, свързана с трафика на екземпляри от дивата флора и фауна, в съчетание с р</w:t>
      </w:r>
      <w:r>
        <w:rPr>
          <w:noProof/>
        </w:rPr>
        <w:t xml:space="preserve">азширяването на обхвата на CITES върху нови видове и страни, означава, че през последните години </w:t>
      </w:r>
      <w:r>
        <w:rPr>
          <w:b/>
          <w:noProof/>
        </w:rPr>
        <w:t>под егидата на CITES са попаднали повече дейности</w:t>
      </w:r>
      <w:r>
        <w:rPr>
          <w:noProof/>
        </w:rPr>
        <w:t xml:space="preserve"> и че работното натоварване на Секретариата на CITES е нараснало значително. Съюзът следва да вземе под вниман</w:t>
      </w:r>
      <w:r>
        <w:rPr>
          <w:noProof/>
        </w:rPr>
        <w:t>ие тези промени при определянето на своите приоритети за CoP 18 и при вземането на решения относно бъдещия бюджет на Секретариата на CITES.</w:t>
      </w:r>
    </w:p>
    <w:sectPr w:rsidR="00F33F38">
      <w:footerReference w:type="default" r:id="rId13"/>
      <w:footerReference w:type="first" r:id="rId14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9BD307" w16cid:durableId="20119FF9"/>
  <w16cid:commentId w16cid:paraId="09FB7257" w16cid:durableId="20119FFA"/>
  <w16cid:commentId w16cid:paraId="0E5E1FF7" w16cid:durableId="2011A050"/>
  <w16cid:commentId w16cid:paraId="4BFD0E96" w16cid:durableId="20119FFB"/>
  <w16cid:commentId w16cid:paraId="462571C0" w16cid:durableId="20119FFC"/>
  <w16cid:commentId w16cid:paraId="2589A3C0" w16cid:durableId="2011A0AC"/>
  <w16cid:commentId w16cid:paraId="2C5BBDCA" w16cid:durableId="20119F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F38" w:rsidRDefault="00136E25">
      <w:pPr>
        <w:spacing w:before="0" w:after="0"/>
      </w:pPr>
      <w:r>
        <w:separator/>
      </w:r>
    </w:p>
  </w:endnote>
  <w:endnote w:type="continuationSeparator" w:id="0">
    <w:p w:rsidR="00F33F38" w:rsidRDefault="00136E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38" w:rsidRDefault="00136E25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38" w:rsidRDefault="00136E25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E02082"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38" w:rsidRDefault="00F33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F38" w:rsidRDefault="00136E25">
      <w:pPr>
        <w:spacing w:before="0" w:after="0"/>
      </w:pPr>
      <w:r>
        <w:separator/>
      </w:r>
    </w:p>
  </w:footnote>
  <w:footnote w:type="continuationSeparator" w:id="0">
    <w:p w:rsidR="00F33F38" w:rsidRDefault="00136E25">
      <w:pPr>
        <w:spacing w:before="0" w:after="0"/>
      </w:pPr>
      <w:r>
        <w:continuationSeparator/>
      </w:r>
    </w:p>
  </w:footnote>
  <w:footnote w:id="1">
    <w:p w:rsidR="00F33F38" w:rsidRDefault="00136E25">
      <w:pPr>
        <w:pStyle w:val="FootnoteText"/>
      </w:pPr>
      <w:r>
        <w:rPr>
          <w:rStyle w:val="FootnoteReference"/>
        </w:rPr>
        <w:footnoteRef/>
      </w:r>
      <w:r>
        <w:tab/>
        <w:t xml:space="preserve">Резолюция 14.2 на Конференцията на страните по CITES, която трябва да бъде </w:t>
      </w:r>
      <w:r>
        <w:t>актуализирана на CoP 18 (вж. параграф 5 по-долу).</w:t>
      </w:r>
    </w:p>
  </w:footnote>
  <w:footnote w:id="2">
    <w:p w:rsidR="00F33F38" w:rsidRDefault="00136E25"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>Международният съюз за опазване на природата и природните ресурси (IUCN) и мрежата TRAFFIC са специализирани по въпросите на търговията с видове от дивата фауна и флора и преди всяка CoP предоставят изчер</w:t>
      </w:r>
      <w:r>
        <w:t>пателна оценка на предложенията за изменение на приложенията към CITES.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C4EAF8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CC8249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101C63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293EBC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A4C9F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66A71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2AB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BB825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4-05 10:05:5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A94F555C-F5E2-4FC1-92C4-AB4470BDE9E9"/>
    <w:docVar w:name="LW_COVERPAGE_TYPE" w:val="1"/>
    <w:docVar w:name="LW_CROSSREFERENCE" w:val="&lt;UNUSED&gt;"/>
    <w:docVar w:name="LW_DocType" w:val="ANNEX"/>
    <w:docVar w:name="LW_EMISSION" w:val="21.3.2019"/>
    <w:docVar w:name="LW_EMISSION_ISODATE" w:val="2019-03-21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5?\u1072? 18-\u1072?\u1090?\u1072? \u1050?\u1086?\u1085?\u1092?\u1077?\u1088?\u1077?\u1085?\u1094?\u1080?\u1103? \u1085?\u1072? \u1089?\u1090?\u1088?\u1072?\u1085?\u1080?\u1090?\u1077? \u1087?\u1086? \u1050?\u1086?\u1085?\u1074?\u1077?\u1085?\u1094?\u1080?\u1103?\u1090?\u1072? \u1087?\u1086? \u1084?\u1077?\u1078?\u1076?\u1091?\u1085?\u1072?\u1088?\u1086?\u1076?\u1085?\u1072?\u1090?\u1072? \u1090?\u1098?\u1088?\u1075?\u1086?\u1074?\u1080?\u1103? \u1089?\u1098?\u1089? \u1079?\u1072?\u1089?\u1090?\u1088?\u1072?\u1096?\u1077?\u1085?\u1080? \u1074?\u1080?\u1076?\u1086?\u1074?\u1077? \u1086?\u1090? \u1076?\u1080?\u1074?\u1072?\u1090?\u1072? \u1092?\u1072?\u1091?\u1085?\u1072? \u1080? \u1092?\u1083?\u1086?\u1088?\u1072? (\u1057?\u1086?\u1056?18 \u1087?\u1086? CITES)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5?\u1072? 18-\u1072?\u1090?\u1072? \u1050?\u1086?\u1085?\u1092?\u1077?\u1088?\u1077?\u1085?\u1094?\u1080?\u1103? \u1085?\u1072? \u1089?\u1090?\u1088?\u1072?\u1085?\u1080?\u1090?\u1077? \u1087?\u1086? \u1050?\u1086?\u1085?\u1074?\u1077?\u1085?\u1094?\u1080?\u1103?\u1090?\u1072? \u1087?\u1086? \u1084?\u1077?\u1078?\u1076?\u1091?\u1085?\u1072?\u1088?\u1086?\u1076?\u1085?\u1072?\u1090?\u1072? \u1090?\u1098?\u1088?\u1075?\u1086?\u1074?\u1080?\u1103? \u1089?\u1098?\u1089? \u1079?\u1072?\u1089?\u1090?\u1088?\u1072?\u1096?\u1077?\u1085?\u1080? \u1074?\u1080?\u1076?\u1086?\u1074?\u1077? \u1086?\u1090? \u1076?\u1080?\u1074?\u1072?\u1090?\u1072? \u1092?\u1072?\u1091?\u1085?\u1072? \u1080? \u1092?\u1083?\u1086?\u1088?\u1072? (\u1057?\u1086?\u1056?18 \u1087?\u1086? CITES)"/>
    <w:docVar w:name="LW_PART_NBR" w:val="1"/>
    <w:docVar w:name="LW_PART_NBR_TOTAL" w:val="1"/>
    <w:docVar w:name="LW_REF.INST.NEW" w:val="COM"/>
    <w:docVar w:name="LW_REF.INST.NEW_ADOPTED" w:val="final"/>
    <w:docVar w:name="LW_REF.INST.NEW_TEXT" w:val="(2019) 14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45?\u1064?\u1045?\u1053?\u1048?\u1045? \u1053?\u1040? \u1057?\u1066?\u1042?\u1045?\u1058?\u1040?"/>
    <w:docVar w:name="LW_TYPEACTEPRINCIPAL.CP" w:val="\u1055?\u1088?\u1077?\u1076?\u1083?\u1086?\u1078?\u1077?\u1085?\u1080?\u1077? \u1079?\u1072? \u1056?\u1045?\u1064?\u1045?\u1053?\u1048?\u1045? \u1053?\u1040? \u1057?\u1066?\u1042?\u1045?\u1058?\u1040?"/>
  </w:docVars>
  <w:rsids>
    <w:rsidRoot w:val="00F33F38"/>
    <w:rsid w:val="00136E25"/>
    <w:rsid w:val="00E02082"/>
    <w:rsid w:val="00F3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E636756-7FF9-4C42-A754-7CEA4E88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AA856C34D8E478D8680B911FA8A3D" ma:contentTypeVersion="0" ma:contentTypeDescription="Create a new document." ma:contentTypeScope="" ma:versionID="a1b2f863b13fb1eec5060ba3f8e2a5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28fc8648fa84460f5661d9ecf385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D4C4-F5F4-4E05-8D9B-20F6F4D6C69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55E34B-72E3-43DE-A94E-25E96730B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210B5-82C2-49CE-8CEE-0588BD883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F4E46B-8E94-4F93-B0C2-D71A6B5C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5</Pages>
  <Words>1684</Words>
  <Characters>9605</Characters>
  <Application>Microsoft Office Word</Application>
  <DocSecurity>0</DocSecurity>
  <Lines>174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 Matthias Leonhard (ENV)</dc:creator>
  <cp:keywords/>
  <dc:description/>
  <cp:lastModifiedBy>KITRIMI Efstathia (SG)</cp:lastModifiedBy>
  <cp:revision>10</cp:revision>
  <cp:lastPrinted>2019-02-15T18:13:00Z</cp:lastPrinted>
  <dcterms:created xsi:type="dcterms:W3CDTF">2019-04-03T13:21:00Z</dcterms:created>
  <dcterms:modified xsi:type="dcterms:W3CDTF">2019-04-05T13:44:00Z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6.0.1, Build 20180503</vt:lpwstr>
  </property>
  <property fmtid="{D5CDD505-2E9C-101B-9397-08002B2CF9AE}" pid="3" name="Level of sensitivity">
    <vt:lpwstr>Standard treatment</vt:lpwstr>
  </property>
  <property fmtid="{D5CDD505-2E9C-101B-9397-08002B2CF9AE}" pid="4" name="Category">
    <vt:lpwstr>COM/ANNEX</vt:lpwstr>
  </property>
  <property fmtid="{D5CDD505-2E9C-101B-9397-08002B2CF9AE}" pid="5" name="First annex">
    <vt:lpwstr>1</vt:lpwstr>
  </property>
  <property fmtid="{D5CDD505-2E9C-101B-9397-08002B2CF9AE}" pid="6" name="Last annex">
    <vt:lpwstr>1</vt:lpwstr>
  </property>
  <property fmtid="{D5CDD505-2E9C-101B-9397-08002B2CF9AE}" pid="7" name="Unique annex">
    <vt:lpwstr>0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ContentTypeId">
    <vt:lpwstr>0x010100135AA856C34D8E478D8680B911FA8A3D</vt:lpwstr>
  </property>
  <property fmtid="{D5CDD505-2E9C-101B-9397-08002B2CF9AE}" pid="12" name="IsMyDocuments">
    <vt:bool>true</vt:bool>
  </property>
  <property fmtid="{D5CDD505-2E9C-101B-9397-08002B2CF9AE}" pid="13" name="DQCStatus">
    <vt:lpwstr>Yellow (DQC version 03)</vt:lpwstr>
  </property>
</Properties>
</file>