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2C3611E-00FB-424B-B338-B8DCC412D70B" style="width:450.4pt;height:293.8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keepNext/>
        <w:keepLines/>
        <w:spacing w:before="360" w:after="240"/>
        <w:jc w:val="both"/>
        <w:outlineLvl w:val="2"/>
        <w:rPr>
          <w:rFonts w:ascii="Century Gothic" w:eastAsiaTheme="majorEastAsia" w:hAnsi="Century Gothic" w:cstheme="majorBidi"/>
          <w:bCs/>
          <w:noProof/>
          <w:color w:val="1F497D" w:themeColor="text2"/>
        </w:rPr>
      </w:pPr>
      <w:bookmarkStart w:id="1" w:name="_GoBack"/>
      <w:bookmarkEnd w:id="1"/>
      <w:r>
        <w:rPr>
          <w:rFonts w:ascii="Century Gothic" w:eastAsiaTheme="majorEastAsia" w:hAnsi="Century Gothic" w:cstheme="majorBidi"/>
          <w:noProof/>
          <w:color w:val="1F497D" w:themeColor="text2"/>
        </w:rPr>
        <w:lastRenderedPageBreak/>
        <w:t>Контекст</w:t>
      </w:r>
    </w:p>
    <w:p>
      <w:pPr>
        <w:spacing w:after="120"/>
        <w:jc w:val="both"/>
        <w:rPr>
          <w:rFonts w:ascii="Times New Roman" w:eastAsia="Times New Roman" w:hAnsi="Times New Roman" w:cs="Times New Roman"/>
          <w:noProof/>
          <w:color w:val="000000"/>
          <w:szCs w:val="24"/>
        </w:rPr>
      </w:pPr>
      <w:r>
        <w:rPr>
          <w:rFonts w:ascii="Times New Roman" w:hAnsi="Times New Roman"/>
          <w:b/>
          <w:noProof/>
          <w:color w:val="000000"/>
        </w:rPr>
        <w:t>На 27 февруари 2019 г. Комисията прие своя втори доклад за засилено наблюдение за Гърция</w:t>
      </w:r>
      <w:r>
        <w:rPr>
          <w:rStyle w:val="FootnoteReference"/>
          <w:b/>
          <w:noProof/>
          <w:color w:val="000000"/>
        </w:rPr>
        <w:footnoteReference w:id="2"/>
      </w:r>
      <w:r>
        <w:rPr>
          <w:rFonts w:ascii="Times New Roman" w:hAnsi="Times New Roman"/>
          <w:b/>
          <w:noProof/>
          <w:color w:val="000000"/>
        </w:rPr>
        <w:t xml:space="preserve">. </w:t>
      </w:r>
      <w:r>
        <w:rPr>
          <w:rFonts w:ascii="Times New Roman" w:hAnsi="Times New Roman"/>
          <w:noProof/>
          <w:color w:val="000000"/>
        </w:rPr>
        <w:t>Наред с включването на Гърция в европейския семестър, засиленото наблюдение осигурява всеобхватна рамка за наблюдение на икономическото развитие и на осъществяването на политиките, необходими за осигуряване на устойчиво икономическо възстановяване</w:t>
      </w:r>
      <w:r>
        <w:rPr>
          <w:rStyle w:val="FootnoteReference"/>
          <w:noProof/>
          <w:color w:val="000000"/>
        </w:rPr>
        <w:footnoteReference w:id="3"/>
      </w:r>
      <w:r>
        <w:rPr>
          <w:rFonts w:ascii="Times New Roman" w:hAnsi="Times New Roman"/>
          <w:noProof/>
          <w:color w:val="000000"/>
        </w:rPr>
        <w:t>. Също така то представлява рамката за оценката на Комисията на ангажимента, поет от Гърция пред Еврогрупата на 22 юни 2018 г., за продължаване и завършване на реформите, приети в рамките на програмата за подкрепа на стабилността по Европейския механизъм за стабилност, и за гарантиране на постигането на целите на реформите, приети в рамките на тази и предшестващите програми, в съответствие с член 3, параграф 1 от Регламент (ЕС) № 472/2013.</w:t>
      </w:r>
      <w:r>
        <w:rPr>
          <w:rFonts w:ascii="Times New Roman" w:hAnsi="Times New Roman"/>
          <w:b/>
          <w:noProof/>
          <w:color w:val="000000"/>
        </w:rPr>
        <w:t xml:space="preserve"> </w:t>
      </w:r>
      <w:r>
        <w:rPr>
          <w:rFonts w:ascii="Times New Roman" w:hAnsi="Times New Roman"/>
          <w:noProof/>
          <w:color w:val="000000"/>
        </w:rPr>
        <w:t>Това включва изпълнението на конкретни ангажименти за реформи, приложени към изявлението на Еврогрупата от 22 юни 2018 г., в областта на: i) фискалните и фискално-структурните политики, ii) социалното подпомагане, iii) финансовата стабилност, iv) пазара на труда и продуктовите пазари, v) приватизацията и vi) публичната администрация</w:t>
      </w:r>
      <w:r>
        <w:rPr>
          <w:rFonts w:ascii="Times New Roman" w:hAnsi="Times New Roman"/>
          <w:noProof/>
          <w:color w:val="000000"/>
          <w:vertAlign w:val="superscript"/>
        </w:rPr>
        <w:footnoteReference w:id="4"/>
      </w:r>
      <w:r>
        <w:rPr>
          <w:rFonts w:ascii="Times New Roman" w:hAnsi="Times New Roman"/>
          <w:noProof/>
          <w:color w:val="000000"/>
        </w:rPr>
        <w:t>.</w:t>
      </w:r>
    </w:p>
    <w:p>
      <w:pPr>
        <w:spacing w:after="120"/>
        <w:jc w:val="both"/>
        <w:rPr>
          <w:rFonts w:ascii="Calibri" w:eastAsia="Calibri" w:hAnsi="Calibri" w:cs="Times New Roman"/>
          <w:noProof/>
          <w:color w:val="1F497D"/>
        </w:rPr>
      </w:pPr>
      <w:r>
        <w:rPr>
          <w:rFonts w:ascii="Times New Roman" w:hAnsi="Times New Roman"/>
          <w:b/>
          <w:noProof/>
          <w:color w:val="000000"/>
        </w:rPr>
        <w:t xml:space="preserve">В доклада за засилено наблюдение от 27 февруари 2019 г. се заключава, че Гърция е постигнала значителен напредък в завършване на изпълнението на своите конкретни ангажименти за реформи, приложени към изявлението на Еврогрупата от 22 юни 2018 г., които трябваше да бъдат приключени до края на 2018 г. </w:t>
      </w:r>
      <w:r>
        <w:rPr>
          <w:rFonts w:ascii="Times New Roman" w:hAnsi="Times New Roman"/>
          <w:noProof/>
          <w:color w:val="000000"/>
        </w:rPr>
        <w:t xml:space="preserve">По-специално в него се заключава, че могат да се считат за изпълнени следните конкретни ангажименти за края на 2018 г.: i) приемането на бюджет за 2019 г., с който следва да постигне целта за първичен излишък от 3,5 % от БВП; ii) ненатрупването на нетни просрочени задължения, въпреки че все още са необходими допълнителни усилия за погасяване на просрочените задължения и за избягване на натрупването на нови просрочени задължения; iii) откриването на критична маса от заведения за първични здравни грижи (TOMYs); iv) приключването на важни мерки за осигуряване на централизираното възлагане на обществени поръчки в областта на здравеопазването; v) намаляването на контрола върху движението на капитали в съответствие с договорената пътна карта; vi) определянето и приемането на стратегията за продажбата на активи на Гръцкия фонд за финансова стабилност (HFSF), като потенциалното участие на органите в окончателния етап на продажбите е все още в процес на разглеждане; vii) приемането на законодателство, даващо възможност за инвестиционно лицензиране; viii) изменението на минималната работна заплата в съответствие със законоустановената процедура, въпреки че мащабът на увеличението създава рискове за заетостта и конкурентоспособността; ix) приключването на фаза I от проекта за електронно правосъдие; x) изпълнението на стратегическия план на Гръцката корпорация за активи и участия (HCAP); xi) преструктурирането на дъщерното дружество за недвижими имоти (ETAD) и започването на прилагането на механизма за координация на държавните предприятия под управлението на HCAP с оглед на закъсненията в прехвърлянето на Олимпийския център (OAKA); xii) актуализацията на плана за развитие на активите на </w:t>
      </w:r>
      <w:r>
        <w:rPr>
          <w:rFonts w:ascii="Times New Roman" w:hAnsi="Times New Roman"/>
          <w:noProof/>
          <w:color w:val="000000"/>
        </w:rPr>
        <w:lastRenderedPageBreak/>
        <w:t>Aгенцията за приватизация (TAIPED), завършването на основни тръжни процедури за приватизация, включително на газопреносната мрежа (DESFA) и удължаването на срока на концесията за международното летище на Атина, както и приключването на основните етапи, свързани с проекта Hellinikon; както и xiii) договарянето между органите и Комисията на условията и реда за провеждането на независима оценка на процеса по назначаването на административни секретари и генерални директори до средата на 2019 г. и приемането на ключово законодателство за по-добро планиране за набирането на персонал в държавния сектор и обвързването му със средносрочната фискална стратегия.</w:t>
      </w:r>
    </w:p>
    <w:p>
      <w:pPr>
        <w:spacing w:after="120"/>
        <w:jc w:val="both"/>
        <w:rPr>
          <w:rFonts w:ascii="Times New Roman" w:eastAsia="Times New Roman" w:hAnsi="Times New Roman" w:cs="Times New Roman"/>
          <w:noProof/>
          <w:color w:val="000000"/>
          <w:szCs w:val="24"/>
        </w:rPr>
      </w:pPr>
      <w:r>
        <w:rPr>
          <w:rFonts w:ascii="Times New Roman" w:hAnsi="Times New Roman"/>
          <w:b/>
          <w:noProof/>
          <w:color w:val="000000"/>
        </w:rPr>
        <w:t>В доклада за засилено наблюдение от 27 февруари 2019 г. се стига обаче също и до заключението, че редица конкретни ангажименти за реформи, които трябваше да бъдат завършени до края на 2018 г., са останали неизпълнени и тяхното завършване предстои.</w:t>
      </w:r>
      <w:r>
        <w:rPr>
          <w:rFonts w:ascii="Times New Roman" w:hAnsi="Times New Roman"/>
          <w:noProof/>
          <w:color w:val="000000"/>
        </w:rPr>
        <w:t xml:space="preserve"> Нерешените проблеми към онзи момент засягаха мерки в областта на приходната администрация, финансовата стабилност, енергетиката, приватизацията и публичната администрация. По отношение на някои ангажименти трябваше да бъдат приключени някои технически стъпки (преструктурирането на газовото дружество DEPA, автомагистрала „Егнатия“, назначенията в Гръцкия фонд за финансова стабилност (HFSF), а по отношение на други обсъжданията по същество все още бяха в ход (приходна и публична администрация, продажба на активите за производство на електроенергия от лигнитни въглища, финансовия сектор, включително защитата на основното жилище). </w:t>
      </w:r>
    </w:p>
    <w:p>
      <w:pPr>
        <w:spacing w:after="120"/>
        <w:jc w:val="both"/>
        <w:rPr>
          <w:rFonts w:ascii="Times New Roman" w:eastAsia="Times New Roman" w:hAnsi="Times New Roman" w:cs="Times New Roman"/>
          <w:noProof/>
          <w:color w:val="000000"/>
          <w:szCs w:val="24"/>
        </w:rPr>
      </w:pPr>
      <w:r>
        <w:rPr>
          <w:rFonts w:ascii="Times New Roman" w:hAnsi="Times New Roman"/>
          <w:b/>
          <w:noProof/>
          <w:color w:val="000000"/>
        </w:rPr>
        <w:t xml:space="preserve">В доклада за засилено наблюдение от 27 февруари 2019 г. се отбелязва също така, че развитието в някои области поражда опасения относно насоката и изпълнението на реформите в средносрочен план.. </w:t>
      </w:r>
      <w:r>
        <w:rPr>
          <w:rFonts w:ascii="Times New Roman" w:hAnsi="Times New Roman"/>
          <w:noProof/>
          <w:color w:val="000000"/>
        </w:rPr>
        <w:t>Тези опасения заслужават пълното внимание на органите и се отнасят до: а) равнището на амбиция за справяне с оставащите структурни фискални предизвикателства и за избягване на създаването на нови фискални рискове, които биха могли да възникнат в резултат на решения на съдилищата, назначения в публичния сектор и евентуални промени в схемите за погасяване на данъчни и социалноосигурителни задължения; б) темпа на напредък и това, доколко се отдава приоритет, на мерките, необходими за възстановяване на стабилността и устойчивостта на банковия сектор, по-специално по отношение на качеството на активите; както и в) ангажимента за запазване на конкурентоспособността на възнагражденията в средносрочен план и за създаване на среда, която е благоприятна за бизнеса и инвестициите.</w:t>
      </w:r>
    </w:p>
    <w:p>
      <w:pPr>
        <w:spacing w:after="120"/>
        <w:jc w:val="both"/>
        <w:rPr>
          <w:rFonts w:ascii="Times New Roman" w:eastAsia="Times New Roman" w:hAnsi="Times New Roman" w:cs="Times New Roman"/>
          <w:noProof/>
          <w:color w:val="000000"/>
          <w:szCs w:val="24"/>
        </w:rPr>
      </w:pPr>
      <w:r>
        <w:rPr>
          <w:rFonts w:ascii="Times New Roman" w:hAnsi="Times New Roman"/>
          <w:b/>
          <w:noProof/>
          <w:color w:val="000000"/>
        </w:rPr>
        <w:t xml:space="preserve">В настоящата актуализация се оценяват развитието в изпълнението на конкретните ангажименти за реформи, които трябваше да бъдат изпълнени до края на 2018 г., след приемането на доклада за засилено наблюдение от 27 февруари 2019 г. </w:t>
      </w:r>
      <w:r>
        <w:rPr>
          <w:rFonts w:ascii="Times New Roman" w:hAnsi="Times New Roman"/>
          <w:noProof/>
          <w:color w:val="000000"/>
        </w:rPr>
        <w:t>По-специално Гърция: i) прие първично и вторично законодателство за укрепване на Независимата агенция за държавните приходи; ii) предостави съответна актуализирана информация относно мерките за подпомагане на преструктурирането на необслужваните кредити и стабилността на банковия сектор (електронни търгове, държавни гаранции, план за действие в областта на несъстоятелността на домакинствата); iii) прие първично и пое ангажимент за приемане в скоро време на вторично законодателство относно нова схема за защита на основното жилище; iv) предприе необходимите стъпки за запълване на свободните позиции в HFSF; v) рестартира тръжната процедура за продажбата на част от мощностите за производство на електроенергия от лигнитни въглища на Държавната електрическа компания; vi) прие законодателството за преструктуриране на DEPA; vii) отбеляза напредък по действията за отстраняване на пречките пред сделката за магистрала „Егнатия“; и viii) прие набор от мерки за ускоряване на реформата на публичната администрация.</w:t>
      </w:r>
    </w:p>
    <w:p>
      <w:pPr>
        <w:spacing w:after="120"/>
        <w:jc w:val="both"/>
        <w:rPr>
          <w:rFonts w:ascii="Times New Roman" w:eastAsia="Times New Roman" w:hAnsi="Times New Roman" w:cs="Times New Roman"/>
          <w:b/>
          <w:noProof/>
          <w:color w:val="000000"/>
          <w:szCs w:val="24"/>
        </w:rPr>
      </w:pPr>
      <w:r>
        <w:rPr>
          <w:rFonts w:ascii="Times New Roman" w:hAnsi="Times New Roman"/>
          <w:b/>
          <w:noProof/>
          <w:color w:val="000000"/>
        </w:rPr>
        <w:lastRenderedPageBreak/>
        <w:t>Гърция предприе необходимите действия за изпълнението на всички конкретни ангажименти за реформи за края на 2018 г.</w:t>
      </w:r>
    </w:p>
    <w:p>
      <w:pPr>
        <w:spacing w:after="120"/>
        <w:jc w:val="both"/>
        <w:rPr>
          <w:rFonts w:ascii="Times New Roman" w:eastAsia="Times New Roman" w:hAnsi="Times New Roman"/>
          <w:noProof/>
          <w:color w:val="000000"/>
        </w:rPr>
      </w:pPr>
      <w:r>
        <w:rPr>
          <w:rFonts w:ascii="Times New Roman" w:hAnsi="Times New Roman"/>
          <w:b/>
          <w:noProof/>
          <w:color w:val="000000"/>
        </w:rPr>
        <w:t>На 22 юни 2018 г. Еврогрупата постигна съгласие, че пакетът от мерки за облекчаване на дълга за Гърция следва да включва стимули за гарантиране на силно и непрекъснато прилагане на мерките за реформи, договорени в програмата.</w:t>
      </w:r>
      <w:r>
        <w:rPr>
          <w:rFonts w:ascii="Times New Roman" w:hAnsi="Times New Roman"/>
          <w:noProof/>
          <w:color w:val="000000"/>
        </w:rPr>
        <w:t xml:space="preserve"> За тази цел някои от мерките за дълга, зависещи от осъществяването на определена политика, се активират по отношение на Гърция на шестмесечна база до средата на 2022 г., при условие че тя спазва ангажиментите си във връзка с непрекъснатостта и приключването на реформата въз основа на положителни доклади по засиленото наблюдение. Тези мерки за дълга включват: i) връщането на суми, равностойни на доходите, произтичащи от гръцките държавни облигации, държани от централните банки по програмата за пазарите на ценни книжа и споразумението относно нетните финансови активи, и ii) премахване на постъпателния лихвен марж за някои кредити, предоставяни от Европейския инструмент за финансова стабилност. Съдържанието на доклада за засилено наблюдение от 27 февруари 2019 г. и настоящата последваща актуализация могат да бъдат използвани от Еврогрупата за постигане на съгласие относно задействането на първата серия от мерки за дълга, зависещи от осъществяването на определена политика.</w:t>
      </w:r>
    </w:p>
    <w:p>
      <w:pPr>
        <w:keepNext/>
        <w:keepLines/>
        <w:spacing w:before="360" w:after="240"/>
        <w:jc w:val="both"/>
        <w:outlineLvl w:val="2"/>
        <w:rPr>
          <w:rFonts w:ascii="Century Gothic" w:eastAsiaTheme="majorEastAsia" w:hAnsi="Century Gothic" w:cstheme="majorBidi"/>
          <w:bCs/>
          <w:noProof/>
          <w:color w:val="1F497D" w:themeColor="text2"/>
        </w:rPr>
      </w:pPr>
      <w:r>
        <w:rPr>
          <w:rFonts w:ascii="Century Gothic" w:eastAsiaTheme="majorEastAsia" w:hAnsi="Century Gothic" w:cstheme="majorBidi"/>
          <w:noProof/>
          <w:color w:val="1F497D" w:themeColor="text2"/>
        </w:rPr>
        <w:t>Актуална информация относно напредъка в изпълнението на конкретните ангажименти за реформи</w:t>
      </w:r>
    </w:p>
    <w:p>
      <w:pPr>
        <w:spacing w:before="360" w:after="240"/>
        <w:jc w:val="both"/>
        <w:rPr>
          <w:rFonts w:ascii="Times New Roman" w:eastAsia="Times New Roman" w:hAnsi="Times New Roman" w:cs="Times New Roman"/>
          <w:i/>
          <w:noProof/>
          <w:color w:val="000000"/>
          <w:szCs w:val="24"/>
          <w:u w:val="single"/>
        </w:rPr>
      </w:pPr>
      <w:r>
        <w:rPr>
          <w:rFonts w:ascii="Times New Roman" w:hAnsi="Times New Roman"/>
          <w:i/>
          <w:noProof/>
          <w:color w:val="000000"/>
          <w:u w:val="single"/>
        </w:rPr>
        <w:t>Държавна приходна администрация</w:t>
      </w:r>
    </w:p>
    <w:p>
      <w:pPr>
        <w:spacing w:after="120"/>
        <w:jc w:val="both"/>
        <w:rPr>
          <w:rFonts w:ascii="Times New Roman" w:eastAsia="Times New Roman" w:hAnsi="Times New Roman" w:cs="Times New Roman"/>
          <w:bCs/>
          <w:noProof/>
          <w:color w:val="000000"/>
        </w:rPr>
      </w:pPr>
      <w:r>
        <w:rPr>
          <w:rFonts w:ascii="Times New Roman" w:hAnsi="Times New Roman"/>
          <w:b/>
          <w:noProof/>
          <w:color w:val="000000"/>
        </w:rPr>
        <w:t xml:space="preserve">Въпреки че конкретният ангажимент за края на 2018 г. за достигане на численост на персонала от 12 000 постоянни служители в Независимата агенция за държавните приходи (НАДП) все още не е изпълнен (в края на 2018 г. броят на служителите е бил 11 487), органите вече приеха пълен набор от допълнителни мерки. </w:t>
      </w:r>
      <w:r>
        <w:rPr>
          <w:rFonts w:ascii="Times New Roman" w:hAnsi="Times New Roman"/>
          <w:noProof/>
          <w:color w:val="000000"/>
        </w:rPr>
        <w:t>Те ще подпомогнат спазването на ангажимента за числеността на персонала, ще засилят по-широката реформа на събирането на приходите и ще увеличат общия оперативен капацитет и ефикасност на НАДП в редица аспекти. До публикуването на доклада за засилено наблюдение от 27 февруари 2019 г. органите вече бяха предприели някои от тези действия (приемане на плана за действие за реформа („Планът“) за периода 2019—2021 г., споразумение с Генералния секретариат за информационни услуги за годишен пакет в областта на информационните технологии). След приемането на доклада за засилено наблюдение на 27 февруари 2019 г. органите приключиха изпълнението на останалите договорени допълнителни мерки за укрепване на НАДП:</w:t>
      </w:r>
    </w:p>
    <w:p>
      <w:pPr>
        <w:numPr>
          <w:ilvl w:val="0"/>
          <w:numId w:val="1"/>
        </w:numPr>
        <w:spacing w:after="120"/>
        <w:ind w:left="714" w:hanging="357"/>
        <w:jc w:val="both"/>
        <w:rPr>
          <w:rFonts w:ascii="Times New Roman" w:eastAsia="Times New Roman" w:hAnsi="Times New Roman" w:cs="Times New Roman"/>
          <w:bCs/>
          <w:noProof/>
          <w:color w:val="000000"/>
          <w:szCs w:val="24"/>
        </w:rPr>
      </w:pPr>
      <w:r>
        <w:rPr>
          <w:rFonts w:ascii="Times New Roman" w:hAnsi="Times New Roman"/>
          <w:noProof/>
          <w:color w:val="000000"/>
        </w:rPr>
        <w:t>Въвеждането на специално разработени за НАДП длъжностни степени, възнаграждения и оценка на работата се смята за особено важно, за да се подобрят перспективите на НАДП за привличане на висококвалифицирани служители и да се даде възможност за тяхното развитие и напредък. В началото на март 2019 г. беше прието законодателно изменение на законодателството относно компетентността на НАДП. Впоследствие това изменение ще позволи да бъде прието вторично законодателство за въвеждане на нова схема за длъжностните степени, пряко свързана с длъжностните характеристики. Тази реформа е тясно свързана с реформата на публичната администрация, и в частност с назначаването на висши ръководни кадри в публичния сектор.</w:t>
      </w:r>
    </w:p>
    <w:p>
      <w:pPr>
        <w:numPr>
          <w:ilvl w:val="0"/>
          <w:numId w:val="1"/>
        </w:numPr>
        <w:spacing w:after="120"/>
        <w:ind w:left="714" w:hanging="357"/>
        <w:jc w:val="both"/>
        <w:rPr>
          <w:rFonts w:ascii="Times New Roman" w:hAnsi="Times New Roman"/>
          <w:noProof/>
        </w:rPr>
      </w:pPr>
      <w:r>
        <w:rPr>
          <w:rFonts w:ascii="Times New Roman" w:hAnsi="Times New Roman"/>
          <w:noProof/>
        </w:rPr>
        <w:t xml:space="preserve">В началото на март 2019 г. бяха одобрени и приети законодателни изменения относно защитата на отговорността и улесняването на мобилността. </w:t>
      </w:r>
    </w:p>
    <w:p>
      <w:pPr>
        <w:numPr>
          <w:ilvl w:val="0"/>
          <w:numId w:val="1"/>
        </w:numPr>
        <w:spacing w:after="120"/>
        <w:ind w:left="714" w:hanging="357"/>
        <w:jc w:val="both"/>
        <w:rPr>
          <w:rFonts w:ascii="Times New Roman" w:eastAsia="Times New Roman" w:hAnsi="Times New Roman" w:cs="Times New Roman"/>
          <w:bCs/>
          <w:noProof/>
          <w:color w:val="000000"/>
          <w:szCs w:val="24"/>
        </w:rPr>
      </w:pPr>
      <w:r>
        <w:rPr>
          <w:rFonts w:ascii="Times New Roman" w:hAnsi="Times New Roman"/>
          <w:noProof/>
          <w:color w:val="000000"/>
        </w:rPr>
        <w:t>В началото на месец март беше прието съвместно министерско решение за обществената поръчка на маркери за горива, което ще представлява важен инструмент в борбата с контрабандата.</w:t>
      </w:r>
    </w:p>
    <w:p>
      <w:pPr>
        <w:spacing w:before="360" w:after="240"/>
        <w:jc w:val="both"/>
        <w:rPr>
          <w:rFonts w:ascii="Times New Roman" w:hAnsi="Times New Roman" w:cs="Times New Roman"/>
          <w:i/>
          <w:noProof/>
          <w:u w:val="single"/>
        </w:rPr>
      </w:pPr>
      <w:r>
        <w:rPr>
          <w:rFonts w:ascii="Times New Roman" w:hAnsi="Times New Roman"/>
          <w:i/>
          <w:noProof/>
          <w:color w:val="000000"/>
          <w:u w:val="single"/>
        </w:rPr>
        <w:t>Уредбата</w:t>
      </w:r>
      <w:r>
        <w:rPr>
          <w:noProof/>
        </w:rPr>
        <w:t xml:space="preserve"> </w:t>
      </w:r>
      <w:r>
        <w:rPr>
          <w:rFonts w:ascii="Times New Roman" w:hAnsi="Times New Roman"/>
          <w:i/>
          <w:noProof/>
          <w:u w:val="single"/>
        </w:rPr>
        <w:t>за преструктуриране на необслужваните кредити</w:t>
      </w:r>
    </w:p>
    <w:p>
      <w:pPr>
        <w:spacing w:after="120"/>
        <w:jc w:val="both"/>
        <w:rPr>
          <w:rFonts w:ascii="Times New Roman" w:eastAsia="Times New Roman" w:hAnsi="Times New Roman"/>
          <w:noProof/>
        </w:rPr>
      </w:pPr>
      <w:r>
        <w:rPr>
          <w:rFonts w:ascii="Times New Roman" w:hAnsi="Times New Roman"/>
          <w:b/>
          <w:noProof/>
        </w:rPr>
        <w:t>В доклада за засилено наблюдение се стига до заключението, че следва да бъдат премахнати недостатъците в правните уредби от значение за преструктурирането на необслужваните кредити</w:t>
      </w:r>
      <w:r>
        <w:rPr>
          <w:rFonts w:ascii="Times New Roman" w:hAnsi="Times New Roman"/>
          <w:noProof/>
        </w:rPr>
        <w:t xml:space="preserve">. След приемането на доклада за засилено наблюдение на 27 февруари 2019 г. органите предприеха допълнителни действия в няколко области. Тези действия се считат за достатъчни за целите на изпълнението на конкретния ангажимент за подкрепа на преструктурирането на необслужваните кредити: нататък обаче ще са необходими стриктно наблюдение и последващи действия, като европейските институции ще докладват в контекста на засиленото наблюдение. По-конкретно: </w:t>
      </w:r>
    </w:p>
    <w:p>
      <w:pPr>
        <w:pStyle w:val="ListParagraph"/>
        <w:numPr>
          <w:ilvl w:val="0"/>
          <w:numId w:val="13"/>
        </w:numPr>
        <w:spacing w:after="120"/>
        <w:ind w:left="714" w:hanging="357"/>
        <w:contextualSpacing w:val="0"/>
        <w:jc w:val="both"/>
        <w:rPr>
          <w:rFonts w:ascii="Times New Roman" w:eastAsia="Times New Roman" w:hAnsi="Times New Roman" w:cs="Times New Roman"/>
          <w:noProof/>
          <w:color w:val="000000"/>
          <w:szCs w:val="24"/>
        </w:rPr>
      </w:pPr>
      <w:r>
        <w:rPr>
          <w:rFonts w:ascii="Times New Roman" w:hAnsi="Times New Roman"/>
          <w:noProof/>
          <w:color w:val="000000"/>
        </w:rPr>
        <w:t xml:space="preserve">Органите приеха законодателно изменение и предоставиха актуализиран план за действие относно обработката на </w:t>
      </w:r>
      <w:r>
        <w:rPr>
          <w:rFonts w:ascii="Times New Roman" w:hAnsi="Times New Roman"/>
          <w:b/>
          <w:noProof/>
          <w:color w:val="000000"/>
        </w:rPr>
        <w:t>гарантираните от държавата кредити</w:t>
      </w:r>
      <w:r>
        <w:rPr>
          <w:rFonts w:ascii="Times New Roman" w:hAnsi="Times New Roman"/>
          <w:noProof/>
          <w:color w:val="000000"/>
        </w:rPr>
        <w:t>. Неговата ефективност за реалното постигане на пълно изчистване на необработените натрупани активирани гаранции ще бъде оценена през следващите месеци.</w:t>
      </w:r>
    </w:p>
    <w:p>
      <w:pPr>
        <w:pStyle w:val="ListParagraph"/>
        <w:numPr>
          <w:ilvl w:val="0"/>
          <w:numId w:val="13"/>
        </w:numPr>
        <w:spacing w:after="120"/>
        <w:ind w:left="714" w:hanging="357"/>
        <w:contextualSpacing w:val="0"/>
        <w:jc w:val="both"/>
        <w:rPr>
          <w:rFonts w:ascii="Times New Roman" w:eastAsia="Times New Roman" w:hAnsi="Times New Roman" w:cs="Times New Roman"/>
          <w:noProof/>
          <w:color w:val="000000"/>
          <w:szCs w:val="24"/>
        </w:rPr>
      </w:pPr>
      <w:r>
        <w:rPr>
          <w:rFonts w:ascii="Times New Roman" w:hAnsi="Times New Roman"/>
          <w:noProof/>
          <w:color w:val="000000"/>
        </w:rPr>
        <w:t xml:space="preserve">По отношение на </w:t>
      </w:r>
      <w:r>
        <w:rPr>
          <w:rFonts w:ascii="Times New Roman" w:hAnsi="Times New Roman"/>
          <w:b/>
          <w:noProof/>
          <w:color w:val="000000"/>
        </w:rPr>
        <w:t>електронните търгове</w:t>
      </w:r>
      <w:r>
        <w:rPr>
          <w:rFonts w:ascii="Times New Roman" w:hAnsi="Times New Roman"/>
          <w:noProof/>
          <w:color w:val="000000"/>
        </w:rPr>
        <w:t xml:space="preserve"> бе очертан начин за решаване на въпроса с наредените от съда отлагания на тръжни процедури в резултат на подадени искове от длъжници за преразглеждане на минималната цена в контекста на предстоящата оценка на прилагането на Гражданския процесуален кодекс. Очаква се органите да представят и приемат, както е необходимо в контекста на третия цикъл на засилено наблюдение, предложения за мерки за изпълнение с цел предотвратяване на процедурни злоупотреби от страна на умишлено неизпълняващите задълженията си длъжници чрез подадени в последния момент искове за отлагане в контекста на прилагането на новата система за защита на основното жилище и на действащия закон за несъстоятелност на домакинствата (закона Katseli). Органите ще извършат също така допълнителен анализ на причините за неуспешните тръжни процедури и ще предприемат съответни действия, включително, когато е необходимо, чрез законодателни средства. </w:t>
      </w:r>
    </w:p>
    <w:p>
      <w:pPr>
        <w:pStyle w:val="ListParagraph"/>
        <w:numPr>
          <w:ilvl w:val="0"/>
          <w:numId w:val="13"/>
        </w:numPr>
        <w:spacing w:after="120"/>
        <w:ind w:left="714" w:hanging="357"/>
        <w:contextualSpacing w:val="0"/>
        <w:jc w:val="both"/>
        <w:rPr>
          <w:rFonts w:ascii="Times New Roman" w:eastAsia="Times New Roman" w:hAnsi="Times New Roman" w:cs="Times New Roman"/>
          <w:noProof/>
          <w:color w:val="000000"/>
          <w:szCs w:val="24"/>
        </w:rPr>
      </w:pPr>
      <w:r>
        <w:rPr>
          <w:rFonts w:ascii="Times New Roman" w:hAnsi="Times New Roman"/>
          <w:noProof/>
          <w:color w:val="000000"/>
        </w:rPr>
        <w:t xml:space="preserve">Органите предоставиха информация за висящите случаи в контекста на </w:t>
      </w:r>
      <w:r>
        <w:rPr>
          <w:rFonts w:ascii="Times New Roman" w:hAnsi="Times New Roman"/>
          <w:b/>
          <w:noProof/>
          <w:color w:val="000000"/>
        </w:rPr>
        <w:t>нормативната уредба на несъстоятелността на домакинствата</w:t>
      </w:r>
      <w:r>
        <w:rPr>
          <w:rFonts w:ascii="Times New Roman" w:hAnsi="Times New Roman"/>
          <w:noProof/>
          <w:color w:val="000000"/>
        </w:rPr>
        <w:t>, както и целева траектория за премахването на изоставането до 2021 г., както е предвидено в плана за действие, въз основа на допускането за подобрена инфраструктура. Очаква се до средата на 2019 г. органите да представят преразгледан план за действие, като също така се вземе предвид въздействието на новата схема за защита на основното жилище.</w:t>
      </w:r>
    </w:p>
    <w:p>
      <w:pPr>
        <w:pStyle w:val="ListParagraph"/>
        <w:numPr>
          <w:ilvl w:val="0"/>
          <w:numId w:val="13"/>
        </w:numPr>
        <w:jc w:val="both"/>
        <w:rPr>
          <w:rFonts w:ascii="Times New Roman" w:eastAsia="Times New Roman" w:hAnsi="Times New Roman" w:cs="Times New Roman"/>
          <w:noProof/>
          <w:color w:val="000000"/>
          <w:szCs w:val="24"/>
        </w:rPr>
      </w:pPr>
      <w:r>
        <w:rPr>
          <w:rFonts w:ascii="Times New Roman" w:hAnsi="Times New Roman"/>
          <w:noProof/>
          <w:color w:val="000000"/>
        </w:rPr>
        <w:t xml:space="preserve">По отношение на </w:t>
      </w:r>
      <w:r>
        <w:rPr>
          <w:rFonts w:ascii="Times New Roman" w:hAnsi="Times New Roman"/>
          <w:b/>
          <w:noProof/>
          <w:color w:val="000000"/>
        </w:rPr>
        <w:t>законите за продажби и секюритизации на необслужвани кредити</w:t>
      </w:r>
      <w:r>
        <w:rPr>
          <w:rFonts w:ascii="Times New Roman" w:hAnsi="Times New Roman"/>
          <w:noProof/>
          <w:color w:val="000000"/>
        </w:rPr>
        <w:t xml:space="preserve"> необходимите пояснения бяха предадени на Гръцката банкова асоциация и публикувани на уебсайта на Министерството на финансите. Тяхната ефективност ще бъде оценена през следващите месеци.</w:t>
      </w:r>
    </w:p>
    <w:p>
      <w:pPr>
        <w:spacing w:before="360" w:after="240"/>
        <w:jc w:val="both"/>
        <w:rPr>
          <w:rFonts w:ascii="Times New Roman" w:eastAsia="Times New Roman" w:hAnsi="Times New Roman" w:cs="Times New Roman"/>
          <w:i/>
          <w:noProof/>
          <w:color w:val="000000"/>
          <w:szCs w:val="24"/>
          <w:u w:val="single"/>
        </w:rPr>
      </w:pPr>
      <w:r>
        <w:rPr>
          <w:rFonts w:ascii="Times New Roman" w:hAnsi="Times New Roman"/>
          <w:i/>
          <w:noProof/>
          <w:color w:val="000000"/>
          <w:u w:val="single"/>
        </w:rPr>
        <w:t>Необслужвани кредити: защита на основното жилище</w:t>
      </w:r>
    </w:p>
    <w:p>
      <w:pPr>
        <w:spacing w:after="120"/>
        <w:jc w:val="both"/>
        <w:rPr>
          <w:rFonts w:ascii="Times New Roman" w:eastAsia="Times New Roman" w:hAnsi="Times New Roman" w:cs="Times New Roman"/>
          <w:noProof/>
          <w:color w:val="000000"/>
          <w:szCs w:val="24"/>
        </w:rPr>
      </w:pPr>
      <w:r>
        <w:rPr>
          <w:rFonts w:ascii="Times New Roman" w:hAnsi="Times New Roman"/>
          <w:b/>
          <w:noProof/>
          <w:color w:val="000000"/>
        </w:rPr>
        <w:t xml:space="preserve">Гърция прие законодателство за създаването на нова система за защита на някои основни жилища, което има за цел да подпомогне преструктурирането на необслужваните кредити. </w:t>
      </w:r>
      <w:r>
        <w:rPr>
          <w:rFonts w:ascii="Times New Roman" w:hAnsi="Times New Roman"/>
          <w:noProof/>
          <w:color w:val="000000"/>
        </w:rPr>
        <w:t>Това следва изтичането на срока на действие на разпоредбите за защита на основното жилище от Закона за несъстоятелността на домакинствата (закона Katseli), който трябваше да бъде временен и чийто срок на действие изтече в края на февруари 2019 г. след извънредно двумесечно удължаване. Първичното законодателство за схемата беше прието на 29 март, а вторичното законодателство относно спецификациите на определената електронна платформа, държавната субсидия и начина на оценяване на някои активи, включени в критериите за богатство, ще бъде прието в кратки срокове след тази дата.</w:t>
      </w:r>
    </w:p>
    <w:p>
      <w:pPr>
        <w:spacing w:after="120"/>
        <w:jc w:val="both"/>
        <w:rPr>
          <w:rFonts w:ascii="Times New Roman" w:eastAsia="Times New Roman" w:hAnsi="Times New Roman" w:cs="Times New Roman"/>
          <w:noProof/>
          <w:color w:val="000000"/>
          <w:szCs w:val="24"/>
        </w:rPr>
      </w:pPr>
      <w:r>
        <w:rPr>
          <w:rFonts w:ascii="Times New Roman" w:hAnsi="Times New Roman"/>
          <w:b/>
          <w:noProof/>
          <w:color w:val="000000"/>
        </w:rPr>
        <w:t xml:space="preserve">Новата схема е уникална за Гърция. </w:t>
      </w:r>
      <w:r>
        <w:rPr>
          <w:rFonts w:ascii="Times New Roman" w:hAnsi="Times New Roman"/>
          <w:noProof/>
          <w:color w:val="000000"/>
        </w:rPr>
        <w:t xml:space="preserve">Накратко кредитополучателите, които са физически лица и чиито кредити са обезпечени с ипотека върху основното жилище, както и са били в просрочено плащане към 31 декември 2018 г., могат да кандидатстват по схемата чрез електронна платформа. При условие че отговарят на определени критерии за допустимост, те могат да кандидатстват за преструктуриране и отписване на своите ипотечни дългове (жилищни кредити или кредити за стопанска дейност), като се съгласят да приемат стандартизирани предложения за преструктуриране, изчислени от електронната платформа и предложени им от кредиторите, или, ако не са съгласни, като прибегнат до съдилищата; длъжниците също ще се възползват от защитата от реализиране на обезпечението на основното им жилище, при условие че извършват плащания на вноски по преструктурираните дългове. За част от вноските кредитополучателите ще получат държавна субсидия. Обсъжданията през последните няколко седмици послужиха за изясняването на ключови въпроси с цел да се гарантира, че схемата е действително временна, правилно насочена и съдържа подходящи предпазни мерки за предотвратяване на злоупотреби от страна на умишлено неизпълняващите задълженията си длъжници и на натрупването на нови нерешени дела в съдилищата, както и подпомага стимулите за платежна дисциплина. </w:t>
      </w:r>
    </w:p>
    <w:p>
      <w:pPr>
        <w:spacing w:after="120"/>
        <w:jc w:val="both"/>
        <w:rPr>
          <w:rFonts w:ascii="Times New Roman" w:eastAsia="Times New Roman" w:hAnsi="Times New Roman" w:cs="Times New Roman"/>
          <w:b/>
          <w:noProof/>
          <w:color w:val="000000"/>
          <w:szCs w:val="24"/>
        </w:rPr>
      </w:pPr>
      <w:r>
        <w:rPr>
          <w:rFonts w:ascii="Times New Roman" w:hAnsi="Times New Roman"/>
          <w:b/>
          <w:noProof/>
          <w:color w:val="000000"/>
        </w:rPr>
        <w:t>Основните параметри на новата схема са следните:</w:t>
      </w:r>
    </w:p>
    <w:p>
      <w:pPr>
        <w:pStyle w:val="ListParagraph"/>
        <w:numPr>
          <w:ilvl w:val="0"/>
          <w:numId w:val="18"/>
        </w:numPr>
        <w:ind w:left="714" w:hanging="357"/>
        <w:contextualSpacing w:val="0"/>
        <w:jc w:val="both"/>
        <w:rPr>
          <w:noProof/>
          <w:color w:val="1F497D"/>
        </w:rPr>
      </w:pPr>
      <w:r>
        <w:rPr>
          <w:rFonts w:ascii="Times New Roman" w:hAnsi="Times New Roman"/>
          <w:b/>
          <w:noProof/>
          <w:color w:val="000000"/>
        </w:rPr>
        <w:t>Схемата обхваща кредитите както за домакинства, така и за стопанска дейност, които са обезпечени с основни жилища.</w:t>
      </w:r>
      <w:r>
        <w:rPr>
          <w:rFonts w:ascii="Times New Roman" w:hAnsi="Times New Roman"/>
          <w:noProof/>
          <w:color w:val="000000"/>
        </w:rPr>
        <w:t xml:space="preserve"> Разширяването на обхвата с включването на кредити за стопанска дейност поражда особени опасения, които бяха известени на гръцките органи. То включва разширяването на обхвата на защитата на основните жилища с нова категория кредитополучатели, които не бяха обхванати от по-ранното законодателство Katseli (получатели на кредити за стопанска дейност), и без да се прави оценка на жизнеспособността на тази дейност: поради това има малка яснота относно броя на очакваните заявления и възможността те да бъдат поети от капацитета на системата (включително съдилищата и механизма за държавни субсидии). Това изисква също така особено внимание от гледна точка на финансовата стабилност, тъй като наличните оценки на въздействието показват, че ще са необходими по-големи отписвания на дългове в сравнение с жилищните ипотечни кредити, като по този начин очакваното въздействие върху капитала на банките е сравнително високо. В допълнение, ако схемата не функционира добре, съществува риск банките в бъдеще да са по-малко склонни да предоставят кредити на малки предприятия, когато основното жилище се използва като обезпечение, и по този начин дейността за отпускане на обезпечени кредити може да се повлияе неблагоприятно. И накрая, налице са рискове, че наличността на новата схема за кредити за стопанска дейност ще намали стимулите за допустимите длъжници да използват извънсъдебната рамка, която дава възможност за преструктуриране на потенциалните просрочени плащания също и по отношение на данъците и вноските за социално осигуряване. Най-задължителният критерий за допустимост е размерът на неизплатените кредити, който е определен на 130 000 EUR на кредитор за жилищните ипотечни кредити и на 100 000 EUR за кредитите за стопанска дейност, като по този начин се намаляват до известна степен рисковете, свързани с тази кредитна категория. Според наличните оценки кръгът на допустимите длъжници със задължения към повече от един кредитор ще бъде тесен и приемането на праг на сумата на отделен кредитор ще доведе до опростяване на автоматичното обработване на заявленията в рамките на платформата. Институциите изразиха опасения във връзка с възможността прагът да се прилага за няколко кредитори и поискаха допълнителна информация от органите относно обхвата и въздействието.</w:t>
      </w:r>
    </w:p>
    <w:p>
      <w:pPr>
        <w:pStyle w:val="ListParagraph"/>
        <w:numPr>
          <w:ilvl w:val="0"/>
          <w:numId w:val="14"/>
        </w:numPr>
        <w:spacing w:after="120"/>
        <w:ind w:left="714" w:hanging="357"/>
        <w:contextualSpacing w:val="0"/>
        <w:jc w:val="both"/>
        <w:rPr>
          <w:rFonts w:ascii="Times New Roman" w:eastAsia="Times New Roman" w:hAnsi="Times New Roman"/>
          <w:noProof/>
          <w:color w:val="000000"/>
        </w:rPr>
      </w:pPr>
      <w:r>
        <w:rPr>
          <w:rFonts w:ascii="Times New Roman" w:hAnsi="Times New Roman"/>
          <w:b/>
          <w:noProof/>
          <w:color w:val="000000"/>
        </w:rPr>
        <w:t>Схемата установява критерии за допустимост на доходите и богатството на домакинствата, различни от основното жилище, както и праг за стойността на имуществото.</w:t>
      </w:r>
      <w:r>
        <w:rPr>
          <w:rFonts w:ascii="Times New Roman" w:hAnsi="Times New Roman"/>
          <w:noProof/>
          <w:color w:val="000000"/>
        </w:rPr>
        <w:t xml:space="preserve"> Прагът за богатство е определен на 15 000 EUR за ликвидните активи на кредитополучателя, съпруг/а и лицата на издръжка, и на 80 000 EUR за недвижимото имущество и транспортните средства към момента на подаване на заявлението. Европейските институции привлякоха вниманието на органите към последиците от техния избор на политика върху стимулите за платежната дисциплина и върху свързаните с разпределението последици от предоставянето на държавна субсидия за 20 години на кредитополучатели, които може да имат сравнително голямо състояние в допълнение към основното си жилище. Прагът за доходите се основава на условията, посочени в закона Katseli, т.е. в зависимост от размера на домакинствата с горна граница от 36 000 EUR годишно</w:t>
      </w:r>
      <w:r>
        <w:rPr>
          <w:rStyle w:val="FootnoteReference"/>
          <w:noProof/>
          <w:color w:val="000000"/>
        </w:rPr>
        <w:footnoteReference w:id="5"/>
      </w:r>
      <w:r>
        <w:rPr>
          <w:rFonts w:ascii="Times New Roman" w:hAnsi="Times New Roman"/>
          <w:noProof/>
          <w:color w:val="000000"/>
        </w:rPr>
        <w:t>. Прагът за стойността на защитеното жилище се определя на единна стойност от 250 000 EUR за жилищни кредити и следователно има по-широк обхват от този в закона Katseli (където прагът е 180 000 EUR плюс добавки за големина на семейството). За кредити за стопанска дейност прагът е определен на единна стойност от 175 000 EUR.</w:t>
      </w:r>
    </w:p>
    <w:p>
      <w:pPr>
        <w:pStyle w:val="ListParagraph"/>
        <w:numPr>
          <w:ilvl w:val="0"/>
          <w:numId w:val="14"/>
        </w:numPr>
        <w:spacing w:after="120"/>
        <w:ind w:left="714" w:hanging="357"/>
        <w:contextualSpacing w:val="0"/>
        <w:jc w:val="both"/>
        <w:rPr>
          <w:rFonts w:ascii="Times New Roman" w:eastAsia="Times New Roman" w:hAnsi="Times New Roman" w:cs="Times New Roman"/>
          <w:noProof/>
          <w:color w:val="000000"/>
          <w:szCs w:val="24"/>
        </w:rPr>
      </w:pPr>
      <w:r>
        <w:rPr>
          <w:rFonts w:ascii="Times New Roman" w:hAnsi="Times New Roman"/>
          <w:b/>
          <w:noProof/>
          <w:color w:val="000000"/>
        </w:rPr>
        <w:t>Схемата е отворена за длъжници, които в качеството си на държавни служители са получили ипотека не от банка, а от публичен фонд при преференциални условия.</w:t>
      </w:r>
      <w:r>
        <w:rPr>
          <w:rFonts w:ascii="Times New Roman" w:hAnsi="Times New Roman"/>
          <w:noProof/>
          <w:color w:val="000000"/>
        </w:rPr>
        <w:t xml:space="preserve"> Европейските институции привлякоха вниманието на органите върху факта, че това не е насочено към предизвикателството за държавата, свързано с необслужваните банкови кредити, и може да има отражение върху стимулите за спазване на платежната дисциплина. </w:t>
      </w:r>
    </w:p>
    <w:p>
      <w:pPr>
        <w:pStyle w:val="ListParagraph"/>
        <w:numPr>
          <w:ilvl w:val="0"/>
          <w:numId w:val="14"/>
        </w:numPr>
        <w:spacing w:after="120"/>
        <w:ind w:left="714" w:hanging="357"/>
        <w:contextualSpacing w:val="0"/>
        <w:jc w:val="both"/>
        <w:rPr>
          <w:rFonts w:ascii="Times New Roman" w:eastAsia="Times New Roman" w:hAnsi="Times New Roman" w:cs="Times New Roman"/>
          <w:noProof/>
          <w:color w:val="000000"/>
          <w:szCs w:val="24"/>
        </w:rPr>
      </w:pPr>
      <w:r>
        <w:rPr>
          <w:rFonts w:ascii="Times New Roman" w:hAnsi="Times New Roman"/>
          <w:b/>
          <w:noProof/>
          <w:color w:val="000000"/>
        </w:rPr>
        <w:t>Схемата е проектирана като временен инструмент.</w:t>
      </w:r>
      <w:r>
        <w:rPr>
          <w:rFonts w:ascii="Times New Roman" w:hAnsi="Times New Roman"/>
          <w:noProof/>
          <w:color w:val="000000"/>
        </w:rPr>
        <w:t xml:space="preserve"> Заявления могат да се подават до 31 декември 2019 г. за кредити, които са просрочени 90 дни или повече към 31 декември 2018 г. Това ще позволи да се докладва след изтичането на срока на действие на схемата в контекста на наблюдението на изпълнението на конкретните ангажименти за края на 2019 г. в рамките на засиленото наблюдение.</w:t>
      </w:r>
    </w:p>
    <w:p>
      <w:pPr>
        <w:pStyle w:val="ListParagraph"/>
        <w:numPr>
          <w:ilvl w:val="0"/>
          <w:numId w:val="14"/>
        </w:numPr>
        <w:spacing w:after="120"/>
        <w:ind w:left="714" w:hanging="357"/>
        <w:contextualSpacing w:val="0"/>
        <w:jc w:val="both"/>
        <w:rPr>
          <w:rFonts w:ascii="Times New Roman" w:eastAsia="Times New Roman" w:hAnsi="Times New Roman" w:cs="Times New Roman"/>
          <w:noProof/>
          <w:color w:val="000000"/>
          <w:szCs w:val="24"/>
        </w:rPr>
      </w:pPr>
      <w:r>
        <w:rPr>
          <w:rFonts w:ascii="Times New Roman" w:hAnsi="Times New Roman"/>
          <w:b/>
          <w:noProof/>
          <w:color w:val="000000"/>
        </w:rPr>
        <w:t>Въз основа на предложения за преструктуриране от страна на банките вноските ще се подпомагат с държавна субсидия на прогресивен принцип в зависимост от доходите</w:t>
      </w:r>
      <w:r>
        <w:rPr>
          <w:rFonts w:ascii="Times New Roman" w:hAnsi="Times New Roman"/>
          <w:noProof/>
          <w:color w:val="000000"/>
        </w:rPr>
        <w:t xml:space="preserve"> (изчислена средно на около 30 %). Схемата включва задължително процентно намаление за главницата, при условие че съотношението между размера на кредита и стойността на имота надхвърля 120 %. Освен това вноските ще имат стандартна продължителност от 20 години, ограничена до 80-ата година на възрастта на длъжника. Като предлага стандартизирано решение, подходът има потенциал да спомогне за преодоляване на закъсненията при намаляването на необслужваните кредити. Въпреки това, за разлика от стандартната банкова практика, при този подход не се отчита изцяло общият платежен капацитет на длъжника и не се взема предвид стопанската жизнеспособност на кредитополучателите при кредити за стопанска дейност, тъй като при него се прилагат хоризонтално едни и същи преструктуриране и отписване. Замисълът с това е извършването на голям брой преструктурирания в рамките на ограничен период от време.</w:t>
      </w:r>
    </w:p>
    <w:p>
      <w:pPr>
        <w:pStyle w:val="ListParagraph"/>
        <w:numPr>
          <w:ilvl w:val="0"/>
          <w:numId w:val="14"/>
        </w:numPr>
        <w:spacing w:after="120"/>
        <w:ind w:left="714" w:hanging="357"/>
        <w:contextualSpacing w:val="0"/>
        <w:jc w:val="both"/>
        <w:rPr>
          <w:rFonts w:ascii="Times New Roman" w:eastAsia="Times New Roman" w:hAnsi="Times New Roman" w:cs="Times New Roman"/>
          <w:noProof/>
          <w:color w:val="000000"/>
          <w:szCs w:val="24"/>
        </w:rPr>
      </w:pPr>
      <w:r>
        <w:rPr>
          <w:rFonts w:ascii="Times New Roman" w:hAnsi="Times New Roman"/>
          <w:b/>
          <w:noProof/>
          <w:color w:val="000000"/>
        </w:rPr>
        <w:t>Електронната платформа следва да започне да функционира до края на април 2019 г.</w:t>
      </w:r>
      <w:r>
        <w:rPr>
          <w:rFonts w:ascii="Times New Roman" w:hAnsi="Times New Roman"/>
          <w:noProof/>
          <w:color w:val="000000"/>
        </w:rPr>
        <w:t xml:space="preserve"> Целта е тя да работи на напълно автоматизиран принцип за оценка на спазването на критериите за допустимост, като ще има достъп до информация, отнасяща се до заявителите, от бази данни от банковия сектор и/или други публични сектори. Платформата ще уведомява кредиторите за подадените заявления и ще им предоставя съответния набор от данни, позволявайки им да формулират предложението си към длъжниците. Платформата е предназначена също така да се използва за филтриране на количествените елементи на критериите за допустимост по висящите дела съгласно закона Katseli. Ако бъде правилно приложен, този аспект ще помогне на съдилищата да идентифицират неправомерни искове, подадени съгласно законодателството в областта на несъстоятелността на домакинствата, и ще позволи по-бързото разрешаване на тези дела.</w:t>
      </w:r>
    </w:p>
    <w:p>
      <w:pPr>
        <w:pStyle w:val="ListParagraph"/>
        <w:numPr>
          <w:ilvl w:val="0"/>
          <w:numId w:val="14"/>
        </w:numPr>
        <w:spacing w:after="120"/>
        <w:ind w:left="714" w:hanging="357"/>
        <w:contextualSpacing w:val="0"/>
        <w:jc w:val="both"/>
        <w:rPr>
          <w:rFonts w:ascii="Times New Roman" w:eastAsia="Times New Roman" w:hAnsi="Times New Roman" w:cs="Times New Roman"/>
          <w:noProof/>
          <w:color w:val="000000"/>
          <w:szCs w:val="24"/>
        </w:rPr>
      </w:pPr>
      <w:r>
        <w:rPr>
          <w:rFonts w:ascii="Times New Roman" w:hAnsi="Times New Roman"/>
          <w:b/>
          <w:noProof/>
          <w:color w:val="000000"/>
        </w:rPr>
        <w:t>Ефективната работа на платформата би могла по принцип да доведе до задоволителен брой преструктурирания, но са налице ограничени, и все пак не пренебрежимо малки, рискове</w:t>
      </w:r>
      <w:r>
        <w:rPr>
          <w:rFonts w:ascii="Times New Roman" w:hAnsi="Times New Roman"/>
          <w:noProof/>
          <w:color w:val="000000"/>
        </w:rPr>
        <w:t xml:space="preserve"> </w:t>
      </w:r>
      <w:r>
        <w:rPr>
          <w:rFonts w:ascii="Times New Roman" w:hAnsi="Times New Roman"/>
          <w:b/>
          <w:noProof/>
          <w:color w:val="000000"/>
        </w:rPr>
        <w:t>от последващи съдебни спорове, които биха могли да доведат до допълнителни натрупвания.</w:t>
      </w:r>
      <w:r>
        <w:rPr>
          <w:rFonts w:ascii="Times New Roman" w:hAnsi="Times New Roman"/>
          <w:noProof/>
          <w:color w:val="000000"/>
        </w:rPr>
        <w:t xml:space="preserve"> Ако процедурата с използването на платформата не доведе до споразумение за преструктуриране, длъжникът има право да подаде искане за преструктуриране пред компетентния съд. Определянето на датата на изслушването и издаването на съдебното решение трябва да се извърши в рамките на строго определен срок (шест месеца от датата на внасяне на иск и съответно три месеца от изслушването по делото). Временно спиране на изпълнението може да се предоставя при специфични условия и като се изисква от длъжниците, които са определени като допустими, но не са успели да осъществят преструктуриране в рамките на платформата, да плащат месечни вноски или да изплатят част от непогасената сума, в зависимост от обстоятелствата. В законодателството са предвидени някои предпазни мерки срещу несериозни или недобросъвестни искове, които могат да бъдат санкционирани от съда чрез налагането на санкция. Въпреки това е необходимо да се следят отблизо потенциалните нови съдебни спорове, възникнали по схемата, и въздействието върху изпълнението както в краткосрочен, така и в дългосрочен план, тъй като тези два елемента са от значение за бъдещата дейност по отпускане на кредити и за процеса на намаляване на необслужваните кредити.</w:t>
      </w:r>
    </w:p>
    <w:p>
      <w:pPr>
        <w:pStyle w:val="ListParagraph"/>
        <w:numPr>
          <w:ilvl w:val="0"/>
          <w:numId w:val="14"/>
        </w:numPr>
        <w:spacing w:after="120"/>
        <w:ind w:left="714" w:hanging="357"/>
        <w:contextualSpacing w:val="0"/>
        <w:jc w:val="both"/>
        <w:rPr>
          <w:rFonts w:ascii="Times New Roman" w:eastAsia="Times New Roman" w:hAnsi="Times New Roman" w:cs="Times New Roman"/>
          <w:noProof/>
          <w:color w:val="000000"/>
          <w:szCs w:val="24"/>
        </w:rPr>
      </w:pPr>
      <w:r>
        <w:rPr>
          <w:rFonts w:ascii="Times New Roman" w:hAnsi="Times New Roman"/>
          <w:b/>
          <w:noProof/>
          <w:color w:val="000000"/>
        </w:rPr>
        <w:t>Наличните оценки потвърждават, че фискалните разходи за субсидията ще бъдат в рамките на планирания бюджетен пакет от 150 милиона евро за 2019 г. и 200 милиона евро годишно след това.</w:t>
      </w:r>
      <w:r>
        <w:rPr>
          <w:rFonts w:ascii="Times New Roman" w:hAnsi="Times New Roman"/>
          <w:noProof/>
          <w:color w:val="000000"/>
        </w:rPr>
        <w:t xml:space="preserve"> Равнището на субсидията следва да бъде определено във вторичното законодателство и ще изисква внимателно наблюдение поради несигурността по отношение на наличните оценки с оглед на непълните налични данни.</w:t>
      </w:r>
    </w:p>
    <w:p>
      <w:pPr>
        <w:spacing w:after="120"/>
        <w:jc w:val="both"/>
        <w:rPr>
          <w:rFonts w:ascii="Times New Roman" w:eastAsia="Times New Roman" w:hAnsi="Times New Roman" w:cs="Times New Roman"/>
          <w:noProof/>
          <w:color w:val="000000"/>
          <w:szCs w:val="24"/>
        </w:rPr>
      </w:pPr>
      <w:r>
        <w:rPr>
          <w:rFonts w:ascii="Times New Roman" w:hAnsi="Times New Roman"/>
          <w:b/>
          <w:noProof/>
          <w:color w:val="000000"/>
        </w:rPr>
        <w:t>Като цяло новата законодателна схема има потенциала да спомогне за преструктурирането на необслужваните кредити, въпреки че продължават да съществуват някои рискове за финансовата стабилност и платежната дисциплина.</w:t>
      </w:r>
      <w:r>
        <w:rPr>
          <w:rFonts w:ascii="Times New Roman" w:hAnsi="Times New Roman"/>
          <w:noProof/>
          <w:color w:val="000000"/>
        </w:rPr>
        <w:t xml:space="preserve"> По време на подготвителната фаза на разписването на законодателството беше постигнат значителен напредък при смекчаването на рисковете по отношение на прилагането и съдебните спорове, посочени в становище на ЕЦБ</w:t>
      </w:r>
      <w:r>
        <w:rPr>
          <w:rStyle w:val="FootnoteReference"/>
          <w:noProof/>
          <w:color w:val="000000"/>
        </w:rPr>
        <w:footnoteReference w:id="6"/>
      </w:r>
      <w:r>
        <w:rPr>
          <w:rFonts w:ascii="Times New Roman" w:hAnsi="Times New Roman"/>
          <w:noProof/>
          <w:color w:val="000000"/>
        </w:rPr>
        <w:t xml:space="preserve"> във връзка с един по-ранен проект на закона — опасения, които бяха свързани с потенциалното въздействие на схемата върху финансовата стабилност и платежната дисциплина, както и с рисковете от злоупотреба от страна на умишлено неизплащащите задълженията си. Все пак трябва да бъде подчертано, че в приетото законодателство тези рискове бяха смекчени до известна степен, но не и елиминирани: уникалността на схемата означава, че съществува несигурност относно това как тя ще работи на практика и по този начин относно мащаба и възможността за количествено определяне на тези рискове.</w:t>
      </w:r>
    </w:p>
    <w:p>
      <w:pPr>
        <w:spacing w:after="120"/>
        <w:jc w:val="both"/>
        <w:rPr>
          <w:rFonts w:ascii="Times New Roman" w:eastAsia="Times New Roman" w:hAnsi="Times New Roman" w:cs="Times New Roman"/>
          <w:noProof/>
          <w:color w:val="000000"/>
          <w:szCs w:val="24"/>
        </w:rPr>
      </w:pPr>
      <w:r>
        <w:rPr>
          <w:rFonts w:ascii="Times New Roman" w:hAnsi="Times New Roman"/>
          <w:b/>
          <w:noProof/>
          <w:color w:val="000000"/>
        </w:rPr>
        <w:t>В бъдеще оставащите технически подробности, по-специално във връзка с оперативните и функционалните възможности на платформата, следва да бъдат определени бързо, а техническото изпълнение следва да бъде извършено във възможно най-кратък срок.</w:t>
      </w:r>
      <w:r>
        <w:rPr>
          <w:rFonts w:ascii="Times New Roman" w:hAnsi="Times New Roman"/>
          <w:noProof/>
          <w:color w:val="000000"/>
        </w:rPr>
        <w:t xml:space="preserve"> Ще бъде необходимо изпълнението да се следи отблизо, що се отнася до оперативните аспекти (функциониране на платформата, бързина на намиране на решение), въздействието върху капитала на банките, въздействието върху принудителното изпълнение и съдебните спорове, както и фискалните разходи във връзка със субсидията. Европейските институции ще предоставят актуализирана информация относно прилагането на схемата и възможните опасения в контекста на засиленото наблюдение. Гръцките органи се приканват да поемат ангажимент да не разширяват допълнително продължителността и обхвата на новата схема и да предприемат коригиращи действия, включително законодателство, ако възникнат проблеми с прилагането на схемата или правни проблеми във връзка с нея. И накрая, следва да се припомни, че за новата схема ще е необходимо държавната помощ да бъде одобрена от Комисията.</w:t>
      </w:r>
    </w:p>
    <w:p>
      <w:pPr>
        <w:spacing w:after="120"/>
        <w:jc w:val="both"/>
        <w:rPr>
          <w:rFonts w:ascii="Times New Roman" w:eastAsia="Times New Roman" w:hAnsi="Times New Roman" w:cs="Times New Roman"/>
          <w:noProof/>
          <w:color w:val="000000"/>
          <w:szCs w:val="24"/>
        </w:rPr>
      </w:pPr>
      <w:r>
        <w:rPr>
          <w:rFonts w:ascii="Times New Roman" w:hAnsi="Times New Roman"/>
          <w:b/>
          <w:noProof/>
          <w:color w:val="000000"/>
        </w:rPr>
        <w:t>В съответствие с обяснителния доклад, приложен към законодателството относно новата схема, европейските институции приветстват ангажимента на гръцките органи да предприемат действия за уеднаквяване на набора от закони, които са от значение за случаите на несъстоятелност/фалит и преструктуриране на дългове</w:t>
      </w:r>
      <w:r>
        <w:rPr>
          <w:rFonts w:ascii="Times New Roman" w:hAnsi="Times New Roman"/>
          <w:noProof/>
          <w:color w:val="000000"/>
        </w:rPr>
        <w:t xml:space="preserve">. Това ще започне с реформа на закона Katseli, която следва да бъде приключена до средата на 2019 г., като целта е да се осигурят правна яснота и съгласуваност, да се отстранят пропуските, които позволяват злоупотреби, така че да се спира или да се блокира изпълнението, да се добавят предпазни мерки, които се считат за достатъчни за възпиране на умишлено неизпълнение на задълженията и за подобряване на културата на извънсъдебно двустранно или многостранно преструктуриране. </w:t>
      </w:r>
    </w:p>
    <w:p>
      <w:pPr>
        <w:spacing w:before="360" w:after="240"/>
        <w:jc w:val="both"/>
        <w:rPr>
          <w:rFonts w:ascii="Times New Roman" w:eastAsia="Times New Roman" w:hAnsi="Times New Roman"/>
          <w:i/>
          <w:noProof/>
          <w:u w:val="single"/>
        </w:rPr>
      </w:pPr>
      <w:r>
        <w:rPr>
          <w:rFonts w:ascii="Times New Roman" w:hAnsi="Times New Roman"/>
          <w:i/>
          <w:noProof/>
          <w:u w:val="single"/>
        </w:rPr>
        <w:t xml:space="preserve">Гръцкият фонд за финансова стабилност (HFSF) </w:t>
      </w:r>
    </w:p>
    <w:p>
      <w:pPr>
        <w:jc w:val="both"/>
        <w:rPr>
          <w:rFonts w:ascii="Times New Roman" w:eastAsia="Times New Roman" w:hAnsi="Times New Roman"/>
          <w:noProof/>
        </w:rPr>
      </w:pPr>
      <w:r>
        <w:rPr>
          <w:rFonts w:ascii="Times New Roman" w:hAnsi="Times New Roman"/>
          <w:b/>
          <w:noProof/>
        </w:rPr>
        <w:t>Всички ангажименти по отношение на управлението на HFSF са изпълнени.</w:t>
      </w:r>
      <w:r>
        <w:rPr>
          <w:rFonts w:ascii="Times New Roman" w:hAnsi="Times New Roman"/>
          <w:noProof/>
        </w:rPr>
        <w:t xml:space="preserve"> Що се отнася до работата на HFSF, министърът на финансите изпрати писмо до Работната група за Еврогрупата, в което са посочени лицата, определени за незаетите длъжности в изпълнителния съвет и в генералния съвет на HFSF, като те бяха одобрени от Работната група за Еврогрупата. Също така Министерството на финансите получи и одобри становище на държавния правен съвет относно статуса на комисията за подбор на HFSF, както и по отношение на запазването на този статус за периода на действие на HFSF.</w:t>
      </w:r>
    </w:p>
    <w:p>
      <w:pPr>
        <w:spacing w:before="360" w:after="240"/>
        <w:jc w:val="both"/>
        <w:rPr>
          <w:rFonts w:ascii="Times New Roman" w:eastAsia="Times New Roman" w:hAnsi="Times New Roman" w:cs="Times New Roman"/>
          <w:b/>
          <w:bCs/>
          <w:i/>
          <w:noProof/>
          <w:color w:val="000000"/>
          <w:szCs w:val="24"/>
          <w:u w:val="single"/>
        </w:rPr>
      </w:pPr>
      <w:r>
        <w:rPr>
          <w:rFonts w:ascii="Times New Roman" w:hAnsi="Times New Roman"/>
          <w:i/>
          <w:noProof/>
          <w:color w:val="000000"/>
          <w:u w:val="single"/>
        </w:rPr>
        <w:t>Енергетика</w:t>
      </w:r>
    </w:p>
    <w:p>
      <w:pPr>
        <w:spacing w:after="120"/>
        <w:jc w:val="both"/>
        <w:rPr>
          <w:rFonts w:ascii="Times New Roman" w:hAnsi="Times New Roman" w:cs="Times New Roman"/>
          <w:noProof/>
        </w:rPr>
      </w:pPr>
      <w:r>
        <w:rPr>
          <w:rFonts w:ascii="Times New Roman" w:hAnsi="Times New Roman"/>
          <w:b/>
          <w:noProof/>
        </w:rPr>
        <w:t>Продажбата на част от мощностите за производство на електроенергия от лигнитни въглища на Държавната електрическа компания (ДЕК), които се състоят от работещите с лигнитни въглища електроцентрали Мелити и Мегалополи 3 и 4, продължава да е в основата на реформите на енергийния сектор в Гърция.</w:t>
      </w:r>
      <w:r>
        <w:rPr>
          <w:rFonts w:ascii="Times New Roman" w:hAnsi="Times New Roman"/>
          <w:noProof/>
        </w:rPr>
        <w:t xml:space="preserve"> След неуспеха на първата тръжна процедура през февруари 2019 г. органите отново потвърдиха намерението си да приключат продажбата на активи и да спазят съществуващия ангажимент в рамките на засиленото наблюдение, антитръстовите мерки и свързаното с тях решение на Комисията. За тази цел те започнаха нова тръжна процедура с краен срок за приключване на сделката в края на юни, за което общото събрание на ДЕК даде своето одобрение. Продажбите на активи също бяха включени в неотдавнашно изменение на националното законодателство в областта на енергетиката, с което задължението за приключване на продажбата обхвана акционерите на ДЕК. ДЕК може да поиска нова оценка на централите, работещи с лигнитни въглища, като този път се вземат предвид други подобни продажби в ЕС според предвиденото в антитръстовите мерки, както и в офертите, получени при неуспешната тръжна процедура. Освен това ДЕК ще назначи друг оценител, който да изготви становище дали получените оферти са справедливи. Що се отнася до яснотата на условията за продажба, беше решено в споразуменията за покупко-продажба (СПП) да не се въвежда механизъм за споделяне на риска, макар да е възможно в хода на процедурата с инвеститорите да бъдат обсъдени други условия. Всички тези стъпки ще бъдат предприети с цел успешното приключване на процедурата на продажба на активи в съответствие с ангажиментите, поети в рамките на антитръстовия случай, и в срока за новата тръжна процедура.</w:t>
      </w:r>
    </w:p>
    <w:p>
      <w:pPr>
        <w:spacing w:after="120"/>
        <w:jc w:val="both"/>
        <w:rPr>
          <w:rFonts w:ascii="Times New Roman" w:hAnsi="Times New Roman" w:cs="Times New Roman"/>
          <w:noProof/>
        </w:rPr>
      </w:pPr>
      <w:r>
        <w:rPr>
          <w:rFonts w:ascii="Times New Roman" w:hAnsi="Times New Roman"/>
          <w:b/>
          <w:noProof/>
        </w:rPr>
        <w:t>Новата процедура за продажба на активи вече е в ход по предвидения график.</w:t>
      </w:r>
      <w:r>
        <w:rPr>
          <w:rFonts w:ascii="Times New Roman" w:hAnsi="Times New Roman"/>
          <w:noProof/>
        </w:rPr>
        <w:t xml:space="preserve"> Шест дружества отговориха на поканата за подаване на заявления за изразяване на интерес. Предвидена е виртуална „зала за данни“, съдържаща СПП, които ще бъдат основата за преговорите. През следващите месеци следва да бъдат изготвени първите СПП, споразумението по окончателния текст на СПП, а след това ще бъдат представени обвързващи оферти. Тези оферти трябва да бъдат одобрени от съвета на директорите и от общото събрание на ДЕК преди изтичането на периода за продажбата на активи, определен за края на юни 2019 г. След одобрение от общото събрание на ДЕК гръцкият парламент ще ратифицира продажбата. От основно значение ще бъде с навременното изпълнение на планираните до момента стъпки да се запази възвърнатата динамика с цел сделката за продажба на активи да бъде придвижена напред.</w:t>
      </w:r>
    </w:p>
    <w:p>
      <w:pPr>
        <w:keepNext/>
        <w:spacing w:before="360" w:after="240"/>
        <w:jc w:val="both"/>
        <w:rPr>
          <w:rFonts w:ascii="Times New Roman" w:eastAsia="Times New Roman" w:hAnsi="Times New Roman" w:cs="Times New Roman"/>
          <w:i/>
          <w:noProof/>
          <w:color w:val="000000"/>
          <w:szCs w:val="24"/>
          <w:u w:val="single"/>
        </w:rPr>
      </w:pPr>
      <w:r>
        <w:rPr>
          <w:rFonts w:ascii="Times New Roman" w:hAnsi="Times New Roman"/>
          <w:i/>
          <w:noProof/>
          <w:color w:val="000000"/>
          <w:u w:val="single"/>
        </w:rPr>
        <w:t xml:space="preserve">Приватизация </w:t>
      </w:r>
    </w:p>
    <w:p>
      <w:pPr>
        <w:spacing w:after="120"/>
        <w:jc w:val="both"/>
        <w:rPr>
          <w:rFonts w:ascii="Times New Roman" w:eastAsia="Times New Roman" w:hAnsi="Times New Roman" w:cs="Times New Roman"/>
          <w:noProof/>
          <w:color w:val="000000"/>
          <w:szCs w:val="24"/>
        </w:rPr>
      </w:pPr>
      <w:r>
        <w:rPr>
          <w:rFonts w:ascii="Times New Roman" w:hAnsi="Times New Roman"/>
          <w:b/>
          <w:noProof/>
          <w:color w:val="000000"/>
        </w:rPr>
        <w:t>На 7 март 2019 г. бе прието законодателство, свързано с корпоративното преструктуриране на газовото дружество „DEPA“</w:t>
      </w:r>
      <w:r>
        <w:rPr>
          <w:rFonts w:ascii="Times New Roman" w:hAnsi="Times New Roman"/>
          <w:noProof/>
          <w:color w:val="000000"/>
        </w:rPr>
        <w:t xml:space="preserve"> Законодателството проправя пътя за договорената приватизационна сделка. Ще бъде важно да се гарантира, че преходните разпоредби относно заетостта, включени в законодателството, запазват като цел настоящия брой на наетите служители.</w:t>
      </w:r>
    </w:p>
    <w:p>
      <w:pPr>
        <w:spacing w:after="120"/>
        <w:jc w:val="both"/>
        <w:rPr>
          <w:rFonts w:ascii="Times New Roman" w:eastAsia="Times New Roman" w:hAnsi="Times New Roman" w:cs="Times New Roman"/>
          <w:noProof/>
          <w:color w:val="000000"/>
          <w:szCs w:val="24"/>
        </w:rPr>
      </w:pPr>
      <w:r>
        <w:rPr>
          <w:rFonts w:ascii="Times New Roman" w:hAnsi="Times New Roman"/>
          <w:b/>
          <w:noProof/>
        </w:rPr>
        <w:t>През януари 2019 г. органите се договориха за редица действия, които да бъдат изпълнени бързо с цел отстраняването на постоянните пречки пред концесията на магистрала „Егнатия“</w:t>
      </w:r>
      <w:r>
        <w:rPr>
          <w:noProof/>
        </w:rPr>
        <w:t>.</w:t>
      </w:r>
      <w:r>
        <w:rPr>
          <w:rFonts w:ascii="Times New Roman" w:hAnsi="Times New Roman"/>
          <w:b/>
          <w:noProof/>
        </w:rPr>
        <w:t xml:space="preserve"> </w:t>
      </w:r>
      <w:r>
        <w:rPr>
          <w:rFonts w:ascii="Times New Roman" w:hAnsi="Times New Roman"/>
          <w:noProof/>
        </w:rPr>
        <w:t>Целта бе да се осигури напредък по сделката така, че в рамките на 2019 г. да бъдат получени обвързващи оферти в съответствие с актуализирания план за развитие на активите на приватизационния фонд TAIPED. Договорените и очаквани до този момент действия бяха изпълнени в съответствие с техническата осъществимост. Това включва по-специално приемането на бюджета на „Егнатия“, приключването на парламентарната процедура за назначаването на изпълнителен директор на „Егнатия“, предаването от „Егнатия“ на Органа за лицензиране на тунелите на всички неприключени досиета и представянето на информация до Комисията относно ценовата политика за изминат участък.</w:t>
      </w:r>
      <w:r>
        <w:rPr>
          <w:rFonts w:ascii="Times New Roman" w:hAnsi="Times New Roman"/>
          <w:noProof/>
          <w:color w:val="000000"/>
        </w:rPr>
        <w:t xml:space="preserve"> Ускорената процедура за лицензиране на тунели следва да продължи, за да се решат въпросите, свързани с лицензирането на тунели, практически най-бързо. В по-общ план от решаващо значение ще бъде да се гарантира, че в бъдеще сделката протича безпрепятствено, за да се избегне влошаването на положителната като цяло ситуация с програмата за приватизация.</w:t>
      </w:r>
      <w:r>
        <w:rPr>
          <w:rFonts w:ascii="Times New Roman" w:hAnsi="Times New Roman"/>
          <w:noProof/>
        </w:rPr>
        <w:t xml:space="preserve"> </w:t>
      </w:r>
    </w:p>
    <w:p>
      <w:pPr>
        <w:spacing w:before="360" w:after="240"/>
        <w:jc w:val="both"/>
        <w:rPr>
          <w:rFonts w:ascii="Times New Roman" w:eastAsia="Times New Roman" w:hAnsi="Times New Roman" w:cs="Times New Roman"/>
          <w:bCs/>
          <w:i/>
          <w:noProof/>
          <w:color w:val="000000"/>
          <w:szCs w:val="24"/>
          <w:u w:val="single"/>
        </w:rPr>
      </w:pPr>
      <w:r>
        <w:rPr>
          <w:rFonts w:ascii="Times New Roman" w:hAnsi="Times New Roman"/>
          <w:i/>
          <w:noProof/>
          <w:color w:val="000000"/>
          <w:u w:val="single"/>
        </w:rPr>
        <w:t>Публична администрация</w:t>
      </w:r>
    </w:p>
    <w:p>
      <w:pPr>
        <w:spacing w:after="120"/>
        <w:jc w:val="both"/>
        <w:rPr>
          <w:rFonts w:ascii="Times New Roman" w:eastAsia="Times New Roman" w:hAnsi="Times New Roman"/>
          <w:noProof/>
        </w:rPr>
      </w:pPr>
      <w:r>
        <w:rPr>
          <w:rFonts w:ascii="Times New Roman" w:hAnsi="Times New Roman"/>
          <w:b/>
          <w:noProof/>
        </w:rPr>
        <w:t>На фона на неравномерния напредък с назначаването на висши ръководни кадри бяха осъществени редица допълнителни дейности за модернизация на публичната администрация</w:t>
      </w:r>
      <w:r>
        <w:rPr>
          <w:noProof/>
        </w:rPr>
        <w:t xml:space="preserve">, </w:t>
      </w:r>
      <w:r>
        <w:rPr>
          <w:rFonts w:ascii="Times New Roman" w:hAnsi="Times New Roman"/>
          <w:noProof/>
        </w:rPr>
        <w:t>в това число приемането на закон, който ще позволи дългосрочният план за набиране на персонал да бъде тясно свързан със средносрочната фискална стратегия (СФС), както и да бъде изготвена пътна карта относно начините за рационализиране на системата за класификация на професиите („klados“)</w:t>
      </w:r>
      <w:r>
        <w:rPr>
          <w:noProof/>
        </w:rPr>
        <w:t>.</w:t>
      </w:r>
      <w:r>
        <w:rPr>
          <w:rFonts w:ascii="Times New Roman" w:hAnsi="Times New Roman"/>
          <w:noProof/>
        </w:rPr>
        <w:t xml:space="preserve"> След като на 27 февруари 2019 г. бе приет докладът за засиленото наблюдение, органите предприеха ключови действия, отнасящи се до реформата в областта на правната кодификация, включително приемането на решението за одобрение на тръжната процедура за „цифров портал“ и представянето на правни разпоредби относно „централния комитет по кодификация“, който се очаква да играе възлова роля в надзора на правната кодификация. Осен това органите потвърдиха, че броят на планирания за наемане персонал през 2019 г. е съобразен с числата, включени в плана за наемане на персонал, осигуряващ спазването през 2019 г. на правилото за заместване по принципа „едно към едно“. Това ще включва компенсиране на броя на наетите постоянно на работа от 2018 г. (около 1 000), като през посочената година бе превишено правилото за напускащите и новонаеманите служители, т.е. един нов служител на всеки трима напуснали, както и намаляване на временно наетите лица (около 14 %), за да бъде постигната целта за разходите за заплати, заложена в СФС.</w:t>
      </w:r>
    </w:p>
    <w:p>
      <w:pPr>
        <w:spacing w:after="120"/>
        <w:contextualSpacing/>
        <w:jc w:val="both"/>
        <w:rPr>
          <w:rFonts w:ascii="Times New Roman" w:eastAsia="Times New Roman" w:hAnsi="Times New Roman" w:cs="Times New Roman"/>
          <w:noProof/>
          <w:color w:val="000000"/>
          <w:szCs w:val="24"/>
        </w:rPr>
      </w:pPr>
    </w:p>
    <w:p>
      <w:pPr>
        <w:spacing w:after="120"/>
        <w:contextualSpacing/>
        <w:jc w:val="both"/>
        <w:rPr>
          <w:rFonts w:ascii="Times New Roman" w:eastAsia="Times New Roman" w:hAnsi="Times New Roman" w:cs="Times New Roman"/>
          <w:noProof/>
          <w:color w:val="000000"/>
          <w:szCs w:val="24"/>
        </w:rPr>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pPr>
    </w:p>
    <w:p>
      <w:pPr>
        <w:spacing w:after="240" w:line="240" w:lineRule="atLeast"/>
        <w:jc w:val="both"/>
        <w:rPr>
          <w:rFonts w:ascii="Times New Roman" w:eastAsia="Calibri" w:hAnsi="Times New Roman" w:cs="Times New Roman"/>
          <w:noProof/>
          <w:color w:val="000000"/>
          <w:sz w:val="20"/>
        </w:rPr>
      </w:pPr>
      <w:r>
        <w:rPr>
          <w:rFonts w:ascii="Times New Roman" w:hAnsi="Times New Roman"/>
          <w:noProof/>
          <w:color w:val="000000"/>
          <w:sz w:val="20"/>
        </w:rPr>
        <w:t>Напредък към края на 2018 г. по изпълнението на конкретните ангажименти към Еврогрупата (</w:t>
      </w:r>
      <w:hyperlink r:id="rId25" w:history="1">
        <w:r>
          <w:rPr>
            <w:rFonts w:ascii="Times New Roman" w:hAnsi="Times New Roman"/>
            <w:noProof/>
            <w:color w:val="0563C1"/>
            <w:sz w:val="20"/>
            <w:u w:val="single"/>
          </w:rPr>
          <w:t>Приложение за еврогрупата</w:t>
        </w:r>
      </w:hyperlink>
      <w:r>
        <w:rPr>
          <w:noProof/>
        </w:rPr>
        <w:t xml:space="preserve">, </w:t>
      </w:r>
      <w:r>
        <w:rPr>
          <w:rFonts w:ascii="Times New Roman" w:hAnsi="Times New Roman"/>
          <w:noProof/>
          <w:color w:val="000000"/>
          <w:sz w:val="20"/>
        </w:rPr>
        <w:t>22 юни 2018 г.)</w:t>
      </w:r>
    </w:p>
    <w:p>
      <w:pPr>
        <w:spacing w:after="240" w:line="240" w:lineRule="atLeast"/>
        <w:jc w:val="both"/>
        <w:rPr>
          <w:rFonts w:ascii="Times New Roman" w:eastAsia="Calibri" w:hAnsi="Times New Roman" w:cs="Times New Roman"/>
          <w:noProof/>
          <w:color w:val="000000"/>
          <w:sz w:val="20"/>
        </w:rPr>
      </w:pPr>
      <w:r>
        <w:rPr>
          <w:rFonts w:ascii="Times New Roman" w:hAnsi="Times New Roman"/>
          <w:noProof/>
          <w:color w:val="000000"/>
          <w:sz w:val="20"/>
        </w:rPr>
        <w:t>25 март 2019 г.</w:t>
      </w:r>
    </w:p>
    <w:tbl>
      <w:tblPr>
        <w:tblStyle w:val="TableGrid18"/>
        <w:tblW w:w="14742" w:type="dxa"/>
        <w:tblInd w:w="-318" w:type="dxa"/>
        <w:tblLayout w:type="fixed"/>
        <w:tblLook w:val="04A0" w:firstRow="1" w:lastRow="0" w:firstColumn="1" w:lastColumn="0" w:noHBand="0" w:noVBand="1"/>
      </w:tblPr>
      <w:tblGrid>
        <w:gridCol w:w="737"/>
        <w:gridCol w:w="4312"/>
        <w:gridCol w:w="9693"/>
      </w:tblGrid>
      <w:tr>
        <w:trPr>
          <w:trHeight w:val="481"/>
          <w:tblHeader/>
        </w:trPr>
        <w:tc>
          <w:tcPr>
            <w:tcW w:w="737" w:type="dxa"/>
            <w:shd w:val="clear" w:color="auto" w:fill="FFC000"/>
            <w:vAlign w:val="center"/>
          </w:tcPr>
          <w:p>
            <w:pPr>
              <w:keepNext/>
              <w:keepLines/>
              <w:spacing w:before="120" w:after="120" w:line="240" w:lineRule="atLeast"/>
              <w:jc w:val="center"/>
              <w:outlineLvl w:val="0"/>
              <w:rPr>
                <w:rFonts w:ascii="Times New Roman" w:eastAsia="Times New Roman" w:hAnsi="Times New Roman" w:cs="Times New Roman"/>
                <w:b/>
                <w:bCs/>
                <w:noProof/>
                <w:color w:val="000000"/>
                <w:sz w:val="20"/>
                <w:szCs w:val="20"/>
              </w:rPr>
            </w:pPr>
          </w:p>
        </w:tc>
        <w:tc>
          <w:tcPr>
            <w:tcW w:w="4312" w:type="dxa"/>
            <w:shd w:val="clear" w:color="auto" w:fill="FFC000"/>
            <w:vAlign w:val="center"/>
          </w:tcPr>
          <w:p>
            <w:pPr>
              <w:keepNext/>
              <w:keepLines/>
              <w:spacing w:before="120" w:after="120" w:line="240" w:lineRule="atLeast"/>
              <w:jc w:val="center"/>
              <w:outlineLvl w:val="0"/>
              <w:rPr>
                <w:rFonts w:ascii="Times New Roman" w:eastAsia="Times New Roman" w:hAnsi="Times New Roman" w:cs="Times New Roman"/>
                <w:b/>
                <w:bCs/>
                <w:noProof/>
                <w:color w:val="000000"/>
                <w:sz w:val="20"/>
                <w:szCs w:val="20"/>
              </w:rPr>
            </w:pPr>
            <w:r>
              <w:rPr>
                <w:rFonts w:ascii="Times New Roman" w:hAnsi="Times New Roman"/>
                <w:b/>
                <w:noProof/>
                <w:color w:val="000000"/>
                <w:sz w:val="20"/>
              </w:rPr>
              <w:t>Ангажимент</w:t>
            </w:r>
          </w:p>
        </w:tc>
        <w:tc>
          <w:tcPr>
            <w:tcW w:w="9693" w:type="dxa"/>
            <w:shd w:val="clear" w:color="auto" w:fill="FFC000"/>
            <w:vAlign w:val="center"/>
          </w:tcPr>
          <w:p>
            <w:pPr>
              <w:spacing w:after="240" w:line="240" w:lineRule="atLeast"/>
              <w:ind w:right="-59"/>
              <w:contextualSpacing/>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 xml:space="preserve">Актуално състояние </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w:t>
            </w:r>
          </w:p>
        </w:tc>
        <w:tc>
          <w:tcPr>
            <w:tcW w:w="4312" w:type="dxa"/>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Бюджетна цел:</w:t>
            </w:r>
            <w:r>
              <w:rPr>
                <w:rFonts w:ascii="Times New Roman" w:hAnsi="Times New Roman"/>
                <w:noProof/>
                <w:color w:val="000000"/>
                <w:sz w:val="20"/>
              </w:rPr>
              <w:t xml:space="preserve"> Годишният бюджет да постигне средносрочен първичен излишък от 3,5 % от БВП.</w:t>
            </w:r>
          </w:p>
        </w:tc>
        <w:tc>
          <w:tcPr>
            <w:tcW w:w="9693" w:type="dxa"/>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Бюджетът за 2019 г. бе приет и е съобразен с целта за размера на първичния излишък. </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2</w:t>
            </w:r>
          </w:p>
        </w:tc>
        <w:tc>
          <w:tcPr>
            <w:tcW w:w="4312" w:type="dxa"/>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Държавна приходна администрация:</w:t>
            </w:r>
            <w:r>
              <w:rPr>
                <w:rFonts w:ascii="Times New Roman" w:hAnsi="Times New Roman"/>
                <w:noProof/>
                <w:color w:val="000000"/>
                <w:sz w:val="20"/>
              </w:rPr>
              <w:t xml:space="preserve"> До края на 2018 г. местата за постоянен персонал в Независимата агенция за държавните приходи (НАДП) да достигнат 12 000.</w:t>
            </w:r>
          </w:p>
        </w:tc>
        <w:tc>
          <w:tcPr>
            <w:tcW w:w="9693" w:type="dxa"/>
          </w:tcPr>
          <w:p>
            <w:pPr>
              <w:spacing w:before="60"/>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В края на 2018 г. постоянният персонал се задържа на 11 487 души, което е под целта. Органите приеха следните допълнителни мерки: </w:t>
            </w:r>
          </w:p>
          <w:p>
            <w:pPr>
              <w:numPr>
                <w:ilvl w:val="0"/>
                <w:numId w:val="10"/>
              </w:numPr>
              <w:spacing w:before="60" w:after="240" w:line="240" w:lineRule="atLeast"/>
              <w:jc w:val="both"/>
              <w:rPr>
                <w:rFonts w:ascii="Times New Roman" w:eastAsia="Times New Roman" w:hAnsi="Times New Roman" w:cs="Times New Roman"/>
                <w:noProof/>
                <w:color w:val="000000"/>
                <w:sz w:val="20"/>
                <w:szCs w:val="20"/>
              </w:rPr>
            </w:pPr>
            <w:r>
              <w:rPr>
                <w:rFonts w:ascii="Times New Roman" w:hAnsi="Times New Roman"/>
                <w:noProof/>
                <w:color w:val="000000"/>
                <w:sz w:val="20"/>
                <w:u w:val="single"/>
              </w:rPr>
              <w:t>План (2019—2021 г.)</w:t>
            </w:r>
            <w:r>
              <w:rPr>
                <w:rFonts w:ascii="Times New Roman" w:hAnsi="Times New Roman"/>
                <w:noProof/>
                <w:color w:val="000000"/>
                <w:sz w:val="20"/>
              </w:rPr>
              <w:t xml:space="preserve">: НАДП прие своя план. </w:t>
            </w:r>
          </w:p>
          <w:p>
            <w:pPr>
              <w:numPr>
                <w:ilvl w:val="0"/>
                <w:numId w:val="10"/>
              </w:numPr>
              <w:spacing w:before="60" w:after="60" w:line="240" w:lineRule="atLeast"/>
              <w:jc w:val="both"/>
              <w:rPr>
                <w:rFonts w:ascii="Times New Roman" w:eastAsia="Times New Roman" w:hAnsi="Times New Roman" w:cs="Times New Roman"/>
                <w:noProof/>
                <w:color w:val="000000"/>
                <w:sz w:val="20"/>
                <w:szCs w:val="20"/>
              </w:rPr>
            </w:pPr>
            <w:r>
              <w:rPr>
                <w:rFonts w:ascii="Times New Roman" w:hAnsi="Times New Roman"/>
                <w:noProof/>
                <w:color w:val="000000"/>
                <w:sz w:val="20"/>
                <w:u w:val="single"/>
              </w:rPr>
              <w:t>ИТ:</w:t>
            </w:r>
            <w:r>
              <w:rPr>
                <w:rFonts w:ascii="Times New Roman" w:hAnsi="Times New Roman"/>
                <w:noProof/>
                <w:color w:val="000000"/>
                <w:sz w:val="20"/>
              </w:rPr>
              <w:t xml:space="preserve"> Между GSIS и НАДП бе постигнато споразумение по годишен пакет за частта от услугите на НАДП в бюджета на GSIS .</w:t>
            </w:r>
          </w:p>
          <w:p>
            <w:pPr>
              <w:numPr>
                <w:ilvl w:val="0"/>
                <w:numId w:val="10"/>
              </w:numPr>
              <w:spacing w:before="60" w:after="240" w:line="240" w:lineRule="atLeast"/>
              <w:jc w:val="both"/>
              <w:rPr>
                <w:rFonts w:ascii="Times New Roman" w:eastAsia="Times New Roman" w:hAnsi="Times New Roman" w:cs="Times New Roman"/>
                <w:noProof/>
                <w:color w:val="000000"/>
                <w:sz w:val="20"/>
                <w:szCs w:val="20"/>
              </w:rPr>
            </w:pPr>
            <w:r>
              <w:rPr>
                <w:rFonts w:ascii="Times New Roman" w:hAnsi="Times New Roman"/>
                <w:noProof/>
                <w:color w:val="000000"/>
                <w:sz w:val="20"/>
                <w:u w:val="single"/>
              </w:rPr>
              <w:t>Реформа на ЧР:</w:t>
            </w:r>
            <w:r>
              <w:rPr>
                <w:rFonts w:ascii="Times New Roman" w:hAnsi="Times New Roman"/>
                <w:noProof/>
                <w:color w:val="000000"/>
                <w:sz w:val="20"/>
              </w:rPr>
              <w:t xml:space="preserve"> На 6 март 2019 г. бе прието изменение на законодателството относно компетентността, позволяващо създаването на система от длъжностни степени, основана на длъжностни характеристики (FEK A 48/2019, член 64). Тази мярка е свързана с реформата на публичната администрация (#16). </w:t>
            </w:r>
          </w:p>
          <w:p>
            <w:pPr>
              <w:numPr>
                <w:ilvl w:val="0"/>
                <w:numId w:val="10"/>
              </w:numPr>
              <w:spacing w:before="60" w:after="240" w:line="240" w:lineRule="atLeast"/>
              <w:jc w:val="both"/>
              <w:rPr>
                <w:rFonts w:ascii="Times New Roman" w:eastAsia="Times New Roman" w:hAnsi="Times New Roman" w:cs="Times New Roman"/>
                <w:noProof/>
                <w:color w:val="000000"/>
                <w:sz w:val="20"/>
                <w:szCs w:val="20"/>
              </w:rPr>
            </w:pPr>
            <w:r>
              <w:rPr>
                <w:rFonts w:ascii="Times New Roman" w:hAnsi="Times New Roman"/>
                <w:noProof/>
                <w:color w:val="000000"/>
                <w:sz w:val="20"/>
                <w:u w:val="single"/>
              </w:rPr>
              <w:t>Отговорност за данъчни/митнически служители</w:t>
            </w:r>
            <w:r>
              <w:rPr>
                <w:rFonts w:ascii="Times New Roman" w:hAnsi="Times New Roman"/>
                <w:noProof/>
                <w:color w:val="000000"/>
                <w:sz w:val="20"/>
              </w:rPr>
              <w:t xml:space="preserve">: споразумение по съдържанието. Изменение на закона, прието на 6 март 2019 г. (FEK A 48/2019, член 64). </w:t>
            </w:r>
          </w:p>
          <w:p>
            <w:pPr>
              <w:numPr>
                <w:ilvl w:val="0"/>
                <w:numId w:val="10"/>
              </w:numPr>
              <w:spacing w:before="60" w:after="240" w:line="240" w:lineRule="atLeast"/>
              <w:jc w:val="both"/>
              <w:rPr>
                <w:rFonts w:ascii="Times New Roman" w:eastAsia="Times New Roman" w:hAnsi="Times New Roman" w:cs="Times New Roman"/>
                <w:noProof/>
                <w:color w:val="000000"/>
                <w:sz w:val="20"/>
                <w:szCs w:val="20"/>
              </w:rPr>
            </w:pPr>
            <w:r>
              <w:rPr>
                <w:rFonts w:ascii="Times New Roman" w:hAnsi="Times New Roman"/>
                <w:noProof/>
                <w:color w:val="000000"/>
                <w:sz w:val="20"/>
                <w:u w:val="single"/>
              </w:rPr>
              <w:t>Прехвърляния към НАДП от схемата за мобилност</w:t>
            </w:r>
            <w:r>
              <w:rPr>
                <w:rFonts w:ascii="Times New Roman" w:hAnsi="Times New Roman"/>
                <w:noProof/>
                <w:color w:val="000000"/>
                <w:sz w:val="20"/>
              </w:rPr>
              <w:t>: Предстои приемането на правни разпоредби, за да се улесни прехвърлянето на персонал към НАДП от схемата за мобилност. Споразумение за съдържанието. Изменение на закона, прието на 6 март 2019 г. (FEK A 48/2019, член 64).</w:t>
            </w:r>
          </w:p>
          <w:p>
            <w:pPr>
              <w:numPr>
                <w:ilvl w:val="0"/>
                <w:numId w:val="10"/>
              </w:numPr>
              <w:spacing w:before="60" w:after="60" w:line="240" w:lineRule="atLeast"/>
              <w:jc w:val="both"/>
              <w:rPr>
                <w:rFonts w:ascii="Times New Roman" w:eastAsia="Times New Roman" w:hAnsi="Times New Roman" w:cs="Times New Roman"/>
                <w:noProof/>
                <w:color w:val="000000"/>
                <w:sz w:val="20"/>
                <w:szCs w:val="20"/>
              </w:rPr>
            </w:pPr>
            <w:r>
              <w:rPr>
                <w:rFonts w:ascii="Times New Roman" w:hAnsi="Times New Roman"/>
                <w:noProof/>
                <w:color w:val="000000"/>
                <w:sz w:val="20"/>
                <w:u w:val="single"/>
              </w:rPr>
              <w:t>Съвместно министерско решение относно „пазарите на горива“:</w:t>
            </w:r>
            <w:r>
              <w:rPr>
                <w:rFonts w:ascii="Times New Roman" w:hAnsi="Times New Roman"/>
                <w:noProof/>
                <w:color w:val="000000"/>
                <w:sz w:val="20"/>
              </w:rPr>
              <w:t xml:space="preserve"> Бе прието (FEK B 803/2019, 7 март 2019 г.).</w:t>
            </w:r>
          </w:p>
          <w:p>
            <w:pPr>
              <w:numPr>
                <w:ilvl w:val="0"/>
                <w:numId w:val="10"/>
              </w:numPr>
              <w:spacing w:before="60" w:after="60" w:line="240" w:lineRule="atLeast"/>
              <w:jc w:val="both"/>
              <w:rPr>
                <w:rFonts w:ascii="Times New Roman" w:eastAsia="Times New Roman" w:hAnsi="Times New Roman" w:cs="Times New Roman"/>
                <w:i/>
                <w:noProof/>
                <w:color w:val="000000"/>
                <w:sz w:val="20"/>
                <w:szCs w:val="20"/>
              </w:rPr>
            </w:pPr>
            <w:r>
              <w:rPr>
                <w:rFonts w:ascii="Times New Roman" w:hAnsi="Times New Roman"/>
                <w:noProof/>
                <w:color w:val="000000"/>
                <w:sz w:val="20"/>
                <w:u w:val="single"/>
              </w:rPr>
              <w:t>Решение на НАДП за оценка</w:t>
            </w:r>
            <w:r>
              <w:rPr>
                <w:noProof/>
              </w:rPr>
              <w:t xml:space="preserve"> </w:t>
            </w:r>
            <w:r>
              <w:rPr>
                <w:rFonts w:ascii="Times New Roman" w:hAnsi="Times New Roman"/>
                <w:noProof/>
                <w:color w:val="000000"/>
                <w:sz w:val="20"/>
              </w:rPr>
              <w:t>бе публикувано в Държавен вестник (FEK B 6225/2018).</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3</w:t>
            </w:r>
          </w:p>
        </w:tc>
        <w:tc>
          <w:tcPr>
            <w:tcW w:w="4312" w:type="dxa"/>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Управление на публичните финанси:</w:t>
            </w:r>
            <w:r>
              <w:rPr>
                <w:rFonts w:ascii="Times New Roman" w:hAnsi="Times New Roman"/>
                <w:noProof/>
                <w:color w:val="000000"/>
                <w:sz w:val="20"/>
              </w:rPr>
              <w:t xml:space="preserve"> Да се избегне натрупването на нови просрочени задължения.</w:t>
            </w:r>
          </w:p>
        </w:tc>
        <w:tc>
          <w:tcPr>
            <w:tcW w:w="9693" w:type="dxa"/>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Данните от декември 2018 г. показват, че нетните просрочени задължения са намалели след края на програмата по ЕМС. Данните от януари показват непрекъснато, макар и бавно намаляване. В бъдеще ще са необходими допълнителни усилия за погасяване на просрочените задължения и за избягване на натрупването на нови просрочени задължения. </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4</w:t>
            </w:r>
          </w:p>
        </w:tc>
        <w:tc>
          <w:tcPr>
            <w:tcW w:w="4312" w:type="dxa"/>
            <w:shd w:val="clear" w:color="auto" w:fill="auto"/>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Здравеопазване:</w:t>
            </w:r>
            <w:r>
              <w:rPr>
                <w:rFonts w:ascii="Times New Roman" w:hAnsi="Times New Roman"/>
                <w:noProof/>
                <w:color w:val="000000"/>
                <w:sz w:val="20"/>
              </w:rPr>
              <w:t xml:space="preserve"> До края на 2018 г. да бъдат отворени най-малко 120 центрове за първични здравни грижи (TOMYs).</w:t>
            </w:r>
          </w:p>
        </w:tc>
        <w:tc>
          <w:tcPr>
            <w:tcW w:w="9693" w:type="dxa"/>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Въз основа на последните доклади в страната са били отворени 120 отделения за първични здравни грижи (TOMYs). </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5</w:t>
            </w:r>
          </w:p>
        </w:tc>
        <w:tc>
          <w:tcPr>
            <w:tcW w:w="4312" w:type="dxa"/>
            <w:shd w:val="clear" w:color="auto" w:fill="auto"/>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Здравеопазване:</w:t>
            </w:r>
            <w:r>
              <w:rPr>
                <w:rFonts w:ascii="Times New Roman" w:hAnsi="Times New Roman"/>
                <w:noProof/>
                <w:color w:val="000000"/>
                <w:sz w:val="20"/>
              </w:rPr>
              <w:t xml:space="preserve"> До края на 2018 г. да бъде създаден основният орган, отговарящ за централизираните обществени поръчки (EKAPY)</w:t>
            </w:r>
          </w:p>
        </w:tc>
        <w:tc>
          <w:tcPr>
            <w:tcW w:w="9693" w:type="dxa"/>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Основният орган, отговарящ за централизираните обществени поръчки — EKAPY, функционира, а централизираното възлагане на обществени поръчки бе възобновено. </w:t>
            </w:r>
          </w:p>
        </w:tc>
      </w:tr>
      <w:tr>
        <w:trPr>
          <w:trHeight w:val="2021"/>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6</w:t>
            </w:r>
          </w:p>
        </w:tc>
        <w:tc>
          <w:tcPr>
            <w:tcW w:w="4312" w:type="dxa"/>
            <w:shd w:val="clear" w:color="auto" w:fill="auto"/>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Необслужвани кредити</w:t>
            </w:r>
            <w:r>
              <w:rPr>
                <w:rFonts w:ascii="Times New Roman" w:hAnsi="Times New Roman"/>
                <w:noProof/>
                <w:color w:val="000000"/>
                <w:sz w:val="20"/>
              </w:rPr>
              <w:t>: Да продължи осъществяването на реформи, насочени към възстановяване на стабилността на банковата система, включително усилията за преструктуриране на необслужваните кредити, като се гарантира трайната ефективност на съответната правна уредба.</w:t>
            </w:r>
          </w:p>
        </w:tc>
        <w:tc>
          <w:tcPr>
            <w:tcW w:w="9693" w:type="dxa"/>
            <w:shd w:val="clear" w:color="auto" w:fill="auto"/>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u w:val="single"/>
              </w:rPr>
              <w:t>Гарантирани от държавата кредити</w:t>
            </w:r>
            <w:r>
              <w:rPr>
                <w:rFonts w:ascii="Times New Roman" w:hAnsi="Times New Roman"/>
                <w:noProof/>
                <w:color w:val="000000"/>
                <w:sz w:val="20"/>
              </w:rPr>
              <w:t>:</w:t>
            </w:r>
            <w:r>
              <w:rPr>
                <w:rFonts w:ascii="Times New Roman" w:hAnsi="Times New Roman"/>
                <w:noProof/>
                <w:color w:val="000000"/>
              </w:rPr>
              <w:t xml:space="preserve"> </w:t>
            </w:r>
            <w:r>
              <w:rPr>
                <w:rFonts w:ascii="Times New Roman" w:hAnsi="Times New Roman"/>
                <w:noProof/>
                <w:color w:val="000000"/>
                <w:sz w:val="20"/>
              </w:rPr>
              <w:t xml:space="preserve">На европейските институции бе представен актуализиран план за действие; бе прието договореното законодателно изменение. </w:t>
            </w:r>
            <w:r>
              <w:rPr>
                <w:rFonts w:ascii="Times New Roman" w:hAnsi="Times New Roman"/>
                <w:noProof/>
                <w:color w:val="000000"/>
                <w:sz w:val="20"/>
                <w:u w:val="single"/>
              </w:rPr>
              <w:t>Електронни търгове:</w:t>
            </w:r>
            <w:r>
              <w:rPr>
                <w:rFonts w:ascii="Times New Roman" w:hAnsi="Times New Roman"/>
                <w:noProof/>
                <w:color w:val="000000"/>
                <w:sz w:val="20"/>
              </w:rPr>
              <w:t xml:space="preserve"> Бе постигнато споразумение за електронните търгове, с което да бъде решен въпросът с наредените от съда отлагания на тръжни процедури в резултат на подадени жалби от длъжници за преразглеждане на минималната цена в контекста на предстоящата оценка на прилагането на Гражданския процесуален кодекс, чието приключване е предвидено за края на март 2019 г. </w:t>
            </w:r>
            <w:r>
              <w:rPr>
                <w:rFonts w:ascii="Times New Roman" w:hAnsi="Times New Roman"/>
                <w:noProof/>
                <w:color w:val="000000"/>
                <w:sz w:val="20"/>
                <w:u w:val="single"/>
              </w:rPr>
              <w:t>Натрупване на висящи дела за несъстоятелност на домакинствата</w:t>
            </w:r>
            <w:r>
              <w:rPr>
                <w:rFonts w:ascii="Times New Roman" w:hAnsi="Times New Roman"/>
                <w:noProof/>
                <w:color w:val="000000"/>
                <w:sz w:val="20"/>
              </w:rPr>
              <w:t xml:space="preserve">: Органите представиха актуализирани данни за развитието по натрупаните висящи дела през 2018 г. </w:t>
            </w:r>
            <w:r>
              <w:rPr>
                <w:rFonts w:ascii="Times New Roman" w:hAnsi="Times New Roman"/>
                <w:noProof/>
                <w:color w:val="000000"/>
                <w:sz w:val="20"/>
                <w:u w:val="single"/>
              </w:rPr>
              <w:t>Закони за продажби и секюритизации на необслужвани заеми</w:t>
            </w:r>
            <w:r>
              <w:rPr>
                <w:rFonts w:ascii="Times New Roman" w:hAnsi="Times New Roman"/>
                <w:noProof/>
                <w:color w:val="000000"/>
                <w:sz w:val="20"/>
              </w:rPr>
              <w:t>: Необходимите пояснения относно прилагането на Закон 4354/2015 бяха предадени на Гръцката банкова асоциация и публикувани на уебсайта на Министерството на финансите.</w:t>
            </w:r>
          </w:p>
          <w:p>
            <w:pPr>
              <w:spacing w:before="60" w:after="60"/>
              <w:jc w:val="both"/>
              <w:rPr>
                <w:rFonts w:ascii="Times New Roman" w:eastAsia="Times New Roman" w:hAnsi="Times New Roman" w:cs="Times New Roman"/>
                <w:i/>
                <w:noProof/>
                <w:color w:val="000000"/>
                <w:sz w:val="20"/>
                <w:szCs w:val="20"/>
              </w:rPr>
            </w:pPr>
            <w:r>
              <w:rPr>
                <w:rFonts w:ascii="Times New Roman" w:hAnsi="Times New Roman"/>
                <w:noProof/>
                <w:color w:val="000000"/>
                <w:sz w:val="20"/>
                <w:u w:val="single"/>
              </w:rPr>
              <w:t>Закон за несъстоятелността на домакинствата:</w:t>
            </w:r>
            <w:r>
              <w:rPr>
                <w:rFonts w:ascii="Times New Roman" w:hAnsi="Times New Roman"/>
                <w:noProof/>
                <w:color w:val="000000"/>
                <w:sz w:val="20"/>
              </w:rPr>
              <w:t xml:space="preserve">: Органите приеха законодателство за схема за защита на основното жилище. Макар схемата да има потенциала да подкрепи преструктурирането на необслужваните кредити, рисковете за финансовата стабилност и платежната дисциплина бяха смекчени до известна степен, но не и напълно отстранени. По тази причина ще е необходимо стриктно наблюдение и институциите ще докладват в контекста на засиленото наблюдение. Очаква се да бъдат отстранени пречките пред </w:t>
            </w:r>
            <w:r>
              <w:rPr>
                <w:rFonts w:ascii="Times New Roman" w:hAnsi="Times New Roman"/>
                <w:noProof/>
                <w:color w:val="000000"/>
                <w:sz w:val="20"/>
                <w:u w:val="single"/>
              </w:rPr>
              <w:t>електронните търгове</w:t>
            </w:r>
            <w:r>
              <w:rPr>
                <w:rFonts w:ascii="Times New Roman" w:hAnsi="Times New Roman"/>
                <w:noProof/>
                <w:color w:val="000000"/>
                <w:sz w:val="20"/>
              </w:rPr>
              <w:t xml:space="preserve"> и да бъде представен план за действие относно натрупването на висящи дела за несъстоятелност на домакинствата, свързани със закона Katseli, в контекста на третия цикъл за засилен надзор, като се вземе предвид също така преразгледаната уредба за защита на основното жилище. </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7</w:t>
            </w:r>
          </w:p>
        </w:tc>
        <w:tc>
          <w:tcPr>
            <w:tcW w:w="4312" w:type="dxa"/>
            <w:shd w:val="clear" w:color="auto" w:fill="auto"/>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Контрол върху движението на капитали</w:t>
            </w:r>
            <w:r>
              <w:rPr>
                <w:rFonts w:ascii="Times New Roman" w:hAnsi="Times New Roman"/>
                <w:noProof/>
                <w:color w:val="000000"/>
                <w:sz w:val="20"/>
              </w:rPr>
              <w:t>: Намаляване на контрола върху движението на капитали в съответствие с пътната карта от май 2017 г.</w:t>
            </w:r>
          </w:p>
        </w:tc>
        <w:tc>
          <w:tcPr>
            <w:tcW w:w="9693" w:type="dxa"/>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Органите намалиха контрола върху движението на капитали в съответствие с пътната карта от май 2017 г.</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8</w:t>
            </w:r>
          </w:p>
        </w:tc>
        <w:tc>
          <w:tcPr>
            <w:tcW w:w="4312" w:type="dxa"/>
            <w:shd w:val="clear" w:color="auto" w:fill="auto"/>
            <w:vAlign w:val="center"/>
          </w:tcPr>
          <w:p>
            <w:pPr>
              <w:spacing w:before="60" w:after="60"/>
              <w:jc w:val="both"/>
              <w:rPr>
                <w:rFonts w:ascii="Times New Roman" w:eastAsia="Times New Roman" w:hAnsi="Times New Roman" w:cs="Times New Roman"/>
                <w:b/>
                <w:noProof/>
                <w:color w:val="000000"/>
                <w:sz w:val="20"/>
                <w:szCs w:val="20"/>
              </w:rPr>
            </w:pPr>
            <w:r>
              <w:rPr>
                <w:rFonts w:ascii="Times New Roman" w:hAnsi="Times New Roman"/>
                <w:b/>
                <w:noProof/>
                <w:color w:val="000000"/>
                <w:sz w:val="20"/>
              </w:rPr>
              <w:t>Правосъдие:</w:t>
            </w:r>
            <w:r>
              <w:rPr>
                <w:rFonts w:ascii="Times New Roman" w:hAnsi="Times New Roman"/>
                <w:noProof/>
                <w:color w:val="000000"/>
                <w:sz w:val="20"/>
              </w:rPr>
              <w:t xml:space="preserve"> До края на 2018 г. да приключи първата фаза от създаването на система за електронно правосъдие (OSDDY-PP).</w:t>
            </w:r>
          </w:p>
        </w:tc>
        <w:tc>
          <w:tcPr>
            <w:tcW w:w="9693" w:type="dxa"/>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Първата фаза от OSDDY-PP приключи, като до януари 2019 г. изпълнителят предаде официално всички елементи на услугата. </w:t>
            </w:r>
          </w:p>
        </w:tc>
      </w:tr>
      <w:tr>
        <w:trPr>
          <w:trHeight w:val="113"/>
        </w:trPr>
        <w:tc>
          <w:tcPr>
            <w:tcW w:w="737" w:type="dxa"/>
            <w:vAlign w:val="center"/>
          </w:tcPr>
          <w:p>
            <w:pPr>
              <w:spacing w:before="60" w:after="60"/>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9</w:t>
            </w:r>
          </w:p>
        </w:tc>
        <w:tc>
          <w:tcPr>
            <w:tcW w:w="4312" w:type="dxa"/>
            <w:shd w:val="clear" w:color="auto" w:fill="auto"/>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До края на 2018 г. </w:t>
            </w:r>
            <w:r>
              <w:rPr>
                <w:rFonts w:ascii="Times New Roman" w:hAnsi="Times New Roman"/>
                <w:b/>
                <w:noProof/>
                <w:color w:val="000000"/>
                <w:sz w:val="20"/>
              </w:rPr>
              <w:t>HFSF</w:t>
            </w:r>
            <w:r>
              <w:rPr>
                <w:rFonts w:ascii="Times New Roman" w:hAnsi="Times New Roman"/>
                <w:noProof/>
                <w:color w:val="000000"/>
                <w:sz w:val="20"/>
              </w:rPr>
              <w:t xml:space="preserve"> ще разработи стратегия за изход за продажбата на дяловете си в банки от системно значение, а мандатът на комисията за подбор на HFSF трябва да съвпада с мандата на HFSF.</w:t>
            </w:r>
          </w:p>
        </w:tc>
        <w:tc>
          <w:tcPr>
            <w:tcW w:w="9693" w:type="dxa"/>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u w:val="single"/>
              </w:rPr>
              <w:t>Стратегия за изход</w:t>
            </w:r>
            <w:r>
              <w:rPr>
                <w:rFonts w:ascii="Times New Roman" w:hAnsi="Times New Roman"/>
                <w:noProof/>
                <w:color w:val="000000"/>
                <w:sz w:val="20"/>
              </w:rPr>
              <w:t xml:space="preserve">: Генералният съвет на HFSF одобри рамката за продажбата на притежаваните от HFSF акции в четирите банки със системно значение. </w:t>
            </w:r>
            <w:r>
              <w:rPr>
                <w:rFonts w:ascii="Times New Roman" w:hAnsi="Times New Roman"/>
                <w:noProof/>
                <w:color w:val="000000"/>
                <w:sz w:val="20"/>
                <w:u w:val="single"/>
              </w:rPr>
              <w:t>Удължаване на мандата на комисията за подбор</w:t>
            </w:r>
            <w:r>
              <w:rPr>
                <w:rFonts w:ascii="Times New Roman" w:hAnsi="Times New Roman"/>
                <w:noProof/>
                <w:color w:val="000000"/>
                <w:sz w:val="20"/>
              </w:rPr>
              <w:t xml:space="preserve">: Органите поясниха, че според тях мандатът на комисията за подбор на HFSF като орган е съобразен с удължения неотдавна мандат на HFSF; това бе потвърдено от Държавния правен съвет, чието становище бе одобрено от министъра на финансите. </w:t>
            </w:r>
            <w:r>
              <w:rPr>
                <w:rFonts w:ascii="Times New Roman" w:hAnsi="Times New Roman"/>
                <w:noProof/>
                <w:color w:val="000000"/>
                <w:sz w:val="20"/>
                <w:u w:val="single"/>
              </w:rPr>
              <w:t>Назначения</w:t>
            </w:r>
            <w:r>
              <w:rPr>
                <w:rFonts w:ascii="Times New Roman" w:hAnsi="Times New Roman"/>
                <w:noProof/>
                <w:color w:val="000000"/>
                <w:sz w:val="20"/>
              </w:rPr>
              <w:t>: Що се отнася до кандидатите за незаетите длъжности в Изпълнителния съвет и Генералния съвет, в своето писмо до министъра от 14 март Работната група за Еврогрупата одобри всички кандидати, посочени по-горе. Очакват се министерските решения за назначаването на тези лица.</w:t>
            </w:r>
            <w:r>
              <w:rPr>
                <w:rFonts w:ascii="Times New Roman" w:hAnsi="Times New Roman"/>
                <w:i/>
                <w:noProof/>
                <w:color w:val="000000"/>
                <w:sz w:val="20"/>
                <w:shd w:val="clear" w:color="auto" w:fill="D9D9D9"/>
              </w:rPr>
              <w:t xml:space="preserve"> </w:t>
            </w:r>
          </w:p>
        </w:tc>
      </w:tr>
      <w:tr>
        <w:trPr>
          <w:trHeight w:val="113"/>
        </w:trPr>
        <w:tc>
          <w:tcPr>
            <w:tcW w:w="737" w:type="dxa"/>
            <w:tcBorders>
              <w:bottom w:val="single" w:sz="4" w:space="0" w:color="auto"/>
            </w:tcBorders>
            <w:vAlign w:val="center"/>
          </w:tcPr>
          <w:p>
            <w:pPr>
              <w:spacing w:before="60" w:after="60"/>
              <w:jc w:val="center"/>
              <w:rPr>
                <w:rFonts w:ascii="Times New Roman" w:eastAsia="Times New Roman" w:hAnsi="Times New Roman" w:cs="Times New Roman"/>
                <w:b/>
                <w:iCs/>
                <w:noProof/>
                <w:color w:val="000000"/>
                <w:sz w:val="20"/>
                <w:szCs w:val="20"/>
              </w:rPr>
            </w:pPr>
            <w:r>
              <w:rPr>
                <w:rFonts w:ascii="Times New Roman" w:hAnsi="Times New Roman"/>
                <w:b/>
                <w:noProof/>
                <w:color w:val="000000"/>
                <w:sz w:val="20"/>
              </w:rPr>
              <w:t>10</w:t>
            </w:r>
          </w:p>
        </w:tc>
        <w:tc>
          <w:tcPr>
            <w:tcW w:w="4312" w:type="dxa"/>
            <w:tcBorders>
              <w:bottom w:val="single" w:sz="4" w:space="0" w:color="auto"/>
            </w:tcBorders>
            <w:shd w:val="clear" w:color="auto" w:fill="auto"/>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Пазар на труда</w:t>
            </w:r>
            <w:r>
              <w:rPr>
                <w:rFonts w:ascii="Times New Roman" w:hAnsi="Times New Roman"/>
                <w:noProof/>
                <w:color w:val="000000"/>
                <w:sz w:val="20"/>
              </w:rPr>
              <w:t>: Запазване на конкурентоспособността чрез годишна актуализация на минималната работна заплата в съответствие с разпоредбите на Закон № 4172/2013.</w:t>
            </w:r>
          </w:p>
        </w:tc>
        <w:tc>
          <w:tcPr>
            <w:tcW w:w="9693" w:type="dxa"/>
            <w:tcBorders>
              <w:bottom w:val="single" w:sz="4" w:space="0" w:color="auto"/>
            </w:tcBorders>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Органите актуализираха минималната работна заплата съгласно процедурата, предвидена в член 103 от Закон 4172/2013. Вследствие на това минималната работна заплата бе повишена с 10,9 %, а по-ниската от минималната работна заплата за лицата на възраст под 25 години бе премахната (което предполага увеличение от около 27 %). Размерът на увеличението поражда опасения за перспективите за заетост (особено за младите и тези в напреднала възраст нискоквалифицираните работници ), както и за конкурентоспособността в средносрочен план. </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11</w:t>
            </w:r>
          </w:p>
        </w:tc>
        <w:tc>
          <w:tcPr>
            <w:tcW w:w="4312" w:type="dxa"/>
            <w:shd w:val="clear" w:color="auto" w:fill="auto"/>
            <w:vAlign w:val="center"/>
          </w:tcPr>
          <w:p>
            <w:pPr>
              <w:spacing w:before="60" w:after="60"/>
              <w:jc w:val="both"/>
              <w:rPr>
                <w:rFonts w:ascii="Times New Roman" w:eastAsia="Times New Roman" w:hAnsi="Times New Roman" w:cs="Times New Roman"/>
                <w:b/>
                <w:noProof/>
                <w:color w:val="000000"/>
                <w:sz w:val="20"/>
                <w:szCs w:val="20"/>
              </w:rPr>
            </w:pPr>
            <w:r>
              <w:rPr>
                <w:rFonts w:ascii="Times New Roman" w:hAnsi="Times New Roman"/>
                <w:b/>
                <w:noProof/>
                <w:color w:val="000000"/>
                <w:sz w:val="20"/>
              </w:rPr>
              <w:t xml:space="preserve">Инвестиционно лицензиране: </w:t>
            </w:r>
            <w:r>
              <w:rPr>
                <w:rFonts w:ascii="Times New Roman" w:hAnsi="Times New Roman"/>
                <w:noProof/>
                <w:color w:val="000000"/>
                <w:sz w:val="20"/>
              </w:rPr>
              <w:t xml:space="preserve">Приемане на цялото законодателство, даващо възможност за инвестиционно лицензиране. </w:t>
            </w:r>
          </w:p>
        </w:tc>
        <w:tc>
          <w:tcPr>
            <w:tcW w:w="9693" w:type="dxa"/>
            <w:tcBorders>
              <w:bottom w:val="single" w:sz="4" w:space="0" w:color="auto"/>
            </w:tcBorders>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Цялото необходимо законодателство бе прието с издаването на съвместно министерско решение (FEK/B/436—14.2.2019 г.).</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12</w:t>
            </w:r>
          </w:p>
        </w:tc>
        <w:tc>
          <w:tcPr>
            <w:tcW w:w="4312" w:type="dxa"/>
            <w:shd w:val="clear" w:color="auto" w:fill="auto"/>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Енергетика:</w:t>
            </w:r>
            <w:r>
              <w:rPr>
                <w:rFonts w:ascii="Times New Roman" w:hAnsi="Times New Roman"/>
                <w:noProof/>
                <w:color w:val="000000"/>
                <w:sz w:val="20"/>
              </w:rPr>
              <w:t xml:space="preserve"> Приключване до края на 2018 г. на договорената продажба на дела на Държавната електрическа компания в мощностите за производство на електроенергия от лигнитни въглища.</w:t>
            </w:r>
          </w:p>
        </w:tc>
        <w:tc>
          <w:tcPr>
            <w:tcW w:w="9693" w:type="dxa"/>
            <w:tcBorders>
              <w:bottom w:val="single" w:sz="4" w:space="0" w:color="auto"/>
            </w:tcBorders>
            <w:vAlign w:val="center"/>
          </w:tcPr>
          <w:p>
            <w:pPr>
              <w:spacing w:before="60" w:after="60"/>
              <w:jc w:val="both"/>
              <w:rPr>
                <w:rFonts w:ascii="Times New Roman" w:eastAsia="Calibri" w:hAnsi="Times New Roman" w:cs="Times New Roman"/>
                <w:noProof/>
                <w:color w:val="000000"/>
                <w:sz w:val="20"/>
                <w:szCs w:val="20"/>
                <w:shd w:val="clear" w:color="auto" w:fill="D9D9D9"/>
              </w:rPr>
            </w:pPr>
            <w:r>
              <w:rPr>
                <w:rFonts w:ascii="Times New Roman" w:hAnsi="Times New Roman"/>
                <w:noProof/>
                <w:color w:val="000000"/>
                <w:sz w:val="20"/>
              </w:rPr>
              <w:t>След неуспеха на тръжната процедура органите представиха преработено предложение, което бе подробно обсъдено и внесе яснота по основните елементи. На 7 март бяха приети изменения в законодателството за енергетиката, които съдържат разпоредби, позволяващи продажбата на активи. На 8 март на Комисията бе представено актуализирано предложение за тръжната процедура въз основа на обсъдените условия. В предложението се предвижда повторното откриване на ускорена тръжна процедура, която да приключи до май 2019 г. Ключовите елементи на предложението са:</w:t>
            </w:r>
          </w:p>
          <w:p>
            <w:pPr>
              <w:numPr>
                <w:ilvl w:val="0"/>
                <w:numId w:val="17"/>
              </w:numPr>
              <w:spacing w:before="60" w:after="60" w:line="240" w:lineRule="atLeast"/>
              <w:contextualSpacing/>
              <w:jc w:val="both"/>
              <w:rPr>
                <w:rFonts w:ascii="Times New Roman" w:eastAsia="Times New Roman" w:hAnsi="Times New Roman" w:cs="Times New Roman"/>
                <w:noProof/>
                <w:color w:val="000000"/>
                <w:sz w:val="20"/>
                <w:szCs w:val="20"/>
                <w:shd w:val="clear" w:color="auto" w:fill="D9D9D9"/>
              </w:rPr>
            </w:pPr>
            <w:r>
              <w:rPr>
                <w:rFonts w:ascii="Times New Roman" w:hAnsi="Times New Roman"/>
                <w:noProof/>
                <w:color w:val="000000"/>
                <w:sz w:val="20"/>
              </w:rPr>
              <w:t>Нова оценка на мощностите, като се вземат предвид аналогичните сделки.</w:t>
            </w:r>
          </w:p>
          <w:p>
            <w:pPr>
              <w:numPr>
                <w:ilvl w:val="0"/>
                <w:numId w:val="17"/>
              </w:numPr>
              <w:spacing w:before="60" w:after="60" w:line="240" w:lineRule="atLeast"/>
              <w:contextualSpacing/>
              <w:jc w:val="both"/>
              <w:rPr>
                <w:rFonts w:ascii="Times New Roman" w:eastAsia="Times New Roman" w:hAnsi="Times New Roman" w:cs="Times New Roman"/>
                <w:noProof/>
                <w:color w:val="000000"/>
                <w:sz w:val="20"/>
                <w:szCs w:val="20"/>
                <w:shd w:val="clear" w:color="auto" w:fill="D9D9D9"/>
              </w:rPr>
            </w:pPr>
            <w:r>
              <w:rPr>
                <w:rFonts w:ascii="Times New Roman" w:hAnsi="Times New Roman"/>
                <w:noProof/>
                <w:color w:val="000000"/>
                <w:sz w:val="20"/>
              </w:rPr>
              <w:t>Споразумението за покупко-продажба (СПП) няма да съдържа позоваване на споразумение за споделяне на риска.</w:t>
            </w:r>
          </w:p>
          <w:p>
            <w:pPr>
              <w:numPr>
                <w:ilvl w:val="0"/>
                <w:numId w:val="17"/>
              </w:numPr>
              <w:spacing w:before="60" w:after="60" w:line="240" w:lineRule="atLeast"/>
              <w:contextualSpacing/>
              <w:jc w:val="both"/>
              <w:rPr>
                <w:rFonts w:ascii="Times New Roman" w:eastAsia="Times New Roman" w:hAnsi="Times New Roman" w:cs="Times New Roman"/>
                <w:noProof/>
                <w:color w:val="000000"/>
                <w:sz w:val="20"/>
                <w:szCs w:val="20"/>
                <w:shd w:val="clear" w:color="auto" w:fill="D9D9D9"/>
              </w:rPr>
            </w:pPr>
            <w:r>
              <w:rPr>
                <w:rFonts w:ascii="Times New Roman" w:hAnsi="Times New Roman"/>
                <w:noProof/>
                <w:color w:val="000000"/>
                <w:sz w:val="20"/>
              </w:rPr>
              <w:t>СПП ще бъде одобрено от парламента.</w:t>
            </w:r>
          </w:p>
          <w:p>
            <w:pPr>
              <w:numPr>
                <w:ilvl w:val="0"/>
                <w:numId w:val="17"/>
              </w:numPr>
              <w:spacing w:before="60" w:after="60" w:line="240" w:lineRule="atLeast"/>
              <w:contextualSpacing/>
              <w:jc w:val="both"/>
              <w:rPr>
                <w:rFonts w:ascii="Times New Roman" w:eastAsia="Times New Roman" w:hAnsi="Times New Roman" w:cs="Times New Roman"/>
                <w:noProof/>
                <w:color w:val="000000"/>
                <w:sz w:val="20"/>
                <w:szCs w:val="20"/>
                <w:shd w:val="clear" w:color="auto" w:fill="D9D9D9"/>
              </w:rPr>
            </w:pPr>
            <w:r>
              <w:rPr>
                <w:rFonts w:ascii="Times New Roman" w:hAnsi="Times New Roman"/>
                <w:noProof/>
                <w:color w:val="000000"/>
                <w:sz w:val="20"/>
              </w:rPr>
              <w:t>Акционерите и съветът на директорите на ДЕК са правно задължени да сключат сделката.</w:t>
            </w:r>
          </w:p>
          <w:p>
            <w:pPr>
              <w:spacing w:before="60" w:after="60"/>
              <w:jc w:val="both"/>
              <w:rPr>
                <w:rFonts w:ascii="Times New Roman" w:eastAsia="Calibri" w:hAnsi="Times New Roman" w:cs="Times New Roman"/>
                <w:noProof/>
                <w:color w:val="000000"/>
                <w:sz w:val="20"/>
                <w:szCs w:val="20"/>
                <w:shd w:val="clear" w:color="auto" w:fill="D9D9D9"/>
              </w:rPr>
            </w:pPr>
            <w:r>
              <w:rPr>
                <w:rFonts w:ascii="Times New Roman" w:hAnsi="Times New Roman"/>
                <w:noProof/>
                <w:color w:val="000000"/>
                <w:sz w:val="20"/>
              </w:rPr>
              <w:t xml:space="preserve">На 8 март 2019 г. бяха отправени покана за изразяване на интерес и искане за обвързващи оферти. </w:t>
            </w:r>
          </w:p>
          <w:p>
            <w:pPr>
              <w:spacing w:before="60" w:after="60"/>
              <w:jc w:val="both"/>
              <w:rPr>
                <w:rFonts w:ascii="Times New Roman" w:eastAsia="Calibri" w:hAnsi="Times New Roman" w:cs="Times New Roman"/>
                <w:noProof/>
                <w:color w:val="000000"/>
                <w:sz w:val="20"/>
                <w:szCs w:val="20"/>
                <w:shd w:val="clear" w:color="auto" w:fill="D9D9D9"/>
              </w:rPr>
            </w:pPr>
            <w:r>
              <w:rPr>
                <w:rFonts w:ascii="Times New Roman" w:hAnsi="Times New Roman"/>
                <w:noProof/>
                <w:color w:val="000000"/>
                <w:sz w:val="20"/>
              </w:rPr>
              <w:t xml:space="preserve">Бяха предприети междинни действия в съответствие с предвидения график. Съдържащата първоначалното СПП виртуална зала за данни бе отворена и до нея бе даден достъп на 6 дружества, изразили интерес и подписали споразумение за поверителност. Това ще послужи за основа на дискусиите между тези инвеститори и ДЕК. </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13</w:t>
            </w:r>
          </w:p>
        </w:tc>
        <w:tc>
          <w:tcPr>
            <w:tcW w:w="4312" w:type="dxa"/>
            <w:shd w:val="clear" w:color="auto" w:fill="auto"/>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Гръцката корпорация за активи и участия (Hellenic Corporation of Assets and Participations (HCAP):</w:t>
            </w:r>
            <w:r>
              <w:rPr>
                <w:rFonts w:ascii="Times New Roman" w:hAnsi="Times New Roman"/>
                <w:noProof/>
                <w:color w:val="000000"/>
                <w:sz w:val="20"/>
              </w:rPr>
              <w:t xml:space="preserve"> Стратегическият план на HCAP ще се изпълнява без прекъсване.</w:t>
            </w:r>
          </w:p>
        </w:tc>
        <w:tc>
          <w:tcPr>
            <w:tcW w:w="9693" w:type="dxa"/>
            <w:tcBorders>
              <w:top w:val="single" w:sz="4" w:space="0" w:color="auto"/>
            </w:tcBorders>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HCAP изготви стратегически план, който беше одобрен от общото събрание през януари 2018 г. Въз основа на стратегическия план некотираните дъщерни дружества представиха на HCAP актуализирани бизнес планове. Освен това HCAP изготви бизнес план на корпорацията за периода 2019—2021 г., изпълнявайки стратегическия план и определяйки ключови показатели за некотираните дъщерни дружества.</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14</w:t>
            </w:r>
          </w:p>
        </w:tc>
        <w:tc>
          <w:tcPr>
            <w:tcW w:w="4312" w:type="dxa"/>
            <w:shd w:val="clear" w:color="auto" w:fill="auto"/>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HCAP</w:t>
            </w:r>
            <w:r>
              <w:rPr>
                <w:noProof/>
              </w:rPr>
              <w:t xml:space="preserve"> — </w:t>
            </w:r>
            <w:r>
              <w:rPr>
                <w:rFonts w:ascii="Times New Roman" w:hAnsi="Times New Roman"/>
                <w:noProof/>
                <w:color w:val="000000"/>
                <w:sz w:val="20"/>
              </w:rPr>
              <w:t>Прехвърлянето на OAKA към HCAP и преструктурирането на ETAD ще приключат до края на 2018 г.</w:t>
            </w:r>
          </w:p>
        </w:tc>
        <w:tc>
          <w:tcPr>
            <w:tcW w:w="9693" w:type="dxa"/>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Преструктурирането на </w:t>
            </w:r>
            <w:r>
              <w:rPr>
                <w:rFonts w:ascii="Times New Roman" w:hAnsi="Times New Roman"/>
                <w:noProof/>
                <w:color w:val="000000"/>
                <w:sz w:val="20"/>
                <w:u w:val="single"/>
              </w:rPr>
              <w:t>ETAD</w:t>
            </w:r>
            <w:r>
              <w:rPr>
                <w:rFonts w:ascii="Times New Roman" w:hAnsi="Times New Roman"/>
                <w:noProof/>
                <w:color w:val="000000"/>
                <w:sz w:val="20"/>
              </w:rPr>
              <w:t xml:space="preserve"> приключи. Прехвърлянето на </w:t>
            </w:r>
            <w:r>
              <w:rPr>
                <w:rFonts w:ascii="Times New Roman" w:hAnsi="Times New Roman"/>
                <w:noProof/>
                <w:color w:val="000000"/>
                <w:sz w:val="20"/>
                <w:u w:val="single"/>
              </w:rPr>
              <w:t>OAKA</w:t>
            </w:r>
            <w:r>
              <w:rPr>
                <w:rFonts w:ascii="Times New Roman" w:hAnsi="Times New Roman"/>
                <w:noProof/>
                <w:color w:val="000000"/>
                <w:sz w:val="20"/>
              </w:rPr>
              <w:t xml:space="preserve"> отнема повече време от първоначално планираното. Органите разработиха пътна карта за конкретните действия, които да бъдат предприети през 2019 г., за да се решат нерешените технически въпроси. Това изглежда целесъобразно с оглед на сложността на проекта. Освен това на 21 февруари 2019 г. правителствената комисия и HCAP започнаха прилагането на механизма за координация за държавните предприятия.</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15</w:t>
            </w:r>
          </w:p>
        </w:tc>
        <w:tc>
          <w:tcPr>
            <w:tcW w:w="4312" w:type="dxa"/>
            <w:shd w:val="clear" w:color="auto" w:fill="auto"/>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Тръжни процедури</w:t>
            </w:r>
            <w:r>
              <w:rPr>
                <w:rFonts w:ascii="Times New Roman" w:hAnsi="Times New Roman"/>
                <w:noProof/>
                <w:color w:val="000000"/>
                <w:sz w:val="20"/>
              </w:rPr>
              <w:t xml:space="preserve"> — Планът за развитие на активите на TAIPED ще се изпълнява без прекъсване. Сделките за концесията на AIA и за Hellinikon и DESFA ще бъде приключат до края на 2018 г.</w:t>
            </w:r>
          </w:p>
        </w:tc>
        <w:tc>
          <w:tcPr>
            <w:tcW w:w="9693" w:type="dxa"/>
            <w:vAlign w:val="center"/>
          </w:tcPr>
          <w:p>
            <w:pPr>
              <w:jc w:val="both"/>
              <w:rPr>
                <w:rFonts w:ascii="Times New Roman" w:eastAsia="Times New Roman" w:hAnsi="Times New Roman" w:cs="Times New Roman"/>
                <w:b/>
                <w:i/>
                <w:noProof/>
                <w:color w:val="000000"/>
                <w:sz w:val="20"/>
                <w:szCs w:val="20"/>
              </w:rPr>
            </w:pPr>
            <w:r>
              <w:rPr>
                <w:rFonts w:ascii="Times New Roman" w:hAnsi="Times New Roman"/>
                <w:noProof/>
                <w:color w:val="000000"/>
                <w:sz w:val="20"/>
                <w:u w:val="single"/>
              </w:rPr>
              <w:t>План за развитие на активите (ADP):</w:t>
            </w:r>
            <w:r>
              <w:rPr>
                <w:rFonts w:ascii="Times New Roman" w:hAnsi="Times New Roman"/>
                <w:b/>
                <w:noProof/>
                <w:color w:val="000000"/>
                <w:sz w:val="20"/>
              </w:rPr>
              <w:t xml:space="preserve"> </w:t>
            </w:r>
            <w:r>
              <w:rPr>
                <w:rFonts w:ascii="Times New Roman" w:hAnsi="Times New Roman"/>
                <w:noProof/>
                <w:color w:val="000000"/>
                <w:sz w:val="20"/>
              </w:rPr>
              <w:t xml:space="preserve">Актуализираният план за развитие на активите на TAIPED беше одобрен на 15 февруари от KYSOIP (FEK 461, 15 февруари 2019 г.). </w:t>
            </w:r>
            <w:r>
              <w:rPr>
                <w:rFonts w:ascii="Times New Roman" w:hAnsi="Times New Roman"/>
                <w:i/>
                <w:noProof/>
                <w:color w:val="000000"/>
                <w:sz w:val="20"/>
                <w:u w:val="single"/>
              </w:rPr>
              <w:t>DESFA:</w:t>
            </w:r>
            <w:r>
              <w:rPr>
                <w:rFonts w:ascii="Times New Roman" w:hAnsi="Times New Roman"/>
                <w:b/>
                <w:noProof/>
                <w:color w:val="000000"/>
                <w:sz w:val="20"/>
              </w:rPr>
              <w:t xml:space="preserve"> </w:t>
            </w:r>
            <w:r>
              <w:rPr>
                <w:rFonts w:ascii="Times New Roman" w:hAnsi="Times New Roman"/>
                <w:noProof/>
                <w:color w:val="000000"/>
                <w:sz w:val="20"/>
              </w:rPr>
              <w:t xml:space="preserve">Финансовото приключване на сделката бе осъществено на 20 декември 2018 г. </w:t>
            </w:r>
            <w:r>
              <w:rPr>
                <w:rFonts w:ascii="Times New Roman" w:hAnsi="Times New Roman"/>
                <w:i/>
                <w:noProof/>
                <w:color w:val="000000"/>
                <w:sz w:val="20"/>
                <w:u w:val="single"/>
              </w:rPr>
              <w:t>AIA</w:t>
            </w:r>
            <w:r>
              <w:rPr>
                <w:rFonts w:ascii="Times New Roman" w:hAnsi="Times New Roman"/>
                <w:i/>
                <w:noProof/>
                <w:color w:val="000000"/>
                <w:sz w:val="20"/>
              </w:rPr>
              <w:t>:</w:t>
            </w:r>
            <w:r>
              <w:rPr>
                <w:rFonts w:ascii="Times New Roman" w:hAnsi="Times New Roman"/>
                <w:noProof/>
                <w:color w:val="000000"/>
                <w:sz w:val="20"/>
              </w:rPr>
              <w:t xml:space="preserve"> На 14 февруари 2019 г. гръцкият парламент ратифицира удължаването на споразумението за AIA, а на 22 февруари 2019 г. бе извършено плащането по финансовата сделка в размер на 1,1 милиарда евро плюс годишна лихва от 10,3 %, платена пропорционално от AIA от 1 януари 2019 г. до крайната дата, с което сделката приключи. </w:t>
            </w:r>
            <w:r>
              <w:rPr>
                <w:rFonts w:ascii="Times New Roman" w:hAnsi="Times New Roman"/>
                <w:i/>
                <w:noProof/>
                <w:color w:val="000000"/>
                <w:sz w:val="20"/>
                <w:u w:val="single"/>
              </w:rPr>
              <w:t>Hellinikon</w:t>
            </w:r>
            <w:r>
              <w:rPr>
                <w:rFonts w:ascii="Times New Roman" w:hAnsi="Times New Roman"/>
                <w:i/>
                <w:noProof/>
                <w:color w:val="000000"/>
                <w:sz w:val="20"/>
              </w:rPr>
              <w:t>:</w:t>
            </w:r>
            <w:r>
              <w:rPr>
                <w:rFonts w:ascii="Times New Roman" w:hAnsi="Times New Roman"/>
                <w:noProof/>
                <w:color w:val="000000"/>
                <w:sz w:val="20"/>
              </w:rPr>
              <w:t xml:space="preserve"> проектът претърпя известно забавяне, най-вече по отношение на предоставянето на лиценза за казино и одобренията в областта на градоустройственото планиране и околната среда. Ключови междинни стъпки: i) искането за предложение за предоставянето на лиценза за казино беше публикувано на 22 февруари; ii) на 6 февруари 2019 г. инвеститорите представиха на гръцките органи проучвания относно зоната, подлежаща на градоустройствено планиране, зоната за развитие и парка, а на 18 февруари последва и проучването за интегрираната оценка на въздействието върху околната среда. </w:t>
            </w:r>
            <w:r>
              <w:rPr>
                <w:rFonts w:ascii="Times New Roman" w:hAnsi="Times New Roman"/>
                <w:noProof/>
                <w:sz w:val="20"/>
              </w:rPr>
              <w:t>След внасянето на необходимите корекции проучването за интегрираната оценка на въздействието върху околната среда бе публикувано в електронния регистър на 25 февруари 2019 г. Обществената консултация започна на 21.3.2019 г.</w:t>
            </w:r>
            <w:r>
              <w:rPr>
                <w:rFonts w:ascii="Times New Roman" w:hAnsi="Times New Roman"/>
                <w:i/>
                <w:noProof/>
                <w:color w:val="000000"/>
                <w:sz w:val="20"/>
              </w:rPr>
              <w:t xml:space="preserve">. </w:t>
            </w:r>
            <w:r>
              <w:rPr>
                <w:rFonts w:ascii="Times New Roman" w:hAnsi="Times New Roman"/>
                <w:i/>
                <w:noProof/>
                <w:color w:val="000000"/>
                <w:sz w:val="20"/>
                <w:u w:val="single"/>
              </w:rPr>
              <w:t>DEPA</w:t>
            </w:r>
            <w:r>
              <w:rPr>
                <w:rFonts w:ascii="Times New Roman" w:hAnsi="Times New Roman"/>
                <w:i/>
                <w:noProof/>
                <w:color w:val="000000"/>
                <w:sz w:val="20"/>
              </w:rPr>
              <w:t xml:space="preserve">: </w:t>
            </w:r>
            <w:r>
              <w:rPr>
                <w:rFonts w:ascii="Times New Roman" w:hAnsi="Times New Roman"/>
                <w:noProof/>
                <w:color w:val="000000"/>
                <w:sz w:val="20"/>
              </w:rPr>
              <w:t>На 7 март 2019 г. бе прието законодателство, свързано с корпоративното преструктуриране на DEPA. Законодателството проправя пътя за договорената приватизационна сделка. Ще бъде важно да се гарантира, че преходните разпоредби относно заетостта, включени в законодателството, запазват като цел настоящия брой на наетите служители. „</w:t>
            </w:r>
            <w:r>
              <w:rPr>
                <w:rFonts w:ascii="Times New Roman" w:hAnsi="Times New Roman"/>
                <w:i/>
                <w:noProof/>
                <w:color w:val="000000"/>
                <w:sz w:val="20"/>
                <w:u w:val="single"/>
              </w:rPr>
              <w:t>Егнатия</w:t>
            </w:r>
            <w:r>
              <w:rPr>
                <w:rFonts w:ascii="Times New Roman" w:hAnsi="Times New Roman"/>
                <w:noProof/>
                <w:color w:val="000000"/>
                <w:sz w:val="20"/>
              </w:rPr>
              <w:t xml:space="preserve">“: </w:t>
            </w:r>
            <w:r>
              <w:rPr>
                <w:rFonts w:ascii="Times New Roman" w:hAnsi="Times New Roman"/>
                <w:noProof/>
                <w:sz w:val="20"/>
              </w:rPr>
              <w:t>Бяха изпълнение всички действия, включени в списъка, договорен между гръцките органи и институциите, за наваксване по отношение на концесията на „Егнатия“. Остава да бъдат решени само технически въпроси, за да се даде възможност на „Егнатия“ да пристъпи към изграждането на всички останали станции за пътно таксуване, докато за лицензирането на тунелите следва да продължат по-активните усилия за окончателна обратна информация.</w:t>
            </w:r>
          </w:p>
        </w:tc>
      </w:tr>
      <w:tr>
        <w:trPr>
          <w:trHeight w:val="113"/>
        </w:trPr>
        <w:tc>
          <w:tcPr>
            <w:tcW w:w="737" w:type="dxa"/>
            <w:vAlign w:val="center"/>
          </w:tcPr>
          <w:p>
            <w:pPr>
              <w:spacing w:before="60" w:after="60"/>
              <w:jc w:val="center"/>
              <w:rPr>
                <w:rFonts w:ascii="Times New Roman" w:eastAsia="Times New Roman" w:hAnsi="Times New Roman" w:cs="Times New Roman"/>
                <w:b/>
                <w:noProof/>
                <w:color w:val="000000"/>
                <w:sz w:val="20"/>
                <w:szCs w:val="20"/>
              </w:rPr>
            </w:pPr>
            <w:r>
              <w:rPr>
                <w:rFonts w:ascii="Times New Roman" w:hAnsi="Times New Roman"/>
                <w:b/>
                <w:noProof/>
                <w:color w:val="000000"/>
                <w:sz w:val="20"/>
              </w:rPr>
              <w:t>16</w:t>
            </w:r>
          </w:p>
        </w:tc>
        <w:tc>
          <w:tcPr>
            <w:tcW w:w="4312" w:type="dxa"/>
            <w:shd w:val="clear" w:color="auto" w:fill="auto"/>
            <w:vAlign w:val="center"/>
          </w:tcPr>
          <w:p>
            <w:pPr>
              <w:spacing w:before="60" w:after="60"/>
              <w:jc w:val="both"/>
              <w:rPr>
                <w:rFonts w:ascii="Times New Roman" w:eastAsia="Times New Roman" w:hAnsi="Times New Roman" w:cs="Times New Roman"/>
                <w:noProof/>
                <w:color w:val="000000"/>
                <w:sz w:val="20"/>
                <w:szCs w:val="20"/>
              </w:rPr>
            </w:pPr>
            <w:r>
              <w:rPr>
                <w:rFonts w:ascii="Times New Roman" w:hAnsi="Times New Roman"/>
                <w:b/>
                <w:noProof/>
                <w:color w:val="000000"/>
                <w:sz w:val="20"/>
              </w:rPr>
              <w:t>Публична администрация — назначения.</w:t>
            </w:r>
            <w:r>
              <w:rPr>
                <w:rFonts w:ascii="Times New Roman" w:hAnsi="Times New Roman"/>
                <w:noProof/>
                <w:color w:val="000000"/>
                <w:sz w:val="20"/>
              </w:rPr>
              <w:t xml:space="preserve"> Ще продължи изпълнението на реформите за модернизиране на публичната администрация. Като част от тези усилия Гърция ще приключи с реформите за модернизиране на управлението на човешките ресурси в публичния сектор, и в частност назначаването на административни генерални секретари и всички генерални директори съгласно Закон 4369/2016 до края на 2018 г.</w:t>
            </w:r>
          </w:p>
        </w:tc>
        <w:tc>
          <w:tcPr>
            <w:tcW w:w="9693" w:type="dxa"/>
            <w:vAlign w:val="center"/>
          </w:tcPr>
          <w:p>
            <w:pPr>
              <w:keepNext/>
              <w:spacing w:before="60" w:after="60"/>
              <w:jc w:val="both"/>
              <w:rPr>
                <w:rFonts w:ascii="Times New Roman" w:eastAsia="Times New Roman" w:hAnsi="Times New Roman" w:cs="Times New Roman"/>
                <w:noProof/>
                <w:color w:val="000000"/>
                <w:sz w:val="20"/>
                <w:szCs w:val="20"/>
              </w:rPr>
            </w:pPr>
            <w:r>
              <w:rPr>
                <w:rFonts w:ascii="Times New Roman" w:hAnsi="Times New Roman"/>
                <w:noProof/>
                <w:color w:val="000000"/>
                <w:sz w:val="20"/>
                <w:u w:val="single"/>
              </w:rPr>
              <w:t>Генерални директори:</w:t>
            </w:r>
            <w:r>
              <w:rPr>
                <w:rFonts w:ascii="Times New Roman" w:hAnsi="Times New Roman"/>
                <w:noProof/>
                <w:color w:val="000000"/>
                <w:sz w:val="20"/>
              </w:rPr>
              <w:t xml:space="preserve"> Приключиха всички назначения (90 длъжности). </w:t>
            </w:r>
            <w:r>
              <w:rPr>
                <w:rFonts w:ascii="Times New Roman" w:hAnsi="Times New Roman"/>
                <w:noProof/>
                <w:color w:val="000000"/>
                <w:sz w:val="20"/>
                <w:u w:val="single"/>
              </w:rPr>
              <w:t>Административни секретари:</w:t>
            </w:r>
            <w:r>
              <w:rPr>
                <w:rFonts w:ascii="Times New Roman" w:hAnsi="Times New Roman"/>
                <w:noProof/>
                <w:color w:val="000000"/>
                <w:sz w:val="20"/>
              </w:rPr>
              <w:t xml:space="preserve"> Към настоящия момент не са извършени назначения (от 69 бройки), а като допълващи действия органите приеха закон за стратегическо набиране на персонал (обвързва също плана за наемане на персонал със средносрочната фискална стратегия) и укрепиха капацитета на Министерството на административната реформа и: i) предоставиха актуализиран график за приключване на набирането на административни секретари до края на 2019 г.; ii) договориха с Комисията реда и условията за независимата оценка на цикъла на назначавания на административни секретари и генерални директори, която да приключи до юни 2019 г., с последващи мерки, които да бъдат приети до септември 2019 г.; iii) ангажираха се с конкретна пътна карта за рационализиране на професионалните квалификации („klados“); iv) ангажираха се да актуализират базата данни за преброяването („Apografi“), така че да докладва и за потоците постоянен персонал на частноправни юридически лица, и да въведат категория „срочно нает персонал“ на частноправни юридически лица, на които се плаща от НСРР/други източници; v) поеха ангажимент до края на март 2019 г. да отправят първите покани за назначения на ръководители на отдели. Като допълнителна мярка органите предприеха следните действия: свързани с </w:t>
            </w:r>
            <w:r>
              <w:rPr>
                <w:rFonts w:ascii="Times New Roman" w:hAnsi="Times New Roman"/>
                <w:noProof/>
                <w:color w:val="000000"/>
                <w:sz w:val="20"/>
                <w:u w:val="single"/>
              </w:rPr>
              <w:t>правната кодификация —</w:t>
            </w:r>
            <w:r>
              <w:rPr>
                <w:rFonts w:ascii="Times New Roman" w:hAnsi="Times New Roman"/>
                <w:noProof/>
                <w:color w:val="000000"/>
                <w:sz w:val="20"/>
              </w:rPr>
              <w:t xml:space="preserve"> решението за одобрение на тръжната процедура за „цифров портал“ бе прието (5 март 2019 г.). Правните разпоредби за „централния комитет по кодификация“ бяха публикувани за обществена консултация и представени на парламента (26 март 2019 г.). Освен това, във връзка с важната реформа на </w:t>
            </w:r>
            <w:r>
              <w:rPr>
                <w:rFonts w:ascii="Times New Roman" w:hAnsi="Times New Roman"/>
                <w:noProof/>
                <w:color w:val="000000"/>
                <w:sz w:val="20"/>
                <w:u w:val="single"/>
              </w:rPr>
              <w:t>ЧР в държавната приходна администрация</w:t>
            </w:r>
            <w:r>
              <w:rPr>
                <w:rFonts w:ascii="Times New Roman" w:hAnsi="Times New Roman"/>
                <w:noProof/>
                <w:color w:val="000000"/>
                <w:sz w:val="20"/>
              </w:rPr>
              <w:t>, на 6 март 2019 г. органите приеха изменение, което позволява изпълнението на първия етап за свързване на длъжностното степенуване с длъжностните характеристики за ИАПР (FEK A 48/2019, член 64).</w:t>
            </w:r>
          </w:p>
          <w:p>
            <w:pPr>
              <w:keepNext/>
              <w:spacing w:before="60" w:after="60"/>
              <w:jc w:val="both"/>
              <w:rPr>
                <w:rFonts w:ascii="Times New Roman" w:eastAsia="Calibri" w:hAnsi="Times New Roman" w:cs="Times New Roman"/>
                <w:b/>
                <w:noProof/>
                <w:color w:val="000000"/>
                <w:sz w:val="20"/>
              </w:rPr>
            </w:pPr>
            <w:r>
              <w:rPr>
                <w:rFonts w:ascii="Times New Roman" w:hAnsi="Times New Roman"/>
                <w:noProof/>
                <w:color w:val="000000"/>
                <w:sz w:val="20"/>
              </w:rPr>
              <w:t>Текат обсъждания с органите относно разпоредбите за заплатите, включени в проектозакон на Министерството на икономиката и развитието. Институциите изразиха загриженост, че предлаганото изменение за удължаване на т.нар. „лични разлики“ би могло да застраши общите принципи за реформа на единната скала за възнагражденията.</w:t>
            </w:r>
          </w:p>
        </w:tc>
      </w:tr>
    </w:tbl>
    <w:p>
      <w:pPr>
        <w:spacing w:after="120"/>
        <w:contextualSpacing/>
        <w:jc w:val="both"/>
        <w:rPr>
          <w:rFonts w:ascii="Times New Roman" w:eastAsia="Times New Roman" w:hAnsi="Times New Roman" w:cs="Times New Roman"/>
          <w:noProof/>
          <w:color w:val="000000"/>
          <w:szCs w:val="24"/>
        </w:rPr>
      </w:pPr>
    </w:p>
    <w:sectPr>
      <w:headerReference w:type="even" r:id="rId26"/>
      <w:headerReference w:type="default" r:id="rId27"/>
      <w:footerReference w:type="even" r:id="rId28"/>
      <w:footerReference w:type="default" r:id="rId29"/>
      <w:headerReference w:type="first" r:id="rId30"/>
      <w:footerReference w:type="first" r:id="rId31"/>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3477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4298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rPr>
          <w:rFonts w:ascii="Times New Roman" w:hAnsi="Times New Roman"/>
        </w:rPr>
        <w:t>Съобщение на Комисията COM(2019) 201 и придружаващият го работен документ на службите на Комисията SWD(2019) 201 от 27 февруари 2019 г.</w:t>
      </w:r>
    </w:p>
  </w:footnote>
  <w:footnote w:id="3">
    <w:p>
      <w:pPr>
        <w:pStyle w:val="FootnoteText"/>
        <w:rPr>
          <w:rFonts w:ascii="Times New Roman" w:hAnsi="Times New Roman" w:cs="Times New Roman"/>
        </w:rPr>
      </w:pPr>
      <w:r>
        <w:rPr>
          <w:rStyle w:val="FootnoteReference"/>
        </w:rPr>
        <w:footnoteRef/>
      </w:r>
      <w:r>
        <w:t xml:space="preserve"> </w:t>
      </w:r>
      <w:r>
        <w:rPr>
          <w:rFonts w:ascii="Times New Roman" w:hAnsi="Times New Roman"/>
        </w:rPr>
        <w:t>Европейската централна банка сътрудничи при засиленото наблюдение в съответствие с компетентностите на ЕЦБ и съответно предоставя експертни знания по политиките на финансовия сектор и значими в макроикономически план проблеми, като например номинални фискални цели и нуждите от устойчивост и финансиране. Европейският механизъм за стабилност (ЕМС) участва в контекста на системата за ранно предупреждение на ЕМС и в съответствие с Меморандума за разбирателство от 27 април 2018 г. относно работните отношения между Комисията и ЕМС.</w:t>
      </w:r>
    </w:p>
  </w:footnote>
  <w:footnote w:id="4">
    <w:p>
      <w:pPr>
        <w:pStyle w:val="FootnoteText"/>
        <w:ind w:left="142" w:hanging="142"/>
        <w:jc w:val="both"/>
        <w:rPr>
          <w:rFonts w:ascii="Times New Roman" w:hAnsi="Times New Roman" w:cs="Times New Roman"/>
          <w:szCs w:val="16"/>
          <w:lang w:val="hu-HU"/>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https://www.consilium.europa.eu/media/35749/z-councils-council-configurations-ecofin-eurogroup-2018-180621-specific-commitments-to-ensure-the-continuity-and-completion-of-reforms-adopted-under-the-esm-programme_2.pdf</w:t>
        </w:r>
      </w:hyperlink>
      <w:r>
        <w:rPr>
          <w:rFonts w:ascii="Times New Roman" w:hAnsi="Times New Roman"/>
        </w:rPr>
        <w:t xml:space="preserve"> </w:t>
      </w:r>
    </w:p>
  </w:footnote>
  <w:footnote w:id="5">
    <w:p>
      <w:pPr>
        <w:pStyle w:val="FootnoteText"/>
        <w:rPr>
          <w:lang w:val="hu-HU"/>
        </w:rPr>
      </w:pPr>
      <w:r>
        <w:rPr>
          <w:rStyle w:val="FootnoteReference"/>
        </w:rPr>
        <w:footnoteRef/>
      </w:r>
      <w:r>
        <w:t xml:space="preserve"> </w:t>
      </w:r>
      <w:r>
        <w:rPr>
          <w:rFonts w:ascii="Times New Roman" w:hAnsi="Times New Roman"/>
          <w:noProof/>
          <w:color w:val="000000"/>
        </w:rPr>
        <w:t>Медианният приравнен разполагаем доход на домакинство с размер, който е допустим за най-високия праг (двама възрастни и три лица на издръжка), е около 18—20 000 EUR, в зависимост от възрастта на децата.</w:t>
      </w:r>
    </w:p>
  </w:footnote>
  <w:footnote w:id="6">
    <w:p>
      <w:pPr>
        <w:pStyle w:val="FootnoteText"/>
        <w:rPr>
          <w:lang w:val="hu-HU"/>
        </w:rPr>
      </w:pPr>
      <w:r>
        <w:rPr>
          <w:rStyle w:val="FootnoteReference"/>
        </w:rPr>
        <w:footnoteRef/>
      </w:r>
      <w:r>
        <w:t xml:space="preserve"> https://www.bankingsupervision.europa.eu/ecb/legal/pdf/en_con_2019_09_f_sign_.pdf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238"/>
    <w:multiLevelType w:val="hybridMultilevel"/>
    <w:tmpl w:val="79EA9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752FEE"/>
    <w:multiLevelType w:val="hybridMultilevel"/>
    <w:tmpl w:val="9B463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B5567E"/>
    <w:multiLevelType w:val="hybridMultilevel"/>
    <w:tmpl w:val="F0F8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51071B"/>
    <w:multiLevelType w:val="hybridMultilevel"/>
    <w:tmpl w:val="B26447B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21270AAC"/>
    <w:multiLevelType w:val="hybridMultilevel"/>
    <w:tmpl w:val="11544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F771E45"/>
    <w:multiLevelType w:val="hybridMultilevel"/>
    <w:tmpl w:val="F632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B373CD"/>
    <w:multiLevelType w:val="hybridMultilevel"/>
    <w:tmpl w:val="856272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039798B"/>
    <w:multiLevelType w:val="hybridMultilevel"/>
    <w:tmpl w:val="290C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F377C4"/>
    <w:multiLevelType w:val="hybridMultilevel"/>
    <w:tmpl w:val="DA988A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86D3710"/>
    <w:multiLevelType w:val="hybridMultilevel"/>
    <w:tmpl w:val="650C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141BD7"/>
    <w:multiLevelType w:val="hybridMultilevel"/>
    <w:tmpl w:val="65BE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3E51CB"/>
    <w:multiLevelType w:val="hybridMultilevel"/>
    <w:tmpl w:val="59F217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56954AEB"/>
    <w:multiLevelType w:val="hybridMultilevel"/>
    <w:tmpl w:val="9668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060FF0"/>
    <w:multiLevelType w:val="hybridMultilevel"/>
    <w:tmpl w:val="5FFE13F4"/>
    <w:lvl w:ilvl="0" w:tplc="D3CA97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96B81"/>
    <w:multiLevelType w:val="hybridMultilevel"/>
    <w:tmpl w:val="E7B4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436690"/>
    <w:multiLevelType w:val="hybridMultilevel"/>
    <w:tmpl w:val="ED5E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DD6BCC"/>
    <w:multiLevelType w:val="hybridMultilevel"/>
    <w:tmpl w:val="7072459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1F378C"/>
    <w:multiLevelType w:val="hybridMultilevel"/>
    <w:tmpl w:val="71E27E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1"/>
  </w:num>
  <w:num w:numId="4">
    <w:abstractNumId w:val="16"/>
  </w:num>
  <w:num w:numId="5">
    <w:abstractNumId w:val="4"/>
  </w:num>
  <w:num w:numId="6">
    <w:abstractNumId w:val="13"/>
  </w:num>
  <w:num w:numId="7">
    <w:abstractNumId w:val="11"/>
  </w:num>
  <w:num w:numId="8">
    <w:abstractNumId w:val="6"/>
  </w:num>
  <w:num w:numId="9">
    <w:abstractNumId w:val="8"/>
  </w:num>
  <w:num w:numId="10">
    <w:abstractNumId w:val="0"/>
  </w:num>
  <w:num w:numId="11">
    <w:abstractNumId w:val="12"/>
  </w:num>
  <w:num w:numId="12">
    <w:abstractNumId w:val="3"/>
  </w:num>
  <w:num w:numId="13">
    <w:abstractNumId w:val="7"/>
  </w:num>
  <w:num w:numId="14">
    <w:abstractNumId w:val="15"/>
  </w:num>
  <w:num w:numId="15">
    <w:abstractNumId w:val="9"/>
  </w:num>
  <w:num w:numId="16">
    <w:abstractNumId w:val="14"/>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C3611E-00FB-424B-B338-B8DCC412D70B"/>
    <w:docVar w:name="LW_COVERPAGE_TYPE" w:val="1"/>
    <w:docVar w:name="LW_CROSSREFERENCE" w:val="&lt;UNUSED&gt;"/>
    <w:docVar w:name="LW_DocType" w:val="NORMAL"/>
    <w:docVar w:name="LW_EMISSION" w:val="3.4.2019"/>
    <w:docVar w:name="LW_EMISSION_ISODATE" w:val="2019-04-03"/>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47?\u1072?\u1089?\u1080?\u1083?\u1077?\u1085?\u1086? \u1085?\u1072?\u1073?\u1083?\u1102?\u1076?\u1077?\u1085?\u1080?\u1077? &lt;/FMT&gt;&lt;FMT:Font=Calibri&gt;\u8212?&lt;/FMT&gt;&lt;FMT:Font=Calibri Cyr&gt; \u1043?\u1098?\u1088?\u1094?\u1080?\u1103?, \u1072?\u1087?\u1088?\u1080?\u1083? 2019 \u1075?.&lt;/FMT&gt;"/>
    <w:docVar w:name="LW_TYPE.DOC.CP" w:val="\u1057?\u1066?\u1054?\u1041?\u1065?\u1045?\u1053?\u1048?\u1045? \u1053?\u1040? \u1050?\u1054?\u1052?\u1048?\u1057?\u1048?\u1071?\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Footer">
    <w:name w:val="footer"/>
    <w:basedOn w:val="Normal"/>
    <w:next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semiHidden/>
    <w:qFormat/>
    <w:pPr>
      <w:spacing w:after="0" w:line="240" w:lineRule="auto"/>
      <w:ind w:left="283" w:hanging="283"/>
    </w:pPr>
    <w:rPr>
      <w:sz w:val="16"/>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semiHidden/>
    <w:qFormat/>
    <w:rPr>
      <w:sz w:val="16"/>
      <w:szCs w:val="20"/>
    </w:rPr>
  </w:style>
  <w:style w:type="paragraph" w:customStyle="1" w:styleId="ChapterName">
    <w:name w:val="Chapter Name"/>
    <w:basedOn w:val="Normal"/>
    <w:next w:val="Normal"/>
    <w:pPr>
      <w:spacing w:before="1080" w:line="240" w:lineRule="auto"/>
    </w:pPr>
    <w:rPr>
      <w:b/>
      <w:color w:val="808080"/>
      <w:sz w:val="72"/>
    </w:rPr>
  </w:style>
  <w:style w:type="paragraph" w:customStyle="1" w:styleId="ChapterTitle">
    <w:name w:val="Chapter Title"/>
    <w:basedOn w:val="Normal"/>
    <w:next w:val="Normal"/>
    <w:pPr>
      <w:spacing w:line="240" w:lineRule="auto"/>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pPr>
    <w:rPr>
      <w:rFonts w:ascii="Century Gothic" w:hAnsi="Century Gothic"/>
      <w:color w:val="333399"/>
      <w:sz w:val="28"/>
    </w:rPr>
  </w:style>
  <w:style w:type="paragraph" w:customStyle="1" w:styleId="PublicationTitle">
    <w:name w:val="Publication Title"/>
    <w:basedOn w:val="Normal"/>
    <w:next w:val="Normal"/>
    <w:pPr>
      <w:spacing w:before="2880" w:line="240" w:lineRule="auto"/>
    </w:pPr>
    <w:rPr>
      <w:rFonts w:ascii="Georgia" w:hAnsi="Georgia"/>
      <w:color w:val="333399"/>
      <w:sz w:val="48"/>
    </w:rPr>
  </w:style>
  <w:style w:type="paragraph" w:customStyle="1" w:styleId="PublicationSubtitle">
    <w:name w:val="Publication Subtitle"/>
    <w:basedOn w:val="Normal"/>
    <w:next w:val="Normal"/>
    <w:pPr>
      <w:spacing w:line="240" w:lineRule="auto"/>
    </w:pPr>
    <w:rPr>
      <w:rFonts w:ascii="Century Gothic" w:hAnsi="Century Gothic"/>
      <w:sz w:val="32"/>
    </w:rPr>
  </w:style>
  <w:style w:type="paragraph" w:customStyle="1" w:styleId="Series">
    <w:name w:val="Series"/>
    <w:basedOn w:val="Normal"/>
    <w:next w:val="Normal"/>
    <w:pPr>
      <w:tabs>
        <w:tab w:val="right" w:pos="8787"/>
      </w:tabs>
      <w:spacing w:before="6240" w:line="240" w:lineRule="auto"/>
    </w:pPr>
    <w:rPr>
      <w:rFonts w:ascii="Century Gothic" w:hAnsi="Century Gothic"/>
      <w:color w:val="333399"/>
    </w:rPr>
  </w:style>
  <w:style w:type="paragraph" w:customStyle="1" w:styleId="Institution">
    <w:name w:val="Institution"/>
    <w:basedOn w:val="Normal"/>
    <w:next w:val="Normal"/>
    <w:pPr>
      <w:spacing w:after="120" w:line="240" w:lineRule="auto"/>
    </w:pPr>
    <w:rPr>
      <w:rFonts w:ascii="Century Gothic" w:hAnsi="Century Gothic"/>
      <w:sz w:val="24"/>
    </w:rPr>
  </w:style>
  <w:style w:type="paragraph" w:customStyle="1" w:styleId="InstitutionSubtitle">
    <w:name w:val="Institution Subtitle"/>
    <w:basedOn w:val="Normal"/>
    <w:next w:val="Normal"/>
    <w:pPr>
      <w:spacing w:line="240" w:lineRule="auto"/>
    </w:pPr>
    <w:rPr>
      <w:rFonts w:ascii="Century Gothic" w:hAnsi="Century Gothic"/>
    </w:rPr>
  </w:style>
  <w:style w:type="paragraph" w:customStyle="1" w:styleId="PartTitle">
    <w:name w:val="Part Title"/>
    <w:basedOn w:val="Normal"/>
    <w:next w:val="Normal"/>
    <w:pPr>
      <w:spacing w:before="1080" w:line="240" w:lineRule="auto"/>
    </w:pPr>
    <w:rPr>
      <w:rFonts w:ascii="Georgia" w:hAnsi="Georgia"/>
      <w:color w:val="333399"/>
      <w:sz w:val="40"/>
    </w:rPr>
  </w:style>
  <w:style w:type="paragraph" w:customStyle="1" w:styleId="PartSubtitle">
    <w:name w:val="Part Subtitle"/>
    <w:basedOn w:val="Normal"/>
    <w:next w:val="Normal"/>
    <w:pPr>
      <w:spacing w:line="240" w:lineRule="auto"/>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pPr>
    <w:rPr>
      <w:rFonts w:ascii="Century Gothic" w:hAnsi="Century Gothic"/>
      <w:caps/>
      <w:color w:val="333399"/>
      <w:sz w:val="32"/>
    </w:rPr>
  </w:style>
  <w:style w:type="character" w:styleId="FootnoteReference">
    <w:name w:val="footnote reference"/>
    <w:uiPriority w:val="99"/>
    <w:rPr>
      <w:rFonts w:asciiTheme="minorHAnsi" w:eastAsiaTheme="minorHAnsi" w:hAnsiTheme="minorHAnsi" w:cstheme="minorBidi"/>
      <w:sz w:val="22"/>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line="240" w:lineRule="auto"/>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pPr>
  </w:style>
  <w:style w:type="paragraph" w:customStyle="1" w:styleId="DefaultTable">
    <w:name w:val="Default Table"/>
    <w:basedOn w:val="Normal"/>
    <w:next w:val="Normal"/>
    <w:pPr>
      <w:spacing w:after="0" w:line="240" w:lineRule="auto"/>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semiHidden/>
    <w:unhideWhenUsed/>
    <w:pPr>
      <w:tabs>
        <w:tab w:val="left" w:pos="482"/>
        <w:tab w:val="right" w:pos="8504"/>
      </w:tabs>
      <w:spacing w:before="240" w:after="120"/>
      <w:ind w:left="482" w:right="425" w:hanging="482"/>
    </w:pPr>
    <w:rPr>
      <w:color w:val="333399"/>
    </w:rPr>
  </w:style>
  <w:style w:type="paragraph" w:styleId="TOC2">
    <w:name w:val="toc 2"/>
    <w:basedOn w:val="Normal"/>
    <w:next w:val="Normal"/>
    <w:autoRedefine/>
    <w:semiHidden/>
    <w:unhideWhenUsed/>
    <w:pPr>
      <w:tabs>
        <w:tab w:val="left" w:pos="482"/>
        <w:tab w:val="right" w:pos="8504"/>
      </w:tabs>
      <w:spacing w:after="100"/>
      <w:ind w:left="482" w:right="425" w:hanging="482"/>
    </w:pPr>
    <w:rPr>
      <w:color w:val="333399"/>
    </w:rPr>
  </w:style>
  <w:style w:type="paragraph" w:styleId="TOC3">
    <w:name w:val="toc 3"/>
    <w:basedOn w:val="Normal"/>
    <w:next w:val="Normal"/>
    <w:autoRedefine/>
    <w:semiHidden/>
    <w:unhideWhenUsed/>
    <w:pPr>
      <w:tabs>
        <w:tab w:val="left" w:pos="964"/>
        <w:tab w:val="right" w:pos="8504"/>
      </w:tabs>
      <w:spacing w:after="100"/>
      <w:ind w:left="964" w:right="425" w:hanging="482"/>
    </w:pPr>
    <w:rPr>
      <w:caps/>
      <w:color w:val="333399"/>
      <w:sz w:val="16"/>
    </w:rPr>
  </w:style>
  <w:style w:type="paragraph" w:styleId="TOC4">
    <w:name w:val="toc 4"/>
    <w:basedOn w:val="Normal"/>
    <w:next w:val="Normal"/>
    <w:autoRedefine/>
    <w:semiHidden/>
    <w:unhideWhenUsed/>
    <w:pPr>
      <w:tabs>
        <w:tab w:val="left" w:pos="1644"/>
        <w:tab w:val="right" w:pos="8504"/>
      </w:tabs>
      <w:spacing w:after="0"/>
      <w:ind w:left="1531" w:right="425" w:hanging="567"/>
    </w:pPr>
    <w:rPr>
      <w:rFonts w:ascii="Century Gothic" w:hAnsi="Century Gothic"/>
      <w:color w:val="333399"/>
      <w:sz w:val="16"/>
    </w:rPr>
  </w:style>
  <w:style w:type="paragraph" w:styleId="TOC5">
    <w:name w:val="toc 5"/>
    <w:basedOn w:val="Normal"/>
    <w:next w:val="Normal"/>
    <w:autoRedefine/>
    <w:semiHidden/>
    <w:unhideWhenUsed/>
    <w:pPr>
      <w:tabs>
        <w:tab w:val="left" w:pos="964"/>
        <w:tab w:val="right" w:pos="8504"/>
      </w:tabs>
      <w:spacing w:after="100"/>
      <w:ind w:left="964" w:right="425" w:hanging="482"/>
    </w:pPr>
    <w:rPr>
      <w:color w:val="333399"/>
      <w:sz w:val="16"/>
    </w:rPr>
  </w:style>
  <w:style w:type="paragraph" w:styleId="TOC6">
    <w:name w:val="toc 6"/>
    <w:basedOn w:val="Normal"/>
    <w:next w:val="Normal"/>
    <w:autoRedefine/>
    <w:semiHidden/>
    <w:unhideWhenUsed/>
    <w:pPr>
      <w:tabs>
        <w:tab w:val="right" w:pos="8504"/>
      </w:tabs>
      <w:spacing w:after="100"/>
      <w:ind w:right="425"/>
    </w:pPr>
    <w:rPr>
      <w:color w:val="333399"/>
    </w:rPr>
  </w:style>
  <w:style w:type="paragraph" w:styleId="TOC7">
    <w:name w:val="toc 7"/>
    <w:basedOn w:val="Normal"/>
    <w:next w:val="Normal"/>
    <w:autoRedefine/>
    <w:semiHidden/>
    <w:unhideWhenUsed/>
    <w:pPr>
      <w:tabs>
        <w:tab w:val="right" w:pos="8504"/>
      </w:tabs>
      <w:spacing w:after="100"/>
      <w:ind w:right="425"/>
    </w:pPr>
    <w:rPr>
      <w:color w:val="333399"/>
      <w:sz w:val="24"/>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after="240" w:line="240" w:lineRule="auto"/>
      <w:jc w:val="both"/>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semiHidden/>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color w:val="000000"/>
      <w:sz w:val="20"/>
      <w:szCs w:val="20"/>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customStyle="1" w:styleId="TableGrid18">
    <w:name w:val="Table Grid18"/>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Footer">
    <w:name w:val="footer"/>
    <w:basedOn w:val="Normal"/>
    <w:next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semiHidden/>
    <w:qFormat/>
    <w:pPr>
      <w:spacing w:after="0" w:line="240" w:lineRule="auto"/>
      <w:ind w:left="283" w:hanging="283"/>
    </w:pPr>
    <w:rPr>
      <w:sz w:val="16"/>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semiHidden/>
    <w:qFormat/>
    <w:rPr>
      <w:sz w:val="16"/>
      <w:szCs w:val="20"/>
    </w:rPr>
  </w:style>
  <w:style w:type="paragraph" w:customStyle="1" w:styleId="ChapterName">
    <w:name w:val="Chapter Name"/>
    <w:basedOn w:val="Normal"/>
    <w:next w:val="Normal"/>
    <w:pPr>
      <w:spacing w:before="1080" w:line="240" w:lineRule="auto"/>
    </w:pPr>
    <w:rPr>
      <w:b/>
      <w:color w:val="808080"/>
      <w:sz w:val="72"/>
    </w:rPr>
  </w:style>
  <w:style w:type="paragraph" w:customStyle="1" w:styleId="ChapterTitle">
    <w:name w:val="Chapter Title"/>
    <w:basedOn w:val="Normal"/>
    <w:next w:val="Normal"/>
    <w:pPr>
      <w:spacing w:line="240" w:lineRule="auto"/>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pPr>
    <w:rPr>
      <w:rFonts w:ascii="Century Gothic" w:hAnsi="Century Gothic"/>
      <w:color w:val="333399"/>
      <w:sz w:val="28"/>
    </w:rPr>
  </w:style>
  <w:style w:type="paragraph" w:customStyle="1" w:styleId="PublicationTitle">
    <w:name w:val="Publication Title"/>
    <w:basedOn w:val="Normal"/>
    <w:next w:val="Normal"/>
    <w:pPr>
      <w:spacing w:before="2880" w:line="240" w:lineRule="auto"/>
    </w:pPr>
    <w:rPr>
      <w:rFonts w:ascii="Georgia" w:hAnsi="Georgia"/>
      <w:color w:val="333399"/>
      <w:sz w:val="48"/>
    </w:rPr>
  </w:style>
  <w:style w:type="paragraph" w:customStyle="1" w:styleId="PublicationSubtitle">
    <w:name w:val="Publication Subtitle"/>
    <w:basedOn w:val="Normal"/>
    <w:next w:val="Normal"/>
    <w:pPr>
      <w:spacing w:line="240" w:lineRule="auto"/>
    </w:pPr>
    <w:rPr>
      <w:rFonts w:ascii="Century Gothic" w:hAnsi="Century Gothic"/>
      <w:sz w:val="32"/>
    </w:rPr>
  </w:style>
  <w:style w:type="paragraph" w:customStyle="1" w:styleId="Series">
    <w:name w:val="Series"/>
    <w:basedOn w:val="Normal"/>
    <w:next w:val="Normal"/>
    <w:pPr>
      <w:tabs>
        <w:tab w:val="right" w:pos="8787"/>
      </w:tabs>
      <w:spacing w:before="6240" w:line="240" w:lineRule="auto"/>
    </w:pPr>
    <w:rPr>
      <w:rFonts w:ascii="Century Gothic" w:hAnsi="Century Gothic"/>
      <w:color w:val="333399"/>
    </w:rPr>
  </w:style>
  <w:style w:type="paragraph" w:customStyle="1" w:styleId="Institution">
    <w:name w:val="Institution"/>
    <w:basedOn w:val="Normal"/>
    <w:next w:val="Normal"/>
    <w:pPr>
      <w:spacing w:after="120" w:line="240" w:lineRule="auto"/>
    </w:pPr>
    <w:rPr>
      <w:rFonts w:ascii="Century Gothic" w:hAnsi="Century Gothic"/>
      <w:sz w:val="24"/>
    </w:rPr>
  </w:style>
  <w:style w:type="paragraph" w:customStyle="1" w:styleId="InstitutionSubtitle">
    <w:name w:val="Institution Subtitle"/>
    <w:basedOn w:val="Normal"/>
    <w:next w:val="Normal"/>
    <w:pPr>
      <w:spacing w:line="240" w:lineRule="auto"/>
    </w:pPr>
    <w:rPr>
      <w:rFonts w:ascii="Century Gothic" w:hAnsi="Century Gothic"/>
    </w:rPr>
  </w:style>
  <w:style w:type="paragraph" w:customStyle="1" w:styleId="PartTitle">
    <w:name w:val="Part Title"/>
    <w:basedOn w:val="Normal"/>
    <w:next w:val="Normal"/>
    <w:pPr>
      <w:spacing w:before="1080" w:line="240" w:lineRule="auto"/>
    </w:pPr>
    <w:rPr>
      <w:rFonts w:ascii="Georgia" w:hAnsi="Georgia"/>
      <w:color w:val="333399"/>
      <w:sz w:val="40"/>
    </w:rPr>
  </w:style>
  <w:style w:type="paragraph" w:customStyle="1" w:styleId="PartSubtitle">
    <w:name w:val="Part Subtitle"/>
    <w:basedOn w:val="Normal"/>
    <w:next w:val="Normal"/>
    <w:pPr>
      <w:spacing w:line="240" w:lineRule="auto"/>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pPr>
    <w:rPr>
      <w:rFonts w:ascii="Century Gothic" w:hAnsi="Century Gothic"/>
      <w:caps/>
      <w:color w:val="333399"/>
      <w:sz w:val="32"/>
    </w:rPr>
  </w:style>
  <w:style w:type="character" w:styleId="FootnoteReference">
    <w:name w:val="footnote reference"/>
    <w:uiPriority w:val="99"/>
    <w:rPr>
      <w:rFonts w:asciiTheme="minorHAnsi" w:eastAsiaTheme="minorHAnsi" w:hAnsiTheme="minorHAnsi" w:cstheme="minorBidi"/>
      <w:sz w:val="22"/>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line="240" w:lineRule="auto"/>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pPr>
  </w:style>
  <w:style w:type="paragraph" w:customStyle="1" w:styleId="DefaultTable">
    <w:name w:val="Default Table"/>
    <w:basedOn w:val="Normal"/>
    <w:next w:val="Normal"/>
    <w:pPr>
      <w:spacing w:after="0" w:line="240" w:lineRule="auto"/>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semiHidden/>
    <w:unhideWhenUsed/>
    <w:pPr>
      <w:tabs>
        <w:tab w:val="left" w:pos="482"/>
        <w:tab w:val="right" w:pos="8504"/>
      </w:tabs>
      <w:spacing w:before="240" w:after="120"/>
      <w:ind w:left="482" w:right="425" w:hanging="482"/>
    </w:pPr>
    <w:rPr>
      <w:color w:val="333399"/>
    </w:rPr>
  </w:style>
  <w:style w:type="paragraph" w:styleId="TOC2">
    <w:name w:val="toc 2"/>
    <w:basedOn w:val="Normal"/>
    <w:next w:val="Normal"/>
    <w:autoRedefine/>
    <w:semiHidden/>
    <w:unhideWhenUsed/>
    <w:pPr>
      <w:tabs>
        <w:tab w:val="left" w:pos="482"/>
        <w:tab w:val="right" w:pos="8504"/>
      </w:tabs>
      <w:spacing w:after="100"/>
      <w:ind w:left="482" w:right="425" w:hanging="482"/>
    </w:pPr>
    <w:rPr>
      <w:color w:val="333399"/>
    </w:rPr>
  </w:style>
  <w:style w:type="paragraph" w:styleId="TOC3">
    <w:name w:val="toc 3"/>
    <w:basedOn w:val="Normal"/>
    <w:next w:val="Normal"/>
    <w:autoRedefine/>
    <w:semiHidden/>
    <w:unhideWhenUsed/>
    <w:pPr>
      <w:tabs>
        <w:tab w:val="left" w:pos="964"/>
        <w:tab w:val="right" w:pos="8504"/>
      </w:tabs>
      <w:spacing w:after="100"/>
      <w:ind w:left="964" w:right="425" w:hanging="482"/>
    </w:pPr>
    <w:rPr>
      <w:caps/>
      <w:color w:val="333399"/>
      <w:sz w:val="16"/>
    </w:rPr>
  </w:style>
  <w:style w:type="paragraph" w:styleId="TOC4">
    <w:name w:val="toc 4"/>
    <w:basedOn w:val="Normal"/>
    <w:next w:val="Normal"/>
    <w:autoRedefine/>
    <w:semiHidden/>
    <w:unhideWhenUsed/>
    <w:pPr>
      <w:tabs>
        <w:tab w:val="left" w:pos="1644"/>
        <w:tab w:val="right" w:pos="8504"/>
      </w:tabs>
      <w:spacing w:after="0"/>
      <w:ind w:left="1531" w:right="425" w:hanging="567"/>
    </w:pPr>
    <w:rPr>
      <w:rFonts w:ascii="Century Gothic" w:hAnsi="Century Gothic"/>
      <w:color w:val="333399"/>
      <w:sz w:val="16"/>
    </w:rPr>
  </w:style>
  <w:style w:type="paragraph" w:styleId="TOC5">
    <w:name w:val="toc 5"/>
    <w:basedOn w:val="Normal"/>
    <w:next w:val="Normal"/>
    <w:autoRedefine/>
    <w:semiHidden/>
    <w:unhideWhenUsed/>
    <w:pPr>
      <w:tabs>
        <w:tab w:val="left" w:pos="964"/>
        <w:tab w:val="right" w:pos="8504"/>
      </w:tabs>
      <w:spacing w:after="100"/>
      <w:ind w:left="964" w:right="425" w:hanging="482"/>
    </w:pPr>
    <w:rPr>
      <w:color w:val="333399"/>
      <w:sz w:val="16"/>
    </w:rPr>
  </w:style>
  <w:style w:type="paragraph" w:styleId="TOC6">
    <w:name w:val="toc 6"/>
    <w:basedOn w:val="Normal"/>
    <w:next w:val="Normal"/>
    <w:autoRedefine/>
    <w:semiHidden/>
    <w:unhideWhenUsed/>
    <w:pPr>
      <w:tabs>
        <w:tab w:val="right" w:pos="8504"/>
      </w:tabs>
      <w:spacing w:after="100"/>
      <w:ind w:right="425"/>
    </w:pPr>
    <w:rPr>
      <w:color w:val="333399"/>
    </w:rPr>
  </w:style>
  <w:style w:type="paragraph" w:styleId="TOC7">
    <w:name w:val="toc 7"/>
    <w:basedOn w:val="Normal"/>
    <w:next w:val="Normal"/>
    <w:autoRedefine/>
    <w:semiHidden/>
    <w:unhideWhenUsed/>
    <w:pPr>
      <w:tabs>
        <w:tab w:val="right" w:pos="8504"/>
      </w:tabs>
      <w:spacing w:after="100"/>
      <w:ind w:right="425"/>
    </w:pPr>
    <w:rPr>
      <w:color w:val="333399"/>
      <w:sz w:val="24"/>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after="240" w:line="240" w:lineRule="auto"/>
      <w:jc w:val="both"/>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semiHidden/>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color w:val="000000"/>
      <w:sz w:val="20"/>
      <w:szCs w:val="20"/>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customStyle="1" w:styleId="TableGrid18">
    <w:name w:val="Table Grid18"/>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0227">
      <w:bodyDiv w:val="1"/>
      <w:marLeft w:val="0"/>
      <w:marRight w:val="0"/>
      <w:marTop w:val="0"/>
      <w:marBottom w:val="0"/>
      <w:divBdr>
        <w:top w:val="none" w:sz="0" w:space="0" w:color="auto"/>
        <w:left w:val="none" w:sz="0" w:space="0" w:color="auto"/>
        <w:bottom w:val="none" w:sz="0" w:space="0" w:color="auto"/>
        <w:right w:val="none" w:sz="0" w:space="0" w:color="auto"/>
      </w:divBdr>
    </w:div>
    <w:div w:id="1273440970">
      <w:bodyDiv w:val="1"/>
      <w:marLeft w:val="0"/>
      <w:marRight w:val="0"/>
      <w:marTop w:val="0"/>
      <w:marBottom w:val="0"/>
      <w:divBdr>
        <w:top w:val="none" w:sz="0" w:space="0" w:color="auto"/>
        <w:left w:val="none" w:sz="0" w:space="0" w:color="auto"/>
        <w:bottom w:val="none" w:sz="0" w:space="0" w:color="auto"/>
        <w:right w:val="none" w:sz="0" w:space="0" w:color="auto"/>
      </w:divBdr>
    </w:div>
    <w:div w:id="1321278181">
      <w:bodyDiv w:val="1"/>
      <w:marLeft w:val="0"/>
      <w:marRight w:val="0"/>
      <w:marTop w:val="0"/>
      <w:marBottom w:val="0"/>
      <w:divBdr>
        <w:top w:val="none" w:sz="0" w:space="0" w:color="auto"/>
        <w:left w:val="none" w:sz="0" w:space="0" w:color="auto"/>
        <w:bottom w:val="none" w:sz="0" w:space="0" w:color="auto"/>
        <w:right w:val="none" w:sz="0" w:space="0" w:color="auto"/>
      </w:divBdr>
    </w:div>
    <w:div w:id="1885017934">
      <w:bodyDiv w:val="1"/>
      <w:marLeft w:val="0"/>
      <w:marRight w:val="0"/>
      <w:marTop w:val="0"/>
      <w:marBottom w:val="0"/>
      <w:divBdr>
        <w:top w:val="none" w:sz="0" w:space="0" w:color="auto"/>
        <w:left w:val="none" w:sz="0" w:space="0" w:color="auto"/>
        <w:bottom w:val="none" w:sz="0" w:space="0" w:color="auto"/>
        <w:right w:val="none" w:sz="0" w:space="0" w:color="auto"/>
      </w:divBdr>
    </w:div>
    <w:div w:id="190614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EC_Collab_Status xmlns="$ListId:Shared Documents;">Not Started</EC_Collab_Status><EC_Collab_Reference xmlns="$ListId:Shared Documents;" xsi:nil="true"></EC_Collab_Reference><EC_Collab_DocumentLanguage xmlns="$ListId:Shared Documents;">EN</EC_Collab_DocumentLanguage><EC_ARES_NUMBER xmlns="37c275fd-9572-4d80-bb3f-e0295c71b8c9"><Url xsi:nil="true"></Url><Description xsi:nil="true"></Description></EC_ARES_NUMBER><EC_ARES_DATE_TRANSFERRED xmlns="37c275fd-9572-4d80-bb3f-e0295c71b8c9" xsi:nil="true"/><EC_ARES_TRANSFERRED_BY xmlns="37c275fd-9572-4d80-bb3f-e0295c71b8c9" xsi:nil="true"/></documentManagement></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EDEBE90-B36E-4951-B5A3-F4F27515E67D}">
  <ds:schemaRefs>
    <ds:schemaRef ds:uri="http://schemas.microsoft.com/sharepoint/v3/contenttype/forms"/>
  </ds:schemaRefs>
</ds:datastoreItem>
</file>

<file path=customXml/itemProps2.xml><?xml version="1.0" encoding="utf-8"?>
<ds:datastoreItem xmlns:ds="http://schemas.openxmlformats.org/officeDocument/2006/customXml" ds:itemID="{FF2EE47A-97DD-457C-9AAE-AE454058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B3907-2882-481F-AC5A-0395DA270EBF}">
  <ds:schemaRefs>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37c275fd-9572-4d80-bb3f-e0295c71b8c9"/>
    <ds:schemaRef ds:uri="$ListId:Shared Documents;"/>
  </ds:schemaRefs>
</ds:datastoreItem>
</file>

<file path=customXml/itemProps4.xml><?xml version="1.0" encoding="utf-8"?>
<ds:datastoreItem xmlns:ds="http://schemas.openxmlformats.org/officeDocument/2006/customXml" ds:itemID="{2D265323-A45C-4D77-B503-DF62901F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6820</Words>
  <Characters>40444</Characters>
  <Application>Microsoft Office Word</Application>
  <DocSecurity>0</DocSecurity>
  <Lines>652</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2019-04-05T11:42:00Z</dcterms:created>
  <dcterms:modified xsi:type="dcterms:W3CDTF">2019-04-07T16:03:00Z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0x010100258AA79CEB83498886A3A08681123250006FCFE00C5D85F84383A4CB18CE3724D2</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ies>
</file>