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40B" w:rsidRDefault="009A6B73">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11CFC24-EB74-46A4-9C52-56C186AC3FFB" style="width:450.75pt;height:361.5pt">
            <v:imagedata r:id="rId8" o:title=""/>
          </v:shape>
        </w:pict>
      </w:r>
    </w:p>
    <w:bookmarkEnd w:id="0"/>
    <w:p w:rsidR="00B0540B" w:rsidRDefault="00B0540B">
      <w:pPr>
        <w:rPr>
          <w:noProof/>
        </w:rPr>
        <w:sectPr w:rsidR="00B0540B">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B0540B" w:rsidRDefault="00B0540B">
      <w:pPr>
        <w:rPr>
          <w:rFonts w:ascii="Times New Roman" w:hAnsi="Times New Roman" w:cs="Times New Roman"/>
          <w:noProof/>
        </w:rPr>
      </w:pPr>
    </w:p>
    <w:p w:rsidR="00B0540B" w:rsidRDefault="009A6B73">
      <w:pPr>
        <w:pStyle w:val="ListParagraph"/>
        <w:numPr>
          <w:ilvl w:val="0"/>
          <w:numId w:val="8"/>
        </w:numPr>
        <w:rPr>
          <w:rFonts w:ascii="Times New Roman" w:eastAsia="Times New Roman" w:hAnsi="Times New Roman" w:cs="Times New Roman"/>
          <w:noProof/>
          <w:sz w:val="24"/>
          <w:szCs w:val="24"/>
          <w:lang w:val="fr-BE"/>
        </w:rPr>
      </w:pPr>
      <w:r>
        <w:rPr>
          <w:rFonts w:ascii="Times New Roman" w:hAnsi="Times New Roman"/>
          <w:b/>
          <w:noProof/>
          <w:sz w:val="24"/>
          <w:lang w:val="fr-BE"/>
        </w:rPr>
        <w:t>RAISONS POUR LESQUELLES L’EUROPE DOIT ADOPTER UNE APPROCHE STRATÉGIQUE EN CE QUI CONCERNE LES BATTERIES</w:t>
      </w:r>
    </w:p>
    <w:p w:rsidR="00B0540B" w:rsidRDefault="009A6B73">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Sous l’effet de la transition actuelle vers</w:t>
      </w:r>
      <w:r>
        <w:rPr>
          <w:rFonts w:ascii="Times New Roman" w:hAnsi="Times New Roman"/>
          <w:noProof/>
          <w:sz w:val="24"/>
          <w:lang w:val="fr-BE"/>
        </w:rPr>
        <w:t xml:space="preserve"> une énergie propre, la demande de batteries devrait augmenter très rapidement au cours des prochaines années, donnant ainsi à ce marché une importance stratégique croissante au niveau mondial. Selon certaines sources, le potentiel du marché européen pourr</w:t>
      </w:r>
      <w:r>
        <w:rPr>
          <w:rFonts w:ascii="Times New Roman" w:hAnsi="Times New Roman"/>
          <w:noProof/>
          <w:sz w:val="24"/>
          <w:lang w:val="fr-BE"/>
        </w:rPr>
        <w:t>ait s’élever jusqu'à 250 000 000 000 EUR chaque année à partir de 2025</w:t>
      </w:r>
      <w:r>
        <w:rPr>
          <w:rStyle w:val="FootnoteReference"/>
          <w:rFonts w:ascii="Times New Roman" w:hAnsi="Times New Roman"/>
          <w:noProof/>
          <w:sz w:val="24"/>
        </w:rPr>
        <w:footnoteReference w:id="2"/>
      </w:r>
      <w:r>
        <w:rPr>
          <w:noProof/>
          <w:lang w:val="fr-BE"/>
        </w:rPr>
        <w:t>.</w:t>
      </w:r>
      <w:r>
        <w:rPr>
          <w:rFonts w:ascii="Times New Roman" w:hAnsi="Times New Roman"/>
          <w:noProof/>
          <w:sz w:val="24"/>
          <w:lang w:val="fr-BE"/>
        </w:rPr>
        <w:t xml:space="preserve"> Cette tendance est encore renforcée par la mise sur pied d’un cadre législatif et de gouvernance approfondi pour l’union de l’énergie, qui a été adopté avec succès par la Commission a</w:t>
      </w:r>
      <w:r>
        <w:rPr>
          <w:rFonts w:ascii="Times New Roman" w:hAnsi="Times New Roman"/>
          <w:noProof/>
          <w:sz w:val="24"/>
          <w:lang w:val="fr-BE"/>
        </w:rPr>
        <w:t>ctuelle afin d’accélérer la transition vers une économie européenne à la fois durable, sûre et compétitive.</w:t>
      </w:r>
    </w:p>
    <w:p w:rsidR="00B0540B" w:rsidRDefault="009A6B73">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Les batteries constituent donc aux yeux de la Commission une chaîne de valeur stratégique, dans laquelle l’Union européenne doit dynamiser l’investi</w:t>
      </w:r>
      <w:r>
        <w:rPr>
          <w:rFonts w:ascii="Times New Roman" w:hAnsi="Times New Roman"/>
          <w:noProof/>
          <w:sz w:val="24"/>
          <w:lang w:val="fr-BE"/>
        </w:rPr>
        <w:t>ssement et l’innovation dans le cadre d’une stratégie de politique industrielle renforcée visant à créer une base industrielle intégrée, durable et compétitive à l’échelle mondiale</w:t>
      </w:r>
      <w:r>
        <w:rPr>
          <w:rStyle w:val="FootnoteReference"/>
          <w:rFonts w:ascii="Times New Roman" w:hAnsi="Times New Roman"/>
          <w:noProof/>
          <w:sz w:val="24"/>
        </w:rPr>
        <w:footnoteReference w:id="3"/>
      </w:r>
      <w:r>
        <w:rPr>
          <w:noProof/>
          <w:lang w:val="fr-BE"/>
        </w:rPr>
        <w:t>.</w:t>
      </w:r>
    </w:p>
    <w:p w:rsidR="00B0540B" w:rsidRDefault="009A6B73">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Dans sa vision à long terme pour une économie neutre pour le climat d’ici</w:t>
      </w:r>
      <w:r>
        <w:rPr>
          <w:rFonts w:ascii="Times New Roman" w:hAnsi="Times New Roman"/>
          <w:noProof/>
          <w:sz w:val="24"/>
          <w:lang w:val="fr-BE"/>
        </w:rPr>
        <w:t xml:space="preserve"> à 2050 – «Une planète propre pour tous», la Commission explique comment l’Europe peut montrer la voie à suivre pour atteindre la neutralité climatique, en apportant une base de travail solide en vue d'arriver à une économie neutre pour le climat à la fois</w:t>
      </w:r>
      <w:r>
        <w:rPr>
          <w:rFonts w:ascii="Times New Roman" w:hAnsi="Times New Roman"/>
          <w:noProof/>
          <w:sz w:val="24"/>
          <w:lang w:val="fr-BE"/>
        </w:rPr>
        <w:t xml:space="preserve"> moderne et prospère d’ici à 2050</w:t>
      </w:r>
      <w:r>
        <w:rPr>
          <w:rStyle w:val="FootnoteReference"/>
          <w:rFonts w:ascii="Times New Roman" w:hAnsi="Times New Roman"/>
          <w:noProof/>
          <w:sz w:val="24"/>
        </w:rPr>
        <w:footnoteReference w:id="4"/>
      </w:r>
      <w:r>
        <w:rPr>
          <w:rFonts w:ascii="Times New Roman" w:hAnsi="Times New Roman"/>
          <w:noProof/>
          <w:sz w:val="24"/>
          <w:lang w:val="fr-BE"/>
        </w:rPr>
        <w:t>. Il en ressort clairement que l’électrification est appelée à devenir l’un des principaux canaux technologiques empruntés pour parvenir à la neutralité carbone</w:t>
      </w:r>
      <w:r>
        <w:rPr>
          <w:rStyle w:val="FootnoteReference"/>
          <w:rFonts w:ascii="Times New Roman" w:hAnsi="Times New Roman"/>
          <w:noProof/>
          <w:sz w:val="24"/>
        </w:rPr>
        <w:footnoteReference w:id="5"/>
      </w:r>
      <w:r>
        <w:rPr>
          <w:rFonts w:ascii="Times New Roman" w:hAnsi="Times New Roman"/>
          <w:noProof/>
          <w:sz w:val="24"/>
          <w:lang w:val="fr-BE"/>
        </w:rPr>
        <w:t>. Les batteries seront l’un des grands vecteurs de cette tran</w:t>
      </w:r>
      <w:r>
        <w:rPr>
          <w:rFonts w:ascii="Times New Roman" w:hAnsi="Times New Roman"/>
          <w:noProof/>
          <w:sz w:val="24"/>
          <w:lang w:val="fr-BE"/>
        </w:rPr>
        <w:t>sition, compte tenu du rôle important qu’elles jouent dans la stabilisation du réseau électrique et dans le déploiement de la mobilité propre</w:t>
      </w:r>
      <w:r>
        <w:rPr>
          <w:rStyle w:val="FootnoteReference"/>
          <w:rFonts w:ascii="Times New Roman" w:hAnsi="Times New Roman"/>
          <w:noProof/>
          <w:sz w:val="24"/>
        </w:rPr>
        <w:footnoteReference w:id="6"/>
      </w:r>
      <w:r>
        <w:rPr>
          <w:rFonts w:ascii="Times New Roman" w:hAnsi="Times New Roman"/>
          <w:noProof/>
          <w:sz w:val="24"/>
          <w:lang w:val="fr-BE"/>
        </w:rPr>
        <w:t>.</w:t>
      </w:r>
    </w:p>
    <w:p w:rsidR="00B0540B" w:rsidRDefault="009A6B73">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Les batteries offrent une occasion très concrète de mettre à profit cette profonde transformation pour créer des</w:t>
      </w:r>
      <w:r>
        <w:rPr>
          <w:rFonts w:ascii="Times New Roman" w:hAnsi="Times New Roman"/>
          <w:noProof/>
          <w:sz w:val="24"/>
          <w:lang w:val="fr-BE"/>
        </w:rPr>
        <w:t xml:space="preserve"> emplois à haute valeur ajoutée et pour accroître la production économique. Elles peuvent devenir un moteur essentiel de la compétitivité et de la primauté industrielles de l’UE, notamment pour le secteur automobile européen.  </w:t>
      </w:r>
    </w:p>
    <w:p w:rsidR="00B0540B" w:rsidRDefault="009A6B73">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Des investissements considér</w:t>
      </w:r>
      <w:r>
        <w:rPr>
          <w:rFonts w:ascii="Times New Roman" w:hAnsi="Times New Roman"/>
          <w:noProof/>
          <w:sz w:val="24"/>
          <w:lang w:val="fr-BE"/>
        </w:rPr>
        <w:t>ables sont nécessaires à cet effet.</w:t>
      </w:r>
      <w:r>
        <w:rPr>
          <w:noProof/>
          <w:lang w:val="fr-BE"/>
        </w:rPr>
        <w:t xml:space="preserve"> </w:t>
      </w:r>
      <w:r>
        <w:rPr>
          <w:rFonts w:ascii="Times New Roman" w:hAnsi="Times New Roman"/>
          <w:noProof/>
          <w:sz w:val="24"/>
          <w:lang w:val="fr-BE"/>
        </w:rPr>
        <w:t>D’après les estimations, de 20 à 30 usines géantes devront être construites en Europe rien que pour la production de cellules de batterie et leur écosystème devra être considérablement renforcé</w:t>
      </w:r>
      <w:r>
        <w:rPr>
          <w:rStyle w:val="FootnoteReference"/>
          <w:rFonts w:ascii="Times New Roman" w:hAnsi="Times New Roman"/>
          <w:noProof/>
          <w:sz w:val="24"/>
        </w:rPr>
        <w:footnoteReference w:id="7"/>
      </w:r>
      <w:r>
        <w:rPr>
          <w:noProof/>
          <w:lang w:val="fr-BE"/>
        </w:rPr>
        <w:t>.</w:t>
      </w:r>
      <w:r>
        <w:rPr>
          <w:rFonts w:ascii="Times New Roman" w:hAnsi="Times New Roman"/>
          <w:noProof/>
          <w:sz w:val="24"/>
          <w:lang w:val="fr-BE"/>
        </w:rPr>
        <w:t xml:space="preserve"> Compte tenu de l’ampleur</w:t>
      </w:r>
      <w:r>
        <w:rPr>
          <w:rFonts w:ascii="Times New Roman" w:hAnsi="Times New Roman"/>
          <w:noProof/>
          <w:sz w:val="24"/>
          <w:lang w:val="fr-BE"/>
        </w:rPr>
        <w:t xml:space="preserve"> et du rythme des investissements nécessaires, la mobilisation rapide d’investissements privés sera un facteur de réussite fondamental.</w:t>
      </w:r>
    </w:p>
    <w:p w:rsidR="00B0540B" w:rsidRDefault="009A6B73">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lastRenderedPageBreak/>
        <w:t xml:space="preserve">Aujourd’hui, la part européenne dans la fabrication mondiale de cellules n’est que de 3 % alors que celle de l’Asie est </w:t>
      </w:r>
      <w:r>
        <w:rPr>
          <w:rFonts w:ascii="Times New Roman" w:hAnsi="Times New Roman"/>
          <w:noProof/>
          <w:sz w:val="24"/>
          <w:lang w:val="fr-BE"/>
        </w:rPr>
        <w:t>de 85 %</w:t>
      </w:r>
      <w:r>
        <w:rPr>
          <w:rStyle w:val="FootnoteReference"/>
          <w:rFonts w:ascii="Times New Roman" w:hAnsi="Times New Roman"/>
          <w:noProof/>
          <w:sz w:val="24"/>
        </w:rPr>
        <w:footnoteReference w:id="8"/>
      </w:r>
      <w:r>
        <w:rPr>
          <w:rFonts w:ascii="Times New Roman" w:hAnsi="Times New Roman"/>
          <w:noProof/>
          <w:sz w:val="24"/>
          <w:lang w:val="fr-BE"/>
        </w:rPr>
        <w:t>. Si rien n’est fait pour soutenir la création d’un secteur viable de la fabrication de batteries, l’Europe risque de perdre irrémédiablement du terrain face à ses concurrents sur le marché mondial des batteries et de de devenir tributaire des impo</w:t>
      </w:r>
      <w:r>
        <w:rPr>
          <w:rFonts w:ascii="Times New Roman" w:hAnsi="Times New Roman"/>
          <w:noProof/>
          <w:sz w:val="24"/>
          <w:lang w:val="fr-BE"/>
        </w:rPr>
        <w:t>rtations de cellules de batterie et de matières premières utilisées dans la chaîne d’approvisionnement.</w:t>
      </w:r>
    </w:p>
    <w:p w:rsidR="00B0540B" w:rsidRDefault="009A6B73">
      <w:pPr>
        <w:spacing w:after="24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Pour prévenir toute dépendance technologique vis-à-vis de nos concurrents et pour tirer profit du potentiel que représentent les batteries en termes d’e</w:t>
      </w:r>
      <w:r>
        <w:rPr>
          <w:rFonts w:ascii="Times New Roman" w:hAnsi="Times New Roman"/>
          <w:noProof/>
          <w:sz w:val="24"/>
          <w:lang w:val="fr-BE"/>
        </w:rPr>
        <w:t>mploi, de croissance et d’investissement, l’Europe doit faire preuve de célérité dans la course mondiale afin de consolider sa primauté technologique et industrielle à tous les maillons de la chaîne de valeur. La Commission collabore avec nombre d’États me</w:t>
      </w:r>
      <w:r>
        <w:rPr>
          <w:rFonts w:ascii="Times New Roman" w:hAnsi="Times New Roman"/>
          <w:noProof/>
          <w:sz w:val="24"/>
          <w:lang w:val="fr-BE"/>
        </w:rPr>
        <w:t xml:space="preserve">mbres et acteurs industriels importants pour constituer un écosystème compétitif, durable et innovant dans le secteur des batteries en Europe, qui couvre toute la chaîne de valeur. </w:t>
      </w:r>
    </w:p>
    <w:p w:rsidR="00B0540B" w:rsidRDefault="009A6B73">
      <w:pPr>
        <w:spacing w:after="24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Tel est le principal objectif poursuivi par l’alliance européenne pour les</w:t>
      </w:r>
      <w:r>
        <w:rPr>
          <w:rFonts w:ascii="Times New Roman" w:hAnsi="Times New Roman"/>
          <w:noProof/>
          <w:sz w:val="24"/>
          <w:lang w:val="fr-BE"/>
        </w:rPr>
        <w:t xml:space="preserve"> batteries (AEB), une initiative dont l’industrie est à l’origine et qui a été lancée par la Commission en octobre 2017 pour soutenir la mise à niveau de solutions innovantes et la capacité de fabrication en Europe. L’AEB contribue à renforcer la coopérati</w:t>
      </w:r>
      <w:r>
        <w:rPr>
          <w:rFonts w:ascii="Times New Roman" w:hAnsi="Times New Roman"/>
          <w:noProof/>
          <w:sz w:val="24"/>
          <w:lang w:val="fr-BE"/>
        </w:rPr>
        <w:t>on entre les industries et tout au long de la chaîne de valeur et elle bénéficie du soutien tant de l’Union européenne que de ses États membres</w:t>
      </w:r>
      <w:r>
        <w:rPr>
          <w:rStyle w:val="FootnoteReference"/>
          <w:rFonts w:ascii="Times New Roman" w:hAnsi="Times New Roman"/>
          <w:noProof/>
          <w:sz w:val="24"/>
        </w:rPr>
        <w:footnoteReference w:id="9"/>
      </w:r>
      <w:r>
        <w:rPr>
          <w:rFonts w:ascii="Times New Roman" w:hAnsi="Times New Roman"/>
          <w:noProof/>
          <w:sz w:val="24"/>
          <w:lang w:val="fr-BE"/>
        </w:rPr>
        <w:t xml:space="preserve">.   </w:t>
      </w:r>
    </w:p>
    <w:p w:rsidR="00B0540B" w:rsidRDefault="009A6B73">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Cette approche pourrait inspirer l'action de l'UE dans d’autres secteurs stratégiques et lui permettre de c</w:t>
      </w:r>
      <w:r>
        <w:rPr>
          <w:rFonts w:ascii="Times New Roman" w:hAnsi="Times New Roman"/>
          <w:noProof/>
          <w:sz w:val="24"/>
          <w:lang w:val="fr-BE"/>
        </w:rPr>
        <w:t>ontinuer à tirer parti collectivement des atouts dont jouit l’Europe dans le domaine industriel et de l'innovation pour combler les lacunes de sa chaîne de valeur.</w:t>
      </w:r>
    </w:p>
    <w:p w:rsidR="00B0540B" w:rsidRDefault="009A6B73">
      <w:pPr>
        <w:spacing w:after="24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Dans ce contexte, en mai 2018, la Commission a adopté le plan d’action stratégique sur les b</w:t>
      </w:r>
      <w:r>
        <w:rPr>
          <w:rFonts w:ascii="Times New Roman" w:hAnsi="Times New Roman"/>
          <w:noProof/>
          <w:sz w:val="24"/>
          <w:lang w:val="fr-BE"/>
        </w:rPr>
        <w:t>atteries dans le cadre du troisième train de mesures sur la mobilité intitulé «L’Europe en mouvement»</w:t>
      </w:r>
      <w:r>
        <w:rPr>
          <w:rStyle w:val="FootnoteReference"/>
          <w:rFonts w:ascii="Times New Roman" w:hAnsi="Times New Roman"/>
          <w:noProof/>
          <w:sz w:val="24"/>
        </w:rPr>
        <w:footnoteReference w:id="10"/>
      </w:r>
      <w:r>
        <w:rPr>
          <w:rFonts w:ascii="Times New Roman" w:hAnsi="Times New Roman"/>
          <w:noProof/>
          <w:sz w:val="24"/>
          <w:lang w:val="fr-BE"/>
        </w:rPr>
        <w:t>. Il a permis de constituer une panoplie de mesures permettant de soutenir les efforts nationaux, régionaux et industriels visant à créer une chaîne de va</w:t>
      </w:r>
      <w:r>
        <w:rPr>
          <w:rFonts w:ascii="Times New Roman" w:hAnsi="Times New Roman"/>
          <w:noProof/>
          <w:sz w:val="24"/>
          <w:lang w:val="fr-BE"/>
        </w:rPr>
        <w:t>leur des batteries en Europe et couvrant l’extraction, la fourniture et la transformation de matières premières, les matériaux pour batteries, la production de cellules, les systèmes de batterie ainsi que la réutilisation et le recyclage.</w:t>
      </w:r>
    </w:p>
    <w:p w:rsidR="00B0540B" w:rsidRDefault="009A6B73">
      <w:pPr>
        <w:spacing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Moins d'un an apr</w:t>
      </w:r>
      <w:r>
        <w:rPr>
          <w:rFonts w:ascii="Times New Roman" w:hAnsi="Times New Roman"/>
          <w:noProof/>
          <w:sz w:val="24"/>
          <w:lang w:val="fr-BE"/>
        </w:rPr>
        <w:t>ès son adoption, les actions clés énoncées dans le plan d’action stratégique ont connu des progrès importants et l’industrie a annoncé plusieurs investissements d’envergure. Le présent rapport dresse l’état des lieux des principales actions entreprises à c</w:t>
      </w:r>
      <w:r>
        <w:rPr>
          <w:rFonts w:ascii="Times New Roman" w:hAnsi="Times New Roman"/>
          <w:noProof/>
          <w:sz w:val="24"/>
          <w:lang w:val="fr-BE"/>
        </w:rPr>
        <w:t>e jour à tous les maillons de la chaîne de valeur des batteries et recense les difficultés qui attendent l'UE et les perspectives qui s’offrent à elle dans ce secteur stratégique afin de décarboner et de moderniser l’économie.</w:t>
      </w:r>
    </w:p>
    <w:p w:rsidR="00B0540B" w:rsidRDefault="009A6B73">
      <w:pPr>
        <w:spacing w:line="240" w:lineRule="auto"/>
        <w:jc w:val="both"/>
        <w:rPr>
          <w:rFonts w:ascii="Times New Roman" w:eastAsia="Times New Roman" w:hAnsi="Times New Roman" w:cs="Times New Roman"/>
          <w:b/>
          <w:noProof/>
          <w:sz w:val="24"/>
          <w:szCs w:val="24"/>
          <w:lang w:val="fr-BE"/>
        </w:rPr>
      </w:pPr>
      <w:r>
        <w:rPr>
          <w:rFonts w:ascii="Times New Roman" w:hAnsi="Times New Roman"/>
          <w:b/>
          <w:noProof/>
          <w:sz w:val="24"/>
          <w:lang w:val="fr-BE"/>
        </w:rPr>
        <w:t>L’évolution vers une mobilité</w:t>
      </w:r>
      <w:r>
        <w:rPr>
          <w:rFonts w:ascii="Times New Roman" w:hAnsi="Times New Roman"/>
          <w:b/>
          <w:noProof/>
          <w:sz w:val="24"/>
          <w:lang w:val="fr-BE"/>
        </w:rPr>
        <w:t xml:space="preserve"> propre accélérera la demande de véhicules électriques à batterie </w:t>
      </w:r>
    </w:p>
    <w:p w:rsidR="00B0540B" w:rsidRDefault="009A6B73">
      <w:pPr>
        <w:spacing w:line="240" w:lineRule="auto"/>
        <w:jc w:val="both"/>
        <w:rPr>
          <w:rFonts w:ascii="Times New Roman" w:eastAsia="Times New Roman" w:hAnsi="Times New Roman" w:cs="Times New Roman"/>
          <w:noProof/>
          <w:sz w:val="24"/>
          <w:szCs w:val="24"/>
        </w:rPr>
      </w:pPr>
      <w:r>
        <w:rPr>
          <w:rFonts w:ascii="Times New Roman" w:hAnsi="Times New Roman"/>
          <w:noProof/>
          <w:sz w:val="24"/>
          <w:lang w:val="fr-BE"/>
        </w:rPr>
        <w:t xml:space="preserve">Le transport en général et le secteur automobile en particulier seront les principaux moteurs de l’augmentation de la demande de cellules de batterie à moyen terme, comme c’est déjà le cas </w:t>
      </w:r>
      <w:r>
        <w:rPr>
          <w:rFonts w:ascii="Times New Roman" w:hAnsi="Times New Roman"/>
          <w:noProof/>
          <w:sz w:val="24"/>
          <w:lang w:val="fr-BE"/>
        </w:rPr>
        <w:t>aujourd’hui</w:t>
      </w:r>
      <w:r>
        <w:rPr>
          <w:rStyle w:val="FootnoteReference"/>
          <w:rFonts w:ascii="Times New Roman" w:hAnsi="Times New Roman"/>
          <w:noProof/>
          <w:sz w:val="24"/>
        </w:rPr>
        <w:footnoteReference w:id="11"/>
      </w:r>
      <w:r>
        <w:rPr>
          <w:rFonts w:ascii="Times New Roman" w:hAnsi="Times New Roman"/>
          <w:noProof/>
          <w:sz w:val="24"/>
          <w:lang w:val="fr-BE"/>
        </w:rPr>
        <w:t>. Cette dynamique sera essentielle pour réduire les coûts sur la base d’économies d’échelle significatives</w:t>
      </w:r>
      <w:r>
        <w:rPr>
          <w:rStyle w:val="FootnoteReference"/>
          <w:rFonts w:ascii="Times New Roman" w:hAnsi="Times New Roman"/>
          <w:noProof/>
          <w:sz w:val="24"/>
        </w:rPr>
        <w:footnoteReference w:id="12"/>
      </w:r>
      <w:r>
        <w:rPr>
          <w:rFonts w:ascii="Times New Roman" w:hAnsi="Times New Roman"/>
          <w:noProof/>
          <w:sz w:val="24"/>
          <w:lang w:val="fr-BE"/>
        </w:rPr>
        <w:t>. Il existe aujourd’hui dans le monde plus de 4 millions de véhicules électriques en circulation. Ils devraient être entre 50 et 200 mill</w:t>
      </w:r>
      <w:r>
        <w:rPr>
          <w:rFonts w:ascii="Times New Roman" w:hAnsi="Times New Roman"/>
          <w:noProof/>
          <w:sz w:val="24"/>
          <w:lang w:val="fr-BE"/>
        </w:rPr>
        <w:t>ions en 2028 et atteindre les 900 millions en 2040</w:t>
      </w:r>
      <w:r>
        <w:rPr>
          <w:rStyle w:val="FootnoteReference"/>
          <w:rFonts w:ascii="Times New Roman" w:hAnsi="Times New Roman"/>
          <w:noProof/>
          <w:sz w:val="24"/>
        </w:rPr>
        <w:footnoteReference w:id="13"/>
      </w:r>
      <w:r>
        <w:rPr>
          <w:rFonts w:ascii="Times New Roman" w:hAnsi="Times New Roman"/>
          <w:noProof/>
          <w:sz w:val="24"/>
          <w:lang w:val="fr-BE"/>
        </w:rPr>
        <w:t xml:space="preserve">. </w:t>
      </w:r>
      <w:r>
        <w:rPr>
          <w:rFonts w:ascii="Times New Roman" w:hAnsi="Times New Roman"/>
          <w:noProof/>
          <w:sz w:val="24"/>
        </w:rPr>
        <w:t>Les batteries représentent jusqu’à 40 % de la valeur d’une voiture</w:t>
      </w:r>
      <w:r>
        <w:rPr>
          <w:rStyle w:val="FootnoteReference"/>
          <w:rFonts w:ascii="Times New Roman" w:hAnsi="Times New Roman"/>
          <w:noProof/>
          <w:sz w:val="24"/>
        </w:rPr>
        <w:footnoteReference w:id="14"/>
      </w:r>
      <w:r>
        <w:rPr>
          <w:rFonts w:ascii="Times New Roman" w:hAnsi="Times New Roman"/>
          <w:noProof/>
          <w:sz w:val="24"/>
        </w:rPr>
        <w:t xml:space="preserve">. </w:t>
      </w:r>
    </w:p>
    <w:p w:rsidR="00B0540B" w:rsidRDefault="009A6B73">
      <w:pPr>
        <w:spacing w:line="240" w:lineRule="auto"/>
        <w:jc w:val="both"/>
        <w:rPr>
          <w:rFonts w:ascii="Times New Roman" w:eastAsia="Times New Roman" w:hAnsi="Times New Roman" w:cs="Times New Roman"/>
          <w:noProof/>
        </w:rPr>
      </w:pPr>
      <w:r>
        <w:rPr>
          <w:noProof/>
          <w:lang w:eastAsia="en-GB"/>
        </w:rPr>
        <w:drawing>
          <wp:inline distT="0" distB="0" distL="0" distR="0">
            <wp:extent cx="5762625" cy="2781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7944" b="6149"/>
                    <a:stretch/>
                  </pic:blipFill>
                  <pic:spPr bwMode="auto">
                    <a:xfrm>
                      <a:off x="0" y="0"/>
                      <a:ext cx="5760720" cy="2780381"/>
                    </a:xfrm>
                    <a:prstGeom prst="rect">
                      <a:avLst/>
                    </a:prstGeom>
                    <a:noFill/>
                    <a:ln>
                      <a:noFill/>
                    </a:ln>
                    <a:extLst>
                      <a:ext uri="{53640926-AAD7-44D8-BBD7-CCE9431645EC}">
                        <a14:shadowObscured xmlns:a14="http://schemas.microsoft.com/office/drawing/2010/main"/>
                      </a:ext>
                    </a:extLst>
                  </pic:spPr>
                </pic:pic>
              </a:graphicData>
            </a:graphic>
          </wp:inline>
        </w:drawing>
      </w:r>
    </w:p>
    <w:p w:rsidR="00B0540B" w:rsidRDefault="009A6B73">
      <w:pPr>
        <w:spacing w:line="240" w:lineRule="auto"/>
        <w:jc w:val="both"/>
        <w:rPr>
          <w:rFonts w:ascii="Times New Roman" w:eastAsia="Times New Roman" w:hAnsi="Times New Roman" w:cs="Times New Roman"/>
          <w:i/>
          <w:noProof/>
          <w:lang w:val="fr-BE"/>
        </w:rPr>
      </w:pPr>
      <w:r>
        <w:rPr>
          <w:rFonts w:ascii="Times New Roman" w:hAnsi="Times New Roman"/>
          <w:i/>
          <w:noProof/>
          <w:lang w:val="fr-BE"/>
        </w:rPr>
        <w:t>Offre et demande de batteries lithium-ion aujourd’hui et demain dans le monde et part européenne dans la fabrication. Source: JRC</w:t>
      </w:r>
    </w:p>
    <w:p w:rsidR="00B0540B" w:rsidRDefault="009A6B73">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Les initiatives législatives et les mesures d’habilitation prévues dans le cadre de la stratégie pour une mobilité à faible taux d’émissions de la Commission et des trois trains de mesures sur la mobilité intitulés «L’Europe en mouvement» auront une incide</w:t>
      </w:r>
      <w:r>
        <w:rPr>
          <w:rFonts w:ascii="Times New Roman" w:hAnsi="Times New Roman"/>
          <w:noProof/>
          <w:sz w:val="24"/>
          <w:lang w:val="fr-BE"/>
        </w:rPr>
        <w:t>nce tant sur l’offre que sur la demande de véhicules électriques et, partant, sur les batteries</w:t>
      </w:r>
      <w:r>
        <w:rPr>
          <w:rStyle w:val="FootnoteReference"/>
          <w:rFonts w:ascii="Times New Roman" w:hAnsi="Times New Roman"/>
          <w:noProof/>
          <w:sz w:val="24"/>
        </w:rPr>
        <w:footnoteReference w:id="15"/>
      </w:r>
      <w:r>
        <w:rPr>
          <w:rFonts w:ascii="Times New Roman" w:hAnsi="Times New Roman"/>
          <w:noProof/>
          <w:sz w:val="24"/>
          <w:lang w:val="fr-BE"/>
        </w:rPr>
        <w:t>. Il s’agit notamment du règlement adopté récemment sur les normes de performance en matière d’émissions de CO</w:t>
      </w:r>
      <w:r>
        <w:rPr>
          <w:rFonts w:ascii="Times New Roman" w:hAnsi="Times New Roman"/>
          <w:noProof/>
          <w:sz w:val="24"/>
          <w:vertAlign w:val="subscript"/>
          <w:lang w:val="fr-BE"/>
        </w:rPr>
        <w:t>2</w:t>
      </w:r>
      <w:r>
        <w:rPr>
          <w:rFonts w:ascii="Times New Roman" w:hAnsi="Times New Roman"/>
          <w:noProof/>
          <w:sz w:val="24"/>
          <w:lang w:val="fr-BE"/>
        </w:rPr>
        <w:t xml:space="preserve"> pour les voitures neuves</w:t>
      </w:r>
      <w:r>
        <w:rPr>
          <w:rStyle w:val="FootnoteReference"/>
          <w:noProof/>
        </w:rPr>
        <w:footnoteReference w:id="16"/>
      </w:r>
      <w:r>
        <w:rPr>
          <w:rFonts w:ascii="Times New Roman" w:hAnsi="Times New Roman"/>
          <w:noProof/>
          <w:sz w:val="24"/>
          <w:lang w:val="fr-BE"/>
        </w:rPr>
        <w:t xml:space="preserve"> et pour les nouveaux v</w:t>
      </w:r>
      <w:r>
        <w:rPr>
          <w:rFonts w:ascii="Times New Roman" w:hAnsi="Times New Roman"/>
          <w:noProof/>
          <w:sz w:val="24"/>
          <w:lang w:val="fr-BE"/>
        </w:rPr>
        <w:t>éhicules lourds</w:t>
      </w:r>
      <w:r>
        <w:rPr>
          <w:rStyle w:val="FootnoteReference"/>
          <w:rFonts w:ascii="Times New Roman" w:hAnsi="Times New Roman"/>
          <w:noProof/>
          <w:sz w:val="24"/>
        </w:rPr>
        <w:footnoteReference w:id="17"/>
      </w:r>
      <w:r>
        <w:rPr>
          <w:rFonts w:ascii="Times New Roman" w:hAnsi="Times New Roman"/>
          <w:noProof/>
          <w:sz w:val="24"/>
          <w:lang w:val="fr-BE"/>
        </w:rPr>
        <w:t>, et de la directive révisée sur les véhicules propres, qui fixe des objectifs en matière de marchés publics pour les parcs de véhicules à émission nulle ou à faibles émissions</w:t>
      </w:r>
      <w:r>
        <w:rPr>
          <w:rStyle w:val="FootnoteReference"/>
          <w:noProof/>
        </w:rPr>
        <w:footnoteReference w:id="18"/>
      </w:r>
      <w:r>
        <w:rPr>
          <w:rFonts w:ascii="Times New Roman" w:hAnsi="Times New Roman"/>
          <w:noProof/>
          <w:sz w:val="24"/>
          <w:lang w:val="fr-BE"/>
        </w:rPr>
        <w:t>. La crise liée aux émissions polluantes des véhicules et aux n</w:t>
      </w:r>
      <w:r>
        <w:rPr>
          <w:rFonts w:ascii="Times New Roman" w:hAnsi="Times New Roman"/>
          <w:noProof/>
          <w:sz w:val="24"/>
          <w:lang w:val="fr-BE"/>
        </w:rPr>
        <w:t>iveaux élevés de pollution atmosphérique dans certaines villes est un sujet de préoccupation général qui encourage la demande de véhicules plus propres (diminution importante de la demande de véhicules diesel)</w:t>
      </w:r>
      <w:r>
        <w:rPr>
          <w:rStyle w:val="FootnoteReference"/>
          <w:rFonts w:ascii="Times New Roman" w:hAnsi="Times New Roman"/>
          <w:noProof/>
          <w:sz w:val="24"/>
        </w:rPr>
        <w:footnoteReference w:id="19"/>
      </w:r>
      <w:r>
        <w:rPr>
          <w:rFonts w:ascii="Times New Roman" w:hAnsi="Times New Roman"/>
          <w:noProof/>
          <w:sz w:val="24"/>
          <w:lang w:val="fr-BE"/>
        </w:rPr>
        <w:t xml:space="preserve">. Les pouvoirs publics ont été incités à agir </w:t>
      </w:r>
      <w:r>
        <w:rPr>
          <w:rFonts w:ascii="Times New Roman" w:hAnsi="Times New Roman"/>
          <w:noProof/>
          <w:sz w:val="24"/>
          <w:lang w:val="fr-BE"/>
        </w:rPr>
        <w:t>(par ex. interdiction des ventes futures de véhicules avec moteur à combustion, limitations et interdictions des véhicules diesel dans les zones urbaines) et les constructeurs ont repensé leurs stratégies commerciales et en matière d’investissement (par ex</w:t>
      </w:r>
      <w:r>
        <w:rPr>
          <w:rFonts w:ascii="Times New Roman" w:hAnsi="Times New Roman"/>
          <w:noProof/>
          <w:sz w:val="24"/>
          <w:lang w:val="fr-BE"/>
        </w:rPr>
        <w:t>. abandon de la production de véhicules diesel au profit des véhicules hybrides, électriques et à pile à combustible).</w:t>
      </w:r>
      <w:r>
        <w:rPr>
          <w:noProof/>
          <w:lang w:val="fr-BE"/>
        </w:rPr>
        <w:t xml:space="preserve"> </w:t>
      </w:r>
      <w:r>
        <w:rPr>
          <w:rFonts w:ascii="Times New Roman" w:hAnsi="Times New Roman"/>
          <w:noProof/>
          <w:sz w:val="24"/>
          <w:lang w:val="fr-BE"/>
        </w:rPr>
        <w:t>La restructuration des tarifs et taxes de transport pour tenir compte des coûts d’infrastructures et des coûts externes, y compris l’appl</w:t>
      </w:r>
      <w:r>
        <w:rPr>
          <w:rFonts w:ascii="Times New Roman" w:hAnsi="Times New Roman"/>
          <w:noProof/>
          <w:sz w:val="24"/>
          <w:lang w:val="fr-BE"/>
        </w:rPr>
        <w:t>ication du principe du pollueur-payeur dans la taxation routière, orientera aussi la demande vers les véhicules à émissions faibles ou nulles</w:t>
      </w:r>
      <w:r>
        <w:rPr>
          <w:rStyle w:val="FootnoteReference"/>
          <w:rFonts w:ascii="Times New Roman" w:hAnsi="Times New Roman"/>
          <w:noProof/>
          <w:sz w:val="24"/>
        </w:rPr>
        <w:footnoteReference w:id="20"/>
      </w:r>
      <w:r>
        <w:rPr>
          <w:rFonts w:ascii="Times New Roman" w:hAnsi="Times New Roman"/>
          <w:noProof/>
          <w:sz w:val="24"/>
          <w:lang w:val="fr-BE"/>
        </w:rPr>
        <w:t>.</w:t>
      </w:r>
      <w:r>
        <w:rPr>
          <w:noProof/>
          <w:lang w:val="fr-BE"/>
        </w:rPr>
        <w:t xml:space="preserve"> </w:t>
      </w:r>
    </w:p>
    <w:p w:rsidR="00B0540B" w:rsidRDefault="009A6B73">
      <w:pPr>
        <w:spacing w:line="240" w:lineRule="auto"/>
        <w:jc w:val="both"/>
        <w:rPr>
          <w:rFonts w:ascii="Times New Roman" w:eastAsia="Times New Roman" w:hAnsi="Times New Roman" w:cs="Times New Roman"/>
          <w:b/>
          <w:noProof/>
          <w:sz w:val="24"/>
          <w:szCs w:val="24"/>
          <w:lang w:val="fr-BE"/>
        </w:rPr>
      </w:pPr>
      <w:r>
        <w:rPr>
          <w:rFonts w:ascii="Times New Roman" w:hAnsi="Times New Roman"/>
          <w:b/>
          <w:noProof/>
          <w:sz w:val="24"/>
          <w:lang w:val="fr-BE"/>
        </w:rPr>
        <w:t>Le stockage de l’énergie renouvelable sera un moteur essentiel de la demande de batteries</w:t>
      </w:r>
    </w:p>
    <w:p w:rsidR="00B0540B" w:rsidRDefault="009A6B73">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D’ici à 2050, la part</w:t>
      </w:r>
      <w:r>
        <w:rPr>
          <w:rFonts w:ascii="Times New Roman" w:hAnsi="Times New Roman"/>
          <w:noProof/>
          <w:sz w:val="24"/>
          <w:lang w:val="fr-BE"/>
        </w:rPr>
        <w:t xml:space="preserve"> de l’électricité dans la demande finale d’énergie va au moins doubler pour atteindre 53 %. En 2030, quelque 55 % de l’électricité consommée dans l’UE devrait être produite à partir de sources renouvelables (contre 29 % actuellement). D’ici à 2050, ce chif</w:t>
      </w:r>
      <w:r>
        <w:rPr>
          <w:rFonts w:ascii="Times New Roman" w:hAnsi="Times New Roman"/>
          <w:noProof/>
          <w:sz w:val="24"/>
          <w:lang w:val="fr-BE"/>
        </w:rPr>
        <w:t>fre devrait dépasser les 80 %</w:t>
      </w:r>
      <w:r>
        <w:rPr>
          <w:rStyle w:val="FootnoteReference"/>
          <w:rFonts w:ascii="Times New Roman" w:hAnsi="Times New Roman"/>
          <w:noProof/>
          <w:sz w:val="24"/>
        </w:rPr>
        <w:footnoteReference w:id="21"/>
      </w:r>
      <w:r>
        <w:rPr>
          <w:rFonts w:ascii="Times New Roman" w:hAnsi="Times New Roman"/>
          <w:noProof/>
          <w:sz w:val="24"/>
          <w:lang w:val="fr-BE"/>
        </w:rPr>
        <w:t>. Pour intégrer efficacement cette électricité renouvelable, l’ensemble des technologies de stockage de l’énergie devront être mises à contribution, dont l’accumulation hydraulique par pompage, les batteries et le stockage chi</w:t>
      </w:r>
      <w:r>
        <w:rPr>
          <w:rFonts w:ascii="Times New Roman" w:hAnsi="Times New Roman"/>
          <w:noProof/>
          <w:sz w:val="24"/>
          <w:lang w:val="fr-BE"/>
        </w:rPr>
        <w:t>mique (hydrogène). Les solutions seront choisies en fonction du lieu, de la capacité requise et des services à fournir.</w:t>
      </w:r>
    </w:p>
    <w:p w:rsidR="00B0540B" w:rsidRDefault="009A6B73">
      <w:pPr>
        <w:spacing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En donnant la possibilité de stocker temporairement l’électricité et de la réinjecter dans le réseau, les batteries peuvent aider la soc</w:t>
      </w:r>
      <w:r>
        <w:rPr>
          <w:rFonts w:ascii="Times New Roman" w:hAnsi="Times New Roman"/>
          <w:noProof/>
          <w:sz w:val="24"/>
          <w:lang w:val="fr-BE"/>
        </w:rPr>
        <w:t>iété à mieux utiliser des sources d’énergie renouvelables à la fois variables et décentralisées telles que les énergies éolienne et solaire. Les batteries permettront d’équilibrer le réseau électrique, en complétant la flexibilité également apportée par le</w:t>
      </w:r>
      <w:r>
        <w:rPr>
          <w:rFonts w:ascii="Times New Roman" w:hAnsi="Times New Roman"/>
          <w:noProof/>
          <w:sz w:val="24"/>
          <w:lang w:val="fr-BE"/>
        </w:rPr>
        <w:t>s interconnexions plus performantes, la participation active de la demande et d’autres technologies de stockage d’énergie. Les batteries utilisées pour équilibrer le réseau électrique peuvent être fixes ou mobiles (comme les batteries des véhicules électri</w:t>
      </w:r>
      <w:r>
        <w:rPr>
          <w:rFonts w:ascii="Times New Roman" w:hAnsi="Times New Roman"/>
          <w:noProof/>
          <w:sz w:val="24"/>
          <w:lang w:val="fr-BE"/>
        </w:rPr>
        <w:t>ques, à condition qu’elles soient bidirectionnelles</w:t>
      </w:r>
      <w:r>
        <w:rPr>
          <w:rStyle w:val="FootnoteReference"/>
          <w:rFonts w:ascii="Times New Roman" w:hAnsi="Times New Roman"/>
          <w:noProof/>
          <w:sz w:val="24"/>
        </w:rPr>
        <w:footnoteReference w:id="22"/>
      </w:r>
      <w:r>
        <w:rPr>
          <w:rFonts w:ascii="Times New Roman" w:hAnsi="Times New Roman"/>
          <w:noProof/>
          <w:sz w:val="24"/>
          <w:lang w:val="fr-BE"/>
        </w:rPr>
        <w:t>).</w:t>
      </w:r>
    </w:p>
    <w:p w:rsidR="00B0540B" w:rsidRDefault="009A6B73">
      <w:pPr>
        <w:spacing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L’essor que les sources d’énergie renouvelables connaissent au niveau mondial depuis dix ans a déjà entraîné des diminutions massives des coûts, notamment pour l’énergie solaire et l’énergie éolienne s</w:t>
      </w:r>
      <w:r>
        <w:rPr>
          <w:rFonts w:ascii="Times New Roman" w:hAnsi="Times New Roman"/>
          <w:noProof/>
          <w:sz w:val="24"/>
          <w:lang w:val="fr-BE"/>
        </w:rPr>
        <w:t xml:space="preserve">ur terre et en mer. Cela signifie, par exemple, que des millions de consommateurs de par le monde sont désormais en mesure de produire leur propre électricité (en grande partie grâce à des panneaux solaires sur le toit), de la stocker et de la revendre au </w:t>
      </w:r>
      <w:r>
        <w:rPr>
          <w:rFonts w:ascii="Times New Roman" w:hAnsi="Times New Roman"/>
          <w:noProof/>
          <w:sz w:val="24"/>
          <w:lang w:val="fr-BE"/>
        </w:rPr>
        <w:t xml:space="preserve">réseau. </w:t>
      </w:r>
    </w:p>
    <w:p w:rsidR="00B0540B" w:rsidRDefault="009A6B73">
      <w:pPr>
        <w:spacing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Le rôle et l’importance du stockage de l’énergie, et en particulier des technologies de stockage dans les batteries, sont appelés à se développer sensiblement. À moyen terme, les batteries fixes devraient représenter environ 10 % du marché des bat</w:t>
      </w:r>
      <w:r>
        <w:rPr>
          <w:rFonts w:ascii="Times New Roman" w:hAnsi="Times New Roman"/>
          <w:noProof/>
          <w:sz w:val="24"/>
          <w:lang w:val="fr-BE"/>
        </w:rPr>
        <w:t>teries, mais leur rôle ne fera que s’accroître. Dans la perspective de 2050, le stockage deviendra le principal moyen d’intégrer les sources renouvelables dans le système énergétique, au fur et à mesure que la production thermique diminuera et que la possi</w:t>
      </w:r>
      <w:r>
        <w:rPr>
          <w:rFonts w:ascii="Times New Roman" w:hAnsi="Times New Roman"/>
          <w:noProof/>
          <w:sz w:val="24"/>
          <w:lang w:val="fr-BE"/>
        </w:rPr>
        <w:t xml:space="preserve">bilité d'influencer le comportement des consommateurs au moyen du prix de l'énergie sera davantage exploitée. Certains scénarios qui sont évalués dans la communication de la Commission «Une planète propre pour tous» donnent à penser que le stockage annuel </w:t>
      </w:r>
      <w:r>
        <w:rPr>
          <w:rFonts w:ascii="Times New Roman" w:hAnsi="Times New Roman"/>
          <w:noProof/>
          <w:sz w:val="24"/>
          <w:lang w:val="fr-BE"/>
        </w:rPr>
        <w:t xml:space="preserve">d’électricité en 2050 pourrait être multiplié par dix au moins par rapport à 2015. </w:t>
      </w:r>
    </w:p>
    <w:p w:rsidR="00B0540B" w:rsidRDefault="009A6B73">
      <w:pPr>
        <w:spacing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D’ici à 2050, les batteries devraient jouer un rôle beaucoup plus important que la technologie de l’accumulation hydraulique par pompage, qui constitue aujourd'hui la princ</w:t>
      </w:r>
      <w:r>
        <w:rPr>
          <w:rFonts w:ascii="Times New Roman" w:hAnsi="Times New Roman"/>
          <w:noProof/>
          <w:sz w:val="24"/>
          <w:lang w:val="fr-BE"/>
        </w:rPr>
        <w:t>ipale technologie de stockage dans le système électrique, et représenter plus de 90 % de la capacité de stockage d’énergie dans l’UE</w:t>
      </w:r>
      <w:r>
        <w:rPr>
          <w:rStyle w:val="FootnoteReference"/>
          <w:rFonts w:ascii="Times New Roman" w:hAnsi="Times New Roman"/>
          <w:noProof/>
          <w:sz w:val="24"/>
        </w:rPr>
        <w:footnoteReference w:id="23"/>
      </w:r>
      <w:r>
        <w:rPr>
          <w:rFonts w:ascii="Times New Roman" w:hAnsi="Times New Roman"/>
          <w:noProof/>
          <w:sz w:val="24"/>
          <w:lang w:val="fr-BE"/>
        </w:rPr>
        <w:t xml:space="preserve">. </w:t>
      </w:r>
    </w:p>
    <w:p w:rsidR="00B0540B" w:rsidRDefault="009A6B73">
      <w:pPr>
        <w:spacing w:line="240" w:lineRule="auto"/>
        <w:jc w:val="both"/>
        <w:rPr>
          <w:rFonts w:ascii="Times New Roman" w:eastAsia="Times New Roman" w:hAnsi="Times New Roman" w:cs="Times New Roman"/>
          <w:b/>
          <w:noProof/>
          <w:sz w:val="24"/>
          <w:szCs w:val="24"/>
          <w:lang w:val="fr-BE"/>
        </w:rPr>
      </w:pPr>
      <w:r>
        <w:rPr>
          <w:rFonts w:ascii="Times New Roman" w:hAnsi="Times New Roman"/>
          <w:b/>
          <w:noProof/>
          <w:sz w:val="24"/>
          <w:lang w:val="fr-BE"/>
        </w:rPr>
        <w:t>Vaincre la dépendance de l’Europe à l'égard de l’énergie et des matières premières - une occasion stratégique</w:t>
      </w:r>
    </w:p>
    <w:p w:rsidR="00B0540B" w:rsidRDefault="009A6B73">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Selon les </w:t>
      </w:r>
      <w:r>
        <w:rPr>
          <w:rFonts w:ascii="Times New Roman" w:hAnsi="Times New Roman"/>
          <w:noProof/>
          <w:sz w:val="24"/>
          <w:lang w:val="fr-BE"/>
        </w:rPr>
        <w:t>prévisions sur le marché mondial, la demande de batteries lithium-ion devrait augmenter de manière significative pour atteindre jusqu'à 660 GWh en 2023, 1 100 GWh en 2028 voire 4 000 GWh en 2040, contre seulement 78 GWh aujourd’hui</w:t>
      </w:r>
      <w:r>
        <w:rPr>
          <w:rStyle w:val="FootnoteReference"/>
          <w:rFonts w:ascii="Times New Roman" w:hAnsi="Times New Roman"/>
          <w:noProof/>
        </w:rPr>
        <w:footnoteReference w:id="24"/>
      </w:r>
      <w:r>
        <w:rPr>
          <w:rFonts w:ascii="Times New Roman" w:hAnsi="Times New Roman"/>
          <w:noProof/>
          <w:sz w:val="24"/>
          <w:lang w:val="fr-BE"/>
        </w:rPr>
        <w:t>.</w:t>
      </w:r>
      <w:r>
        <w:rPr>
          <w:rFonts w:ascii="Times New Roman" w:hAnsi="Times New Roman"/>
          <w:noProof/>
          <w:lang w:val="fr-BE"/>
        </w:rPr>
        <w:t xml:space="preserve"> </w:t>
      </w:r>
      <w:r>
        <w:rPr>
          <w:rFonts w:ascii="Times New Roman" w:hAnsi="Times New Roman"/>
          <w:noProof/>
          <w:sz w:val="24"/>
          <w:lang w:val="fr-BE"/>
        </w:rPr>
        <w:t>Face à l’essor du marc</w:t>
      </w:r>
      <w:r>
        <w:rPr>
          <w:rFonts w:ascii="Times New Roman" w:hAnsi="Times New Roman"/>
          <w:noProof/>
          <w:sz w:val="24"/>
          <w:lang w:val="fr-BE"/>
        </w:rPr>
        <w:t>hé mondial, l’Europe devrait développer une capacité de 207 GWh d’ici à 2023, alors que rien que la demande européenne de batteries pour véhicules électriques serait de 400 GWh environ d’ici à 2028</w:t>
      </w:r>
      <w:r>
        <w:rPr>
          <w:rStyle w:val="FootnoteReference"/>
          <w:rFonts w:ascii="Times New Roman" w:hAnsi="Times New Roman"/>
          <w:noProof/>
          <w:sz w:val="24"/>
        </w:rPr>
        <w:footnoteReference w:id="25"/>
      </w:r>
      <w:r>
        <w:rPr>
          <w:rFonts w:ascii="Times New Roman" w:hAnsi="Times New Roman"/>
          <w:noProof/>
          <w:sz w:val="24"/>
          <w:lang w:val="fr-BE"/>
        </w:rPr>
        <w:t>, ce qui créerait au moins de 3 à 4 millions d’emplois</w:t>
      </w:r>
      <w:r>
        <w:rPr>
          <w:rStyle w:val="FootnoteReference"/>
          <w:rFonts w:ascii="Times New Roman" w:hAnsi="Times New Roman"/>
          <w:noProof/>
          <w:sz w:val="24"/>
        </w:rPr>
        <w:footnoteReference w:id="26"/>
      </w:r>
      <w:r>
        <w:rPr>
          <w:noProof/>
          <w:lang w:val="fr-BE"/>
        </w:rPr>
        <w:t>.</w:t>
      </w:r>
      <w:r>
        <w:rPr>
          <w:rFonts w:ascii="Times New Roman" w:hAnsi="Times New Roman"/>
          <w:noProof/>
          <w:sz w:val="24"/>
          <w:lang w:val="fr-BE"/>
        </w:rPr>
        <w:t xml:space="preserve"> </w:t>
      </w:r>
    </w:p>
    <w:p w:rsidR="00B0540B" w:rsidRDefault="009A6B73">
      <w:pPr>
        <w:spacing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Toutefois, la forte dépendance actuelle de l’UE à l'égard des importations de cellules de batterie pourrait exposer le secteur à des coûts et des risques élevés dans la chaîne d’approvisionnement et porter atteinte à la capacité du secteur automobile à riv</w:t>
      </w:r>
      <w:r>
        <w:rPr>
          <w:rFonts w:ascii="Times New Roman" w:hAnsi="Times New Roman"/>
          <w:noProof/>
          <w:sz w:val="24"/>
          <w:lang w:val="fr-BE"/>
        </w:rPr>
        <w:t xml:space="preserve">aliser avec ses concurrents étrangers, notamment en cas de pénurie provoquée par l’augmentation attendue de la demande.  </w:t>
      </w:r>
    </w:p>
    <w:p w:rsidR="00B0540B" w:rsidRDefault="009A6B73">
      <w:pPr>
        <w:spacing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Cette dépendance n’est pas seulement limitée à la production de cellules de batterie; l’accès aux cinq matières premières essentielles</w:t>
      </w:r>
      <w:r>
        <w:rPr>
          <w:rFonts w:ascii="Times New Roman" w:hAnsi="Times New Roman"/>
          <w:noProof/>
          <w:sz w:val="24"/>
          <w:lang w:val="fr-BE"/>
        </w:rPr>
        <w:t xml:space="preserve"> pour les batteries (lithium, nickel, cobalt, manganèse et graphite) représente également un défi majeur pour la sécurité d’approvisionnement de l’Europe étant donné que ces matières premières sont uniquement disponibles dans un nombre restreint de pays</w:t>
      </w:r>
      <w:r>
        <w:rPr>
          <w:rStyle w:val="FootnoteReference"/>
          <w:rFonts w:ascii="Times New Roman" w:hAnsi="Times New Roman"/>
          <w:noProof/>
          <w:sz w:val="24"/>
        </w:rPr>
        <w:footnoteReference w:id="27"/>
      </w:r>
      <w:r>
        <w:rPr>
          <w:rFonts w:ascii="Times New Roman" w:hAnsi="Times New Roman"/>
          <w:noProof/>
          <w:sz w:val="24"/>
          <w:lang w:val="fr-BE"/>
        </w:rPr>
        <w:t xml:space="preserve">. </w:t>
      </w:r>
      <w:r>
        <w:rPr>
          <w:rFonts w:ascii="Times New Roman" w:hAnsi="Times New Roman"/>
          <w:noProof/>
          <w:sz w:val="24"/>
          <w:lang w:val="fr-BE"/>
        </w:rPr>
        <w:t xml:space="preserve">Aujourd'hui, les sites de traitement et de transformation de presque tous ces matériaux en vue de la production de batteries sont également concentrés en Chine, pays qui domine donc la chaîne d’approvisionnement des batteries lithium-ion. Il en va de même </w:t>
      </w:r>
      <w:r>
        <w:rPr>
          <w:rFonts w:ascii="Times New Roman" w:hAnsi="Times New Roman"/>
          <w:noProof/>
          <w:sz w:val="24"/>
          <w:lang w:val="fr-BE"/>
        </w:rPr>
        <w:t>pour les chaînes de valeur d’autres matériaux importants présents dans les véhicules électriques, notamment pour les terres rares destinées aux aimants permanents à forte densité énergétique, qui sont aujourd’hui essentiels pour fabriquer des moteurs élect</w:t>
      </w:r>
      <w:r>
        <w:rPr>
          <w:rFonts w:ascii="Times New Roman" w:hAnsi="Times New Roman"/>
          <w:noProof/>
          <w:sz w:val="24"/>
          <w:lang w:val="fr-BE"/>
        </w:rPr>
        <w:t>riques développant des densités de puissance maximales</w:t>
      </w:r>
      <w:r>
        <w:rPr>
          <w:rStyle w:val="FootnoteReference"/>
          <w:rFonts w:ascii="Times New Roman" w:hAnsi="Times New Roman"/>
          <w:noProof/>
          <w:sz w:val="24"/>
        </w:rPr>
        <w:footnoteReference w:id="28"/>
      </w:r>
      <w:r>
        <w:rPr>
          <w:rFonts w:ascii="Times New Roman" w:hAnsi="Times New Roman"/>
          <w:noProof/>
          <w:sz w:val="24"/>
          <w:lang w:val="fr-BE"/>
        </w:rPr>
        <w:t xml:space="preserve">. Dans certains cas, l’accès à ces matières premières peut être compromis par l’instabilité politique, ce qui pourrait interrompre l’approvisionnement (en raison notamment d’une exposition à des taxes </w:t>
      </w:r>
      <w:r>
        <w:rPr>
          <w:rFonts w:ascii="Times New Roman" w:hAnsi="Times New Roman"/>
          <w:noProof/>
          <w:sz w:val="24"/>
          <w:lang w:val="fr-BE"/>
        </w:rPr>
        <w:t>élevées et à des droits sur les exportations) ou l’entraver du fait du recours répété à des pratiques d’extraction non éthiques et non durables.</w:t>
      </w:r>
    </w:p>
    <w:p w:rsidR="00B0540B" w:rsidRDefault="009A6B73">
      <w:pPr>
        <w:spacing w:line="240" w:lineRule="auto"/>
        <w:jc w:val="both"/>
        <w:rPr>
          <w:rFonts w:ascii="Times New Roman" w:eastAsia="Times New Roman" w:hAnsi="Times New Roman" w:cs="Times New Roman"/>
          <w:noProof/>
          <w:sz w:val="24"/>
          <w:szCs w:val="24"/>
        </w:rPr>
      </w:pPr>
      <w:r>
        <w:rPr>
          <w:noProof/>
          <w:lang w:eastAsia="en-GB"/>
        </w:rPr>
        <w:drawing>
          <wp:inline distT="0" distB="0" distL="0" distR="0">
            <wp:extent cx="5760000" cy="37998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6451" r="8279"/>
                    <a:stretch/>
                  </pic:blipFill>
                  <pic:spPr bwMode="auto">
                    <a:xfrm>
                      <a:off x="0" y="0"/>
                      <a:ext cx="5760000" cy="3799827"/>
                    </a:xfrm>
                    <a:prstGeom prst="rect">
                      <a:avLst/>
                    </a:prstGeom>
                    <a:ln>
                      <a:noFill/>
                    </a:ln>
                    <a:extLst>
                      <a:ext uri="{53640926-AAD7-44D8-BBD7-CCE9431645EC}">
                        <a14:shadowObscured xmlns:a14="http://schemas.microsoft.com/office/drawing/2010/main"/>
                      </a:ext>
                    </a:extLst>
                  </pic:spPr>
                </pic:pic>
              </a:graphicData>
            </a:graphic>
          </wp:inline>
        </w:drawing>
      </w:r>
    </w:p>
    <w:p w:rsidR="00B0540B" w:rsidRDefault="009A6B73">
      <w:pPr>
        <w:spacing w:line="240" w:lineRule="auto"/>
        <w:jc w:val="both"/>
        <w:rPr>
          <w:rFonts w:ascii="Times New Roman" w:eastAsia="Times New Roman" w:hAnsi="Times New Roman" w:cs="Times New Roman"/>
          <w:i/>
          <w:noProof/>
          <w:lang w:val="fr-BE"/>
        </w:rPr>
      </w:pPr>
      <w:r>
        <w:rPr>
          <w:rFonts w:ascii="Times New Roman" w:hAnsi="Times New Roman"/>
          <w:i/>
          <w:noProof/>
          <w:lang w:val="fr-BE"/>
        </w:rPr>
        <w:t>Dépendance à l'égard de l'approvisionnement en matériaux tout au long de la chaîne de valeur pour les batteri</w:t>
      </w:r>
      <w:r>
        <w:rPr>
          <w:rFonts w:ascii="Times New Roman" w:hAnsi="Times New Roman"/>
          <w:i/>
          <w:noProof/>
          <w:lang w:val="fr-BE"/>
        </w:rPr>
        <w:t>es de véhicules électriques Source: JRC</w:t>
      </w:r>
    </w:p>
    <w:p w:rsidR="00B0540B" w:rsidRDefault="00B0540B">
      <w:pPr>
        <w:spacing w:line="240" w:lineRule="auto"/>
        <w:jc w:val="both"/>
        <w:rPr>
          <w:rFonts w:ascii="Times New Roman" w:eastAsia="Times New Roman" w:hAnsi="Times New Roman" w:cs="Times New Roman"/>
          <w:noProof/>
          <w:sz w:val="24"/>
          <w:szCs w:val="24"/>
          <w:lang w:val="fr-BE"/>
        </w:rPr>
      </w:pPr>
    </w:p>
    <w:p w:rsidR="00B0540B" w:rsidRDefault="009A6B73">
      <w:pPr>
        <w:spacing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L’expansion du marché des véhicules électriques augmentera très sensiblement la demande de toutes ces matières premières au cours des dix prochaines années</w:t>
      </w:r>
      <w:r>
        <w:rPr>
          <w:rStyle w:val="FootnoteReference"/>
          <w:rFonts w:ascii="Times New Roman" w:hAnsi="Times New Roman"/>
          <w:noProof/>
          <w:sz w:val="24"/>
        </w:rPr>
        <w:footnoteReference w:id="29"/>
      </w:r>
      <w:r>
        <w:rPr>
          <w:rFonts w:ascii="Times New Roman" w:hAnsi="Times New Roman"/>
          <w:noProof/>
          <w:sz w:val="24"/>
          <w:lang w:val="fr-BE"/>
        </w:rPr>
        <w:t>. Que ce soit d’un point de vue économique ou d'un point de vue géostratégique, l’UE doit veiller à ne pas devenir tributaire des matières premières primaires et des autres matériaux transformés présents tout au long de la chaîne de valeur des batteries et</w:t>
      </w:r>
      <w:r>
        <w:rPr>
          <w:rFonts w:ascii="Times New Roman" w:hAnsi="Times New Roman"/>
          <w:noProof/>
          <w:sz w:val="24"/>
          <w:lang w:val="fr-BE"/>
        </w:rPr>
        <w:t xml:space="preserve"> qui sont d’origine étrangère. L’Union européenne doit diversifier ses sources d’approvisionnement dans ces matériaux, notamment ses sources domestiques, faire pleinement usage de sa politique commerciale pour assurer un approvisionnement durable et sûr et</w:t>
      </w:r>
      <w:r>
        <w:rPr>
          <w:rFonts w:ascii="Times New Roman" w:hAnsi="Times New Roman"/>
          <w:noProof/>
          <w:sz w:val="24"/>
          <w:lang w:val="fr-BE"/>
        </w:rPr>
        <w:t xml:space="preserve"> approfondir sa transition vers une économie circulaire grâce à la valorisation, la réutilisation et le recyclage. </w:t>
      </w:r>
    </w:p>
    <w:p w:rsidR="00B0540B" w:rsidRDefault="009A6B73">
      <w:pPr>
        <w:spacing w:line="240" w:lineRule="auto"/>
        <w:jc w:val="both"/>
        <w:rPr>
          <w:rFonts w:ascii="Times New Roman" w:hAnsi="Times New Roman"/>
          <w:noProof/>
          <w:sz w:val="24"/>
          <w:lang w:val="fr-BE"/>
        </w:rPr>
      </w:pPr>
      <w:r>
        <w:rPr>
          <w:rFonts w:ascii="Times New Roman" w:hAnsi="Times New Roman"/>
          <w:noProof/>
          <w:sz w:val="24"/>
          <w:lang w:val="fr-BE"/>
        </w:rPr>
        <w:t xml:space="preserve"> </w:t>
      </w:r>
    </w:p>
    <w:p w:rsidR="00B0540B" w:rsidRDefault="009A6B73">
      <w:pPr>
        <w:rPr>
          <w:noProof/>
          <w:lang w:val="fr-BE"/>
        </w:rPr>
      </w:pPr>
      <w:r>
        <w:rPr>
          <w:noProof/>
          <w:lang w:val="fr-BE"/>
        </w:rPr>
        <w:br w:type="page"/>
      </w:r>
    </w:p>
    <w:p w:rsidR="00B0540B" w:rsidRDefault="009A6B73">
      <w:pPr>
        <w:pStyle w:val="ListParagraph"/>
        <w:numPr>
          <w:ilvl w:val="0"/>
          <w:numId w:val="8"/>
        </w:numPr>
        <w:spacing w:line="240" w:lineRule="auto"/>
        <w:jc w:val="both"/>
        <w:rPr>
          <w:rFonts w:ascii="Times New Roman" w:eastAsia="Times New Roman" w:hAnsi="Times New Roman" w:cs="Times New Roman"/>
          <w:b/>
          <w:noProof/>
          <w:sz w:val="24"/>
          <w:szCs w:val="24"/>
          <w:lang w:val="fr-BE"/>
        </w:rPr>
      </w:pPr>
      <w:r>
        <w:rPr>
          <w:rFonts w:ascii="Times New Roman" w:hAnsi="Times New Roman"/>
          <w:b/>
          <w:caps/>
          <w:noProof/>
          <w:sz w:val="24"/>
          <w:lang w:val="fr-BE"/>
        </w:rPr>
        <w:t>Un «écosystème» des batteries en Europe</w:t>
      </w:r>
      <w:r>
        <w:rPr>
          <w:rFonts w:ascii="Times New Roman" w:hAnsi="Times New Roman"/>
          <w:b/>
          <w:noProof/>
          <w:sz w:val="24"/>
          <w:lang w:val="fr-BE"/>
        </w:rPr>
        <w:t>: CONSTRUIRE DES CHAÎNES DE VALEUR STRATÉGIQUES INNOVANTES, DURABLES ET COMPÉTITIVES</w:t>
      </w:r>
    </w:p>
    <w:p w:rsidR="00B0540B" w:rsidRDefault="009A6B73">
      <w:pPr>
        <w:spacing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 xml:space="preserve">L’objectif </w:t>
      </w:r>
      <w:r>
        <w:rPr>
          <w:rFonts w:ascii="Times New Roman" w:hAnsi="Times New Roman"/>
          <w:noProof/>
          <w:sz w:val="24"/>
          <w:lang w:val="fr-BE"/>
        </w:rPr>
        <w:t>de la Commission est que l’UE devienne un acteur industriel de premier plan et augmente son autonomie stratégique dans le secteur des batteries, à tous les stades de la chaîne de valeur. Elle entend donc créer les conditions permettant l’éclosion d’un écos</w:t>
      </w:r>
      <w:r>
        <w:rPr>
          <w:rFonts w:ascii="Times New Roman" w:hAnsi="Times New Roman"/>
          <w:noProof/>
          <w:sz w:val="24"/>
          <w:lang w:val="fr-BE"/>
        </w:rPr>
        <w:t xml:space="preserve">ystème des batteries durable, compétitif et innovant dans l’UE. Bien qu’elle soutienne le développement des batteries depuis la première heure, la Commission a constaté la nécessité d’adopter une approche plus collaborative et plus exhaustive, compte tenu </w:t>
      </w:r>
      <w:r>
        <w:rPr>
          <w:rFonts w:ascii="Times New Roman" w:hAnsi="Times New Roman"/>
          <w:noProof/>
          <w:sz w:val="24"/>
          <w:lang w:val="fr-BE"/>
        </w:rPr>
        <w:t>de la vitesse à laquelle évolue ce secteur.</w:t>
      </w:r>
    </w:p>
    <w:p w:rsidR="00B0540B" w:rsidRDefault="009A6B73">
      <w:pPr>
        <w:spacing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Dans sa stratégie revisitée pour la politique industrielle de l'UE, la Commission a mis en évidence la nécessité de tirer parti des points forts et des atouts de l’Europe dans les chaînes de valeur stratégiques d</w:t>
      </w:r>
      <w:r>
        <w:rPr>
          <w:rFonts w:ascii="Times New Roman" w:hAnsi="Times New Roman"/>
          <w:noProof/>
          <w:sz w:val="24"/>
          <w:lang w:val="fr-BE"/>
        </w:rPr>
        <w:t>u secteur des nouvelles technologies, et de renforcer celles-ci</w:t>
      </w:r>
      <w:r>
        <w:rPr>
          <w:rStyle w:val="FootnoteReference"/>
          <w:rFonts w:ascii="Times New Roman" w:hAnsi="Times New Roman"/>
          <w:noProof/>
          <w:sz w:val="24"/>
        </w:rPr>
        <w:footnoteReference w:id="30"/>
      </w:r>
      <w:r>
        <w:rPr>
          <w:noProof/>
          <w:lang w:val="fr-BE"/>
        </w:rPr>
        <w:t>.</w:t>
      </w:r>
      <w:r>
        <w:rPr>
          <w:rFonts w:ascii="Times New Roman" w:hAnsi="Times New Roman"/>
          <w:noProof/>
          <w:sz w:val="24"/>
          <w:lang w:val="fr-BE"/>
        </w:rPr>
        <w:t xml:space="preserve"> Dans ce contexte, elle a reconnu que les batteries constituaient une chaîne de valeur revêtant une importance stratégique et a proposé une approche menée par l’industrie. Elle soutient le dé</w:t>
      </w:r>
      <w:r>
        <w:rPr>
          <w:rFonts w:ascii="Times New Roman" w:hAnsi="Times New Roman"/>
          <w:noProof/>
          <w:sz w:val="24"/>
          <w:lang w:val="fr-BE"/>
        </w:rPr>
        <w:t>veloppement de la coopération entre les grands acteurs du secteur, encourage la formation de consortiums européens dans la recherche, l’innovation et la fabrication, et facilite un usage plus efficace des fonds et mécanismes de financement existants, en ét</w:t>
      </w:r>
      <w:r>
        <w:rPr>
          <w:rFonts w:ascii="Times New Roman" w:hAnsi="Times New Roman"/>
          <w:noProof/>
          <w:sz w:val="24"/>
          <w:lang w:val="fr-BE"/>
        </w:rPr>
        <w:t>roit partenariat avec la Banque européenne d’investissement (BEI) et les États membres. Cette approche constitue le fondement de l’alliance européenne pour les batteries</w:t>
      </w:r>
      <w:r>
        <w:rPr>
          <w:rStyle w:val="FootnoteReference"/>
          <w:rFonts w:ascii="Times New Roman" w:hAnsi="Times New Roman"/>
          <w:noProof/>
          <w:sz w:val="24"/>
        </w:rPr>
        <w:footnoteReference w:id="31"/>
      </w:r>
      <w:r>
        <w:rPr>
          <w:noProof/>
          <w:lang w:val="fr-BE"/>
        </w:rPr>
        <w:t>.</w:t>
      </w:r>
    </w:p>
    <w:p w:rsidR="00B0540B" w:rsidRDefault="009A6B73">
      <w:pPr>
        <w:spacing w:after="24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La nature générale des défis que le secteur européen des batteries doit relever appe</w:t>
      </w:r>
      <w:r>
        <w:rPr>
          <w:rFonts w:ascii="Times New Roman" w:hAnsi="Times New Roman"/>
          <w:noProof/>
          <w:sz w:val="24"/>
          <w:lang w:val="fr-BE"/>
        </w:rPr>
        <w:t>lle des mesures globales et cohérentes tout au long de la chaîne de valeur. Dans son plan d’action stratégique sur les batteries, la Commission a donc proposé des actions couvrant l’extraction, la fourniture et le raffinage des matières premières, la produ</w:t>
      </w:r>
      <w:r>
        <w:rPr>
          <w:rFonts w:ascii="Times New Roman" w:hAnsi="Times New Roman"/>
          <w:noProof/>
          <w:sz w:val="24"/>
          <w:lang w:val="fr-BE"/>
        </w:rPr>
        <w:t>ction de cellules de batterie, les systèmes de batteries, ainsi que le recyclage et la réutilisation</w:t>
      </w:r>
      <w:r>
        <w:rPr>
          <w:rStyle w:val="FootnoteReference"/>
          <w:rFonts w:ascii="Times New Roman" w:hAnsi="Times New Roman"/>
          <w:noProof/>
          <w:sz w:val="24"/>
        </w:rPr>
        <w:footnoteReference w:id="32"/>
      </w:r>
      <w:r>
        <w:rPr>
          <w:noProof/>
          <w:lang w:val="fr-BE"/>
        </w:rPr>
        <w:t>.</w:t>
      </w:r>
      <w:r>
        <w:rPr>
          <w:rFonts w:ascii="Times New Roman" w:hAnsi="Times New Roman"/>
          <w:noProof/>
          <w:sz w:val="24"/>
          <w:lang w:val="fr-BE"/>
        </w:rPr>
        <w:t xml:space="preserve"> Les mesures visent, entre autres, à sécuriser l’approvisionnement en matières premières primaires nécessaires pour les batteries à partir de sources tant</w:t>
      </w:r>
      <w:r>
        <w:rPr>
          <w:rFonts w:ascii="Times New Roman" w:hAnsi="Times New Roman"/>
          <w:noProof/>
          <w:sz w:val="24"/>
          <w:lang w:val="fr-BE"/>
        </w:rPr>
        <w:t xml:space="preserve"> internes qu’externes à l’UE, à accroître la contribution des matières premières secondaires, à soutenir la recherche et l’innovation, à collaborer avec les investisseurs pour promouvoir l’extensibilité et le développement de la capacité de production de s</w:t>
      </w:r>
      <w:r>
        <w:rPr>
          <w:rFonts w:ascii="Times New Roman" w:hAnsi="Times New Roman"/>
          <w:noProof/>
          <w:sz w:val="24"/>
          <w:lang w:val="fr-BE"/>
        </w:rPr>
        <w:t>olutions innovantes, et à investir dans des compétences spécialisées. Le développement d’une technologie de recyclage à la pointe au niveau mondial et de capacités dans ce domaine constitue un autre domaine d'action. Des batteries durables, dont la product</w:t>
      </w:r>
      <w:r>
        <w:rPr>
          <w:rFonts w:ascii="Times New Roman" w:hAnsi="Times New Roman"/>
          <w:noProof/>
          <w:sz w:val="24"/>
          <w:lang w:val="fr-BE"/>
        </w:rPr>
        <w:t>ion repose sur un approvisionnement responsable, une empreinte carbone la plus faible possible et une approche fondée sur l’économie circulaire, peuvent constituer un élément central de l’avantage compétitif de l’UE. Des exigences et des normes harmonisées</w:t>
      </w:r>
      <w:r>
        <w:rPr>
          <w:rFonts w:ascii="Times New Roman" w:hAnsi="Times New Roman"/>
          <w:noProof/>
          <w:sz w:val="24"/>
          <w:lang w:val="fr-BE"/>
        </w:rPr>
        <w:t xml:space="preserve"> à l’échelle de l’UE doivent être élaborées pour sous-tendre notre avantage sur les concurrents dans ce secteur.</w:t>
      </w:r>
    </w:p>
    <w:p w:rsidR="00B0540B" w:rsidRDefault="009A6B73">
      <w:pPr>
        <w:spacing w:after="24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Le soutien fourni dans le cadre du plan d’action stratégique de la Commission sur les batteries est entièrement compatible avec les engagements</w:t>
      </w:r>
      <w:r>
        <w:rPr>
          <w:rFonts w:ascii="Times New Roman" w:hAnsi="Times New Roman"/>
          <w:noProof/>
          <w:sz w:val="24"/>
          <w:lang w:val="fr-BE"/>
        </w:rPr>
        <w:t xml:space="preserve"> que l’UE a pris au niveau international, en particulier dans le cadre de l’Organisation mondiale du commerce, et avec les efforts que l’UE déploie pour garantir des conditions de concurrence équitables et éliminer les distorsions de marché.</w:t>
      </w:r>
    </w:p>
    <w:p w:rsidR="00B0540B" w:rsidRDefault="009A6B73">
      <w:pPr>
        <w:spacing w:after="0" w:line="240" w:lineRule="auto"/>
        <w:rPr>
          <w:rFonts w:ascii="Times New Roman" w:eastAsia="Times New Roman" w:hAnsi="Times New Roman" w:cs="Times New Roman"/>
          <w:b/>
          <w:noProof/>
          <w:sz w:val="24"/>
          <w:szCs w:val="24"/>
          <w:lang w:val="fr-BE"/>
        </w:rPr>
      </w:pPr>
      <w:r>
        <w:rPr>
          <w:rFonts w:ascii="Times New Roman" w:hAnsi="Times New Roman"/>
          <w:b/>
          <w:noProof/>
          <w:sz w:val="24"/>
          <w:lang w:val="fr-BE"/>
        </w:rPr>
        <w:t>Recherche, inn</w:t>
      </w:r>
      <w:r>
        <w:rPr>
          <w:rFonts w:ascii="Times New Roman" w:hAnsi="Times New Roman"/>
          <w:b/>
          <w:noProof/>
          <w:sz w:val="24"/>
          <w:lang w:val="fr-BE"/>
        </w:rPr>
        <w:t>ovation et démonstration: concevoir et déployer la prochaine génération de technologies de batteries</w:t>
      </w:r>
    </w:p>
    <w:p w:rsidR="00B0540B" w:rsidRDefault="00B0540B">
      <w:pPr>
        <w:keepLines/>
        <w:spacing w:after="120" w:line="240" w:lineRule="auto"/>
        <w:jc w:val="both"/>
        <w:rPr>
          <w:rFonts w:ascii="Times New Roman" w:eastAsia="Times New Roman" w:hAnsi="Times New Roman" w:cs="Times New Roman"/>
          <w:b/>
          <w:noProof/>
          <w:sz w:val="24"/>
          <w:szCs w:val="24"/>
          <w:lang w:val="fr-BE"/>
        </w:rPr>
      </w:pPr>
    </w:p>
    <w:p w:rsidR="00B0540B" w:rsidRDefault="009A6B73">
      <w:pPr>
        <w:pStyle w:val="TextValue"/>
        <w:spacing w:after="0" w:line="240" w:lineRule="auto"/>
        <w:rPr>
          <w:rFonts w:eastAsia="Times New Roman"/>
          <w:noProof/>
          <w:lang w:val="fr-BE"/>
        </w:rPr>
      </w:pPr>
      <w:r>
        <w:rPr>
          <w:noProof/>
          <w:lang w:val="fr-BE"/>
        </w:rPr>
        <w:t>L’Europe doit déployer des efforts soutenus et coordonnés pour appuyer les investissements dans la recherche et l’innovation concernant les matériaux avan</w:t>
      </w:r>
      <w:r>
        <w:rPr>
          <w:noProof/>
          <w:lang w:val="fr-BE"/>
        </w:rPr>
        <w:t>cés et la chimie des batteries, afin d’améliorer ses performances dans le domaine des technologies de cellules de batteries au lithium-ion (Li-ion) et viser la première place pour ce qui est de la prochaine génération de technologies de batteries. Les batt</w:t>
      </w:r>
      <w:r>
        <w:rPr>
          <w:noProof/>
          <w:lang w:val="fr-BE"/>
        </w:rPr>
        <w:t xml:space="preserve">eries actuellement à la pointe sont le plus souvent basées sur la combinaison chimique lithium-ion, mais la demande concernant une densité et des performances énergétiques supérieures nécessitera des améliorations à court ou à moyen terme, de même que des </w:t>
      </w:r>
      <w:r>
        <w:rPr>
          <w:noProof/>
          <w:lang w:val="fr-BE"/>
        </w:rPr>
        <w:t>évolutions plus radicales vers une nouvelle génération de batteries post Li-ion fondée sur de nouveaux matériaux avancés. Les entreprises de l’UE sont bien placées pour tirer avantage de ces évolutions technologiques</w:t>
      </w:r>
      <w:r>
        <w:rPr>
          <w:rStyle w:val="FootnoteReference"/>
          <w:noProof/>
        </w:rPr>
        <w:footnoteReference w:id="33"/>
      </w:r>
      <w:r>
        <w:rPr>
          <w:noProof/>
          <w:lang w:val="fr-BE"/>
        </w:rPr>
        <w:t xml:space="preserve">. </w:t>
      </w:r>
    </w:p>
    <w:p w:rsidR="00B0540B" w:rsidRDefault="00B0540B">
      <w:pPr>
        <w:pStyle w:val="TextValue"/>
        <w:spacing w:after="0" w:line="240" w:lineRule="auto"/>
        <w:rPr>
          <w:rFonts w:eastAsia="Times New Roman"/>
          <w:noProof/>
          <w:lang w:val="fr-BE"/>
        </w:rPr>
      </w:pPr>
    </w:p>
    <w:p w:rsidR="00B0540B" w:rsidRDefault="009A6B73">
      <w:pPr>
        <w:spacing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Dans le domaine des batteries, l’UE</w:t>
      </w:r>
      <w:r>
        <w:rPr>
          <w:rFonts w:ascii="Times New Roman" w:hAnsi="Times New Roman"/>
          <w:noProof/>
          <w:sz w:val="24"/>
          <w:lang w:val="fr-BE"/>
        </w:rPr>
        <w:t xml:space="preserve"> mobilise tous ses instruments de soutien couvrant l’intégralité du cycle de l’innovation, depuis la recherche fondamentale et appliquée jusqu’à la commercialisation, en passant par la démonstration et le premier déploiement.</w:t>
      </w:r>
    </w:p>
    <w:p w:rsidR="00B0540B" w:rsidRDefault="009A6B73">
      <w:pPr>
        <w:spacing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 xml:space="preserve">La coordination des activités </w:t>
      </w:r>
      <w:r>
        <w:rPr>
          <w:rFonts w:ascii="Times New Roman" w:hAnsi="Times New Roman"/>
          <w:noProof/>
          <w:sz w:val="24"/>
          <w:lang w:val="fr-BE"/>
        </w:rPr>
        <w:t>de recherche dans ce domaine est cruciale pour exploiter pleinement le potentiel de ce secteur. En s’appuyant sur les efforts de collaboration déployés dans le cadre du plan stratégique pour les technologies énergétiques (plan SET)</w:t>
      </w:r>
      <w:r>
        <w:rPr>
          <w:rStyle w:val="FootnoteReference"/>
          <w:rFonts w:ascii="Times New Roman" w:hAnsi="Times New Roman"/>
          <w:noProof/>
          <w:sz w:val="24"/>
        </w:rPr>
        <w:footnoteReference w:id="34"/>
      </w:r>
      <w:r>
        <w:rPr>
          <w:rFonts w:ascii="Times New Roman" w:hAnsi="Times New Roman"/>
          <w:noProof/>
          <w:sz w:val="24"/>
          <w:lang w:val="fr-BE"/>
        </w:rPr>
        <w:t xml:space="preserve"> et du programme stratég</w:t>
      </w:r>
      <w:r>
        <w:rPr>
          <w:rFonts w:ascii="Times New Roman" w:hAnsi="Times New Roman"/>
          <w:noProof/>
          <w:sz w:val="24"/>
          <w:lang w:val="fr-BE"/>
        </w:rPr>
        <w:t>ique de recherche et d’innovation (SRIA)</w:t>
      </w:r>
      <w:r>
        <w:rPr>
          <w:rStyle w:val="FootnoteReference"/>
          <w:rFonts w:ascii="Times New Roman" w:hAnsi="Times New Roman"/>
          <w:noProof/>
          <w:sz w:val="24"/>
        </w:rPr>
        <w:footnoteReference w:id="35"/>
      </w:r>
      <w:r>
        <w:rPr>
          <w:rFonts w:ascii="Times New Roman" w:hAnsi="Times New Roman"/>
          <w:noProof/>
          <w:sz w:val="24"/>
          <w:lang w:val="fr-BE"/>
        </w:rPr>
        <w:t>, la Commission a lancé une plate-forme technologique et de l’innovation européenne («ETIP») dénommée «Batteries Europe»</w:t>
      </w:r>
      <w:r>
        <w:rPr>
          <w:rStyle w:val="FootnoteReference"/>
          <w:rFonts w:ascii="Times New Roman" w:hAnsi="Times New Roman"/>
          <w:noProof/>
          <w:sz w:val="24"/>
        </w:rPr>
        <w:footnoteReference w:id="36"/>
      </w:r>
      <w:r>
        <w:rPr>
          <w:rFonts w:ascii="Times New Roman" w:hAnsi="Times New Roman"/>
          <w:noProof/>
          <w:sz w:val="24"/>
          <w:lang w:val="fr-BE"/>
        </w:rPr>
        <w:t xml:space="preserve"> pour faire progresser les priorités de recherche dans ce domaine en réunissant les acteurs du secteur, la communauté de la recherche et les États membres de l’UE dans le but d’encourager la coopération et les synergies entre les programmes de recherche su</w:t>
      </w:r>
      <w:r>
        <w:rPr>
          <w:rFonts w:ascii="Times New Roman" w:hAnsi="Times New Roman"/>
          <w:noProof/>
          <w:sz w:val="24"/>
          <w:lang w:val="fr-BE"/>
        </w:rPr>
        <w:t>r les batteries concernés. Cette plateforme permet la coopération entre les nombreux programmes de recherche concernant les batteries lancés au niveau tant de l’UE que national, ainsi que les initiatives du secteur privé.</w:t>
      </w:r>
    </w:p>
    <w:p w:rsidR="00B0540B" w:rsidRDefault="009A6B73">
      <w:pPr>
        <w:spacing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Pour l’avenir, l’ETIP préparera le</w:t>
      </w:r>
      <w:r>
        <w:rPr>
          <w:rFonts w:ascii="Times New Roman" w:hAnsi="Times New Roman"/>
          <w:noProof/>
          <w:sz w:val="24"/>
          <w:lang w:val="fr-BE"/>
        </w:rPr>
        <w:t xml:space="preserve"> terrain en vue d’un partenariat de recherche et d’innovation sur les batteries coprogrammé avec l’industrie et proposé par la Commission dans le cadre du futur programme</w:t>
      </w:r>
      <w:r>
        <w:rPr>
          <w:noProof/>
          <w:lang w:val="fr-BE"/>
        </w:rPr>
        <w:noBreakHyphen/>
      </w:r>
      <w:r>
        <w:rPr>
          <w:rFonts w:ascii="Times New Roman" w:hAnsi="Times New Roman"/>
          <w:noProof/>
          <w:sz w:val="24"/>
          <w:lang w:val="fr-BE"/>
        </w:rPr>
        <w:t>cadre de recherche et d’innovation «Horizon Europe», qui débutera en 2021. L’objectif</w:t>
      </w:r>
      <w:r>
        <w:rPr>
          <w:rFonts w:ascii="Times New Roman" w:hAnsi="Times New Roman"/>
          <w:noProof/>
          <w:sz w:val="24"/>
          <w:lang w:val="fr-BE"/>
        </w:rPr>
        <w:t xml:space="preserve"> de ce partenariat est de soutenir le leadership de l’Union en réunissant dans une seule et même structure toutes les activités de recherche et d’innovation d’Horizon Europe afin d’élaborer un programme stratégique cohérent, en coopération avec les acteurs</w:t>
      </w:r>
      <w:r>
        <w:rPr>
          <w:rFonts w:ascii="Times New Roman" w:hAnsi="Times New Roman"/>
          <w:noProof/>
          <w:sz w:val="24"/>
          <w:lang w:val="fr-BE"/>
        </w:rPr>
        <w:t xml:space="preserve"> du secteur et la communauté de la recherche.</w:t>
      </w:r>
    </w:p>
    <w:p w:rsidR="00B0540B" w:rsidRDefault="009A6B73">
      <w:pPr>
        <w:spacing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Le budget européen prévoit déjà d'importantes possibilités de financement pour soutenir la recherche et l’innovation dans le secteur des batteries. Le programme-cadre de l’UE pour la recherche et l'innovation (</w:t>
      </w:r>
      <w:r>
        <w:rPr>
          <w:rFonts w:ascii="Times New Roman" w:hAnsi="Times New Roman"/>
          <w:noProof/>
          <w:sz w:val="24"/>
          <w:lang w:val="fr-BE"/>
        </w:rPr>
        <w:t>2014-2020), «Horizon 2020», accorde une enveloppe de 1 340 000 000 EUR au financement de projets concernant le stockage d’énergie sur le réseau et la mobilité sobre en carbone. En 2019, Horizon 2020 a ajouté un appel à financer, dans le cadre de l’alliance</w:t>
      </w:r>
      <w:r>
        <w:rPr>
          <w:rFonts w:ascii="Times New Roman" w:hAnsi="Times New Roman"/>
          <w:noProof/>
          <w:sz w:val="24"/>
          <w:lang w:val="fr-BE"/>
        </w:rPr>
        <w:t xml:space="preserve"> européenne pour les batteries, des projets concernant les batteries pour un montant de 114 000 000 EUR. Il sera suivi, en 2020, par un appel portant sur un montant de 132 000 000 EUR et couvrant les batteries pour le transport et l’énergie. </w:t>
      </w:r>
    </w:p>
    <w:p w:rsidR="00B0540B" w:rsidRDefault="009A6B73">
      <w:pPr>
        <w:spacing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Le Fonds euro</w:t>
      </w:r>
      <w:r>
        <w:rPr>
          <w:rFonts w:ascii="Times New Roman" w:hAnsi="Times New Roman"/>
          <w:noProof/>
          <w:sz w:val="24"/>
          <w:lang w:val="fr-BE"/>
        </w:rPr>
        <w:t>péen de développement régional apporte également un soutien à la recherche et à l’innovation afin de promouvoir un secteur des transports efficace sur le plan énergétique et décarboné.</w:t>
      </w:r>
    </w:p>
    <w:p w:rsidR="00B0540B" w:rsidRDefault="009A6B73">
      <w:pPr>
        <w:spacing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Les régions de l’UE ont montré de l’intérêt pour la mise en place de pa</w:t>
      </w:r>
      <w:r>
        <w:rPr>
          <w:rFonts w:ascii="Times New Roman" w:hAnsi="Times New Roman"/>
          <w:noProof/>
          <w:sz w:val="24"/>
          <w:lang w:val="fr-BE"/>
        </w:rPr>
        <w:t>rtenariats visant à faire avancer des projets conjoints et à développer plus avant des écosystèmes d’innovation solides dans le secteur des batteries. Un de ces partenariats interrégionaux, ciblé sur les matériaux avancés pour batteries destinées à l’élect</w:t>
      </w:r>
      <w:r>
        <w:rPr>
          <w:rFonts w:ascii="Times New Roman" w:hAnsi="Times New Roman"/>
          <w:noProof/>
          <w:sz w:val="24"/>
          <w:lang w:val="fr-BE"/>
        </w:rPr>
        <w:t>romobilité et au stockage de l’énergie, a été lancé en octobre 2018 dans le cadre de la plateforme de spécialisation intelligente en matière de modernisation industrielle. Ce partenariat ouvert</w:t>
      </w:r>
      <w:r>
        <w:rPr>
          <w:rStyle w:val="FootnoteReference"/>
          <w:rFonts w:ascii="Times New Roman" w:hAnsi="Times New Roman"/>
          <w:noProof/>
          <w:sz w:val="24"/>
        </w:rPr>
        <w:footnoteReference w:id="37"/>
      </w:r>
      <w:r>
        <w:rPr>
          <w:rFonts w:ascii="Times New Roman" w:hAnsi="Times New Roman"/>
          <w:noProof/>
          <w:sz w:val="24"/>
          <w:lang w:val="fr-BE"/>
        </w:rPr>
        <w:t xml:space="preserve"> s’est déjà étendu à 22 régions et plusieurs domaines pilotes </w:t>
      </w:r>
      <w:r>
        <w:rPr>
          <w:rFonts w:ascii="Times New Roman" w:hAnsi="Times New Roman"/>
          <w:noProof/>
          <w:sz w:val="24"/>
          <w:lang w:val="fr-BE"/>
        </w:rPr>
        <w:t>ont été établis tout au long de la chaîne de valeur pour recenser les projets concernant les batteries susceptibles de déboucher sur des réussites commerciales</w:t>
      </w:r>
      <w:r>
        <w:rPr>
          <w:rStyle w:val="FootnoteReference"/>
          <w:rFonts w:ascii="Times New Roman" w:hAnsi="Times New Roman"/>
          <w:noProof/>
          <w:sz w:val="20"/>
        </w:rPr>
        <w:footnoteReference w:id="38"/>
      </w:r>
      <w:r>
        <w:rPr>
          <w:noProof/>
          <w:lang w:val="fr-BE"/>
        </w:rPr>
        <w:t>.</w:t>
      </w:r>
      <w:r>
        <w:rPr>
          <w:rFonts w:ascii="Times New Roman" w:hAnsi="Times New Roman"/>
          <w:noProof/>
          <w:sz w:val="24"/>
          <w:lang w:val="fr-BE"/>
        </w:rPr>
        <w:t xml:space="preserve"> </w:t>
      </w:r>
    </w:p>
    <w:p w:rsidR="00B0540B" w:rsidRDefault="009A6B73">
      <w:pPr>
        <w:spacing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En outre, les projets de démonstration et les projets pilotes sont importants pour tester les</w:t>
      </w:r>
      <w:r>
        <w:rPr>
          <w:rFonts w:ascii="Times New Roman" w:hAnsi="Times New Roman"/>
          <w:noProof/>
          <w:sz w:val="24"/>
          <w:lang w:val="fr-BE"/>
        </w:rPr>
        <w:t xml:space="preserve"> nouvelles technologies dans des conditions proches de celles du marché, avant de faire passer la production à une échelle commerciale. Pour soutenir des projets pionniers de démonstration industrielle à grande échelle dans le domaine de l’énergie, la Banq</w:t>
      </w:r>
      <w:r>
        <w:rPr>
          <w:rFonts w:ascii="Times New Roman" w:hAnsi="Times New Roman"/>
          <w:noProof/>
          <w:sz w:val="24"/>
          <w:lang w:val="fr-BE"/>
        </w:rPr>
        <w:t>ue européenne d’investissement (BEI) fournit des prêts, des garanties et des quasi-fonds propres dans le cadre du volet Projets de démonstration liés à l’énergie du dispositif InnovFin</w:t>
      </w:r>
      <w:r>
        <w:rPr>
          <w:rStyle w:val="FootnoteReference"/>
          <w:rFonts w:ascii="Times New Roman" w:hAnsi="Times New Roman"/>
          <w:noProof/>
          <w:sz w:val="20"/>
        </w:rPr>
        <w:footnoteReference w:id="39"/>
      </w:r>
      <w:r>
        <w:rPr>
          <w:noProof/>
          <w:lang w:val="fr-BE"/>
        </w:rPr>
        <w:t>.</w:t>
      </w:r>
      <w:r>
        <w:rPr>
          <w:rFonts w:ascii="Times New Roman" w:hAnsi="Times New Roman"/>
          <w:noProof/>
          <w:sz w:val="24"/>
          <w:lang w:val="fr-BE"/>
        </w:rPr>
        <w:t xml:space="preserve"> Un prêt de 52 500 000 EUR a ainsi déjà été financé en faveur d’une in</w:t>
      </w:r>
      <w:r>
        <w:rPr>
          <w:rFonts w:ascii="Times New Roman" w:hAnsi="Times New Roman"/>
          <w:noProof/>
          <w:sz w:val="24"/>
          <w:lang w:val="fr-BE"/>
        </w:rPr>
        <w:t>stallation de démonstration en Suède destinée à fabriquer des cellules Li-ion avancées pour des batteries ayant vocation à être utilisées dans les transports, le stockage fixe et des applications destinées aux industries</w:t>
      </w:r>
      <w:r>
        <w:rPr>
          <w:rStyle w:val="FootnoteReference"/>
          <w:rFonts w:ascii="Times New Roman" w:hAnsi="Times New Roman"/>
          <w:noProof/>
          <w:sz w:val="24"/>
        </w:rPr>
        <w:footnoteReference w:id="40"/>
      </w:r>
      <w:r>
        <w:rPr>
          <w:noProof/>
          <w:lang w:val="fr-BE"/>
        </w:rPr>
        <w:t>.</w:t>
      </w:r>
      <w:r>
        <w:rPr>
          <w:rFonts w:ascii="Times New Roman" w:hAnsi="Times New Roman"/>
          <w:noProof/>
          <w:sz w:val="24"/>
          <w:lang w:val="fr-BE"/>
        </w:rPr>
        <w:t xml:space="preserve"> Plusieurs projets relevant de l’i</w:t>
      </w:r>
      <w:r>
        <w:rPr>
          <w:rFonts w:ascii="Times New Roman" w:hAnsi="Times New Roman"/>
          <w:noProof/>
          <w:sz w:val="24"/>
          <w:lang w:val="fr-BE"/>
        </w:rPr>
        <w:t>ndustrie des batteries en Croatie, en France, en Grèce et en Suède ont également bénéficié d’un soutien au titre du Fonds européen pour les investissements stratégiques. Le nouveau Fonds InvestEU prévu dans le prochain cadre financier pluriannuel devrait r</w:t>
      </w:r>
      <w:r>
        <w:rPr>
          <w:rFonts w:ascii="Times New Roman" w:hAnsi="Times New Roman"/>
          <w:noProof/>
          <w:sz w:val="24"/>
          <w:lang w:val="fr-BE"/>
        </w:rPr>
        <w:t>éunir dans une seule et même structure les instruments financiers existants, ce qui rendra le soutien de l’UE plus efficient et plus flexible également dans le secteur des batteries.</w:t>
      </w:r>
    </w:p>
    <w:p w:rsidR="00B0540B" w:rsidRDefault="009A6B73">
      <w:pPr>
        <w:spacing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Le fonds pour l’innovation créé dans le cadre du système d’échange de quo</w:t>
      </w:r>
      <w:r>
        <w:rPr>
          <w:rFonts w:ascii="Times New Roman" w:hAnsi="Times New Roman"/>
          <w:noProof/>
          <w:sz w:val="24"/>
          <w:lang w:val="fr-BE"/>
        </w:rPr>
        <w:t>tas d’émission de l’UE devrait mettre à disposition environ 10 000 000 000 EUR sur la période 2020-2030 pour soutenir les projets de démonstration au stade précommercial dans les technologies sobres en carbone, y compris le stockage de l’énergie</w:t>
      </w:r>
      <w:r>
        <w:rPr>
          <w:rStyle w:val="FootnoteReference"/>
          <w:rFonts w:ascii="Times New Roman" w:hAnsi="Times New Roman"/>
          <w:noProof/>
          <w:sz w:val="24"/>
        </w:rPr>
        <w:footnoteReference w:id="41"/>
      </w:r>
      <w:r>
        <w:rPr>
          <w:noProof/>
          <w:lang w:val="fr-BE"/>
        </w:rPr>
        <w:t>.</w:t>
      </w:r>
      <w:r>
        <w:rPr>
          <w:rFonts w:ascii="Times New Roman" w:hAnsi="Times New Roman"/>
          <w:noProof/>
          <w:sz w:val="24"/>
          <w:lang w:val="fr-BE"/>
        </w:rPr>
        <w:t xml:space="preserve"> La produ</w:t>
      </w:r>
      <w:r>
        <w:rPr>
          <w:rFonts w:ascii="Times New Roman" w:hAnsi="Times New Roman"/>
          <w:noProof/>
          <w:sz w:val="24"/>
          <w:lang w:val="fr-BE"/>
        </w:rPr>
        <w:t>ction, le test et la démonstration à grande échelle de technologies de batteries innovantes seront ainsi possibles, ce qui contribuera à combler le fossé entre les résultats de la recherche et de l’innovation (obtenus, par exemple, dans le cadre d’Horizon </w:t>
      </w:r>
      <w:r>
        <w:rPr>
          <w:rFonts w:ascii="Times New Roman" w:hAnsi="Times New Roman"/>
          <w:noProof/>
          <w:sz w:val="24"/>
          <w:lang w:val="fr-BE"/>
        </w:rPr>
        <w:t>2020) et le déploiement commercial de la fabrication de batteries, conformément à l’objectif de l’alliance européenne pour les batteries. Le fonds sera mis en œuvre en étroite coordination avec d’autres programmes de l’UE pertinents et pourrait, dans le ca</w:t>
      </w:r>
      <w:r>
        <w:rPr>
          <w:rFonts w:ascii="Times New Roman" w:hAnsi="Times New Roman"/>
          <w:noProof/>
          <w:sz w:val="24"/>
          <w:lang w:val="fr-BE"/>
        </w:rPr>
        <w:t xml:space="preserve">dre de financements mixtes, également contribuer à InvestEU. </w:t>
      </w:r>
    </w:p>
    <w:p w:rsidR="00B0540B" w:rsidRDefault="009A6B73">
      <w:pPr>
        <w:spacing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L’ampleur du défi en matière d'investissement est telle qu’elle dépasse la capacité des seuls fonds publics, d’où l’importance de mécanismes efficaces pour attirer le capital privé. Une combinai</w:t>
      </w:r>
      <w:r>
        <w:rPr>
          <w:rFonts w:ascii="Times New Roman" w:hAnsi="Times New Roman"/>
          <w:noProof/>
          <w:sz w:val="24"/>
          <w:lang w:val="fr-BE"/>
        </w:rPr>
        <w:t>son de sources de financement publiques et privées est donc essentielle</w:t>
      </w:r>
      <w:r>
        <w:rPr>
          <w:rStyle w:val="FootnoteReference"/>
          <w:rFonts w:ascii="Times New Roman" w:hAnsi="Times New Roman"/>
          <w:noProof/>
          <w:sz w:val="24"/>
        </w:rPr>
        <w:footnoteReference w:id="42"/>
      </w:r>
      <w:r>
        <w:rPr>
          <w:noProof/>
          <w:lang w:val="fr-BE"/>
        </w:rPr>
        <w:t>.</w:t>
      </w:r>
    </w:p>
    <w:p w:rsidR="00B0540B" w:rsidRDefault="009A6B73">
      <w:pPr>
        <w:spacing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Des mécanismes de financement innovants associant secteur public et secteur privé sont utilisés conformément à l’objectif de l’UE concernant l'innovation dans le domaine de l’énergie</w:t>
      </w:r>
      <w:r>
        <w:rPr>
          <w:rFonts w:ascii="Times New Roman" w:hAnsi="Times New Roman"/>
          <w:noProof/>
          <w:sz w:val="24"/>
          <w:lang w:val="fr-BE"/>
        </w:rPr>
        <w:t xml:space="preserve"> propre. En octobre 2018, la Commission et Breakthrough Energy ont convenu de lancer un nouveau modèle de coopération entre le secteur public et le secteur privé afin de mobiliser davantage d’investissements privés directs dans les entreprises et les acteu</w:t>
      </w:r>
      <w:r>
        <w:rPr>
          <w:rFonts w:ascii="Times New Roman" w:hAnsi="Times New Roman"/>
          <w:noProof/>
          <w:sz w:val="24"/>
          <w:lang w:val="fr-BE"/>
        </w:rPr>
        <w:t>rs de l’innovation européens à l’origine de technologies sobres en carbone résolument novatrices qui apportent des solutions au changement climatique</w:t>
      </w:r>
      <w:r>
        <w:rPr>
          <w:rStyle w:val="FootnoteReference"/>
          <w:rFonts w:ascii="Times New Roman" w:hAnsi="Times New Roman"/>
          <w:noProof/>
          <w:sz w:val="24"/>
        </w:rPr>
        <w:footnoteReference w:id="43"/>
      </w:r>
      <w:r>
        <w:rPr>
          <w:noProof/>
          <w:lang w:val="fr-BE"/>
        </w:rPr>
        <w:t>.</w:t>
      </w:r>
      <w:r>
        <w:rPr>
          <w:rFonts w:ascii="Times New Roman" w:hAnsi="Times New Roman"/>
          <w:noProof/>
          <w:sz w:val="24"/>
          <w:lang w:val="fr-BE"/>
        </w:rPr>
        <w:t xml:space="preserve"> Une capitalisation initiale de 100 000 000 EUR est envisagée dans le cadre de ce véhicule d’investisseme</w:t>
      </w:r>
      <w:r>
        <w:rPr>
          <w:rFonts w:ascii="Times New Roman" w:hAnsi="Times New Roman"/>
          <w:noProof/>
          <w:sz w:val="24"/>
          <w:lang w:val="fr-BE"/>
        </w:rPr>
        <w:t>nt conjoint. Elle se compose de 50 000 000 EUR provenant de Breakthrough Energy (ou de ses filiales) et de 50 000 000 EUR fournis par la Commission par l’intermédiaire d’InnovFin, l’instrument financier d’Horizon 2020 géré par la Banque européenne d'invest</w:t>
      </w:r>
      <w:r>
        <w:rPr>
          <w:rFonts w:ascii="Times New Roman" w:hAnsi="Times New Roman"/>
          <w:noProof/>
          <w:sz w:val="24"/>
          <w:lang w:val="fr-BE"/>
        </w:rPr>
        <w:t xml:space="preserve">issement. </w:t>
      </w:r>
    </w:p>
    <w:p w:rsidR="00B0540B" w:rsidRDefault="009A6B73">
      <w:pPr>
        <w:spacing w:line="240" w:lineRule="auto"/>
        <w:contextualSpacing/>
        <w:jc w:val="both"/>
        <w:rPr>
          <w:rFonts w:ascii="Times New Roman" w:eastAsia="Times New Roman" w:hAnsi="Times New Roman" w:cs="Times New Roman"/>
          <w:noProof/>
          <w:sz w:val="24"/>
          <w:szCs w:val="24"/>
          <w:lang w:val="fr-BE"/>
        </w:rPr>
      </w:pPr>
      <w:r>
        <w:rPr>
          <w:rFonts w:ascii="Times New Roman" w:hAnsi="Times New Roman"/>
          <w:noProof/>
          <w:sz w:val="24"/>
          <w:lang w:val="fr-BE"/>
        </w:rPr>
        <w:t>En outre, l’alliance européenne pour les batteries examine le potentiel de projets transfrontières d’innovation de rupture en vue d’accéder à des financements publics qui seraient compatibles avec les règles de l’UE en matière d’aides d’État app</w:t>
      </w:r>
      <w:r>
        <w:rPr>
          <w:rFonts w:ascii="Times New Roman" w:hAnsi="Times New Roman"/>
          <w:noProof/>
          <w:sz w:val="24"/>
          <w:lang w:val="fr-BE"/>
        </w:rPr>
        <w:t>licables aux projets importants d’intérêt européen commun (PIIEC)</w:t>
      </w:r>
      <w:r>
        <w:rPr>
          <w:rStyle w:val="FootnoteReference"/>
          <w:rFonts w:ascii="Times New Roman" w:hAnsi="Times New Roman"/>
          <w:noProof/>
          <w:sz w:val="24"/>
        </w:rPr>
        <w:footnoteReference w:id="44"/>
      </w:r>
      <w:r>
        <w:rPr>
          <w:noProof/>
          <w:lang w:val="fr-BE"/>
        </w:rPr>
        <w:t>.</w:t>
      </w:r>
      <w:r>
        <w:rPr>
          <w:rFonts w:ascii="Times New Roman" w:hAnsi="Times New Roman"/>
          <w:noProof/>
          <w:sz w:val="24"/>
          <w:lang w:val="fr-BE"/>
        </w:rPr>
        <w:t xml:space="preserve"> Plusieurs États membres de l’UE ont déjà lancé des processus pour identifier des consortiums potentiels et collaborent à la conception d’un ou de plusieurs PIIEC dans ce domaine</w:t>
      </w:r>
      <w:r>
        <w:rPr>
          <w:rStyle w:val="FootnoteReference"/>
          <w:rFonts w:ascii="Times New Roman" w:hAnsi="Times New Roman"/>
          <w:noProof/>
          <w:sz w:val="24"/>
        </w:rPr>
        <w:footnoteReference w:id="45"/>
      </w:r>
      <w:r>
        <w:rPr>
          <w:rFonts w:ascii="Times New Roman" w:hAnsi="Times New Roman"/>
          <w:noProof/>
          <w:sz w:val="24"/>
          <w:lang w:val="fr-BE"/>
        </w:rPr>
        <w:t>, avec pou</w:t>
      </w:r>
      <w:r>
        <w:rPr>
          <w:rFonts w:ascii="Times New Roman" w:hAnsi="Times New Roman"/>
          <w:noProof/>
          <w:sz w:val="24"/>
          <w:lang w:val="fr-BE"/>
        </w:rPr>
        <w:t>r objectif de demander l’approbation de la Commission dès que possible.</w:t>
      </w:r>
    </w:p>
    <w:p w:rsidR="00B0540B" w:rsidRDefault="00B0540B">
      <w:pPr>
        <w:spacing w:after="120" w:line="240" w:lineRule="auto"/>
        <w:jc w:val="both"/>
        <w:rPr>
          <w:rFonts w:ascii="Times New Roman" w:eastAsia="Times New Roman" w:hAnsi="Times New Roman" w:cs="Times New Roman"/>
          <w:noProof/>
          <w:sz w:val="24"/>
          <w:szCs w:val="24"/>
          <w:lang w:val="fr-BE"/>
        </w:rPr>
      </w:pPr>
    </w:p>
    <w:p w:rsidR="00B0540B" w:rsidRDefault="009A6B73">
      <w:pPr>
        <w:spacing w:line="240" w:lineRule="auto"/>
        <w:contextualSpacing/>
        <w:jc w:val="both"/>
        <w:rPr>
          <w:rFonts w:ascii="Times New Roman" w:eastAsia="Times New Roman" w:hAnsi="Times New Roman" w:cs="Times New Roman"/>
          <w:b/>
          <w:noProof/>
          <w:sz w:val="24"/>
          <w:szCs w:val="24"/>
          <w:lang w:val="fr-BE"/>
        </w:rPr>
      </w:pPr>
      <w:r>
        <w:rPr>
          <w:rFonts w:ascii="Times New Roman" w:hAnsi="Times New Roman"/>
          <w:b/>
          <w:noProof/>
          <w:sz w:val="24"/>
          <w:lang w:val="fr-BE"/>
        </w:rPr>
        <w:t>Investir dans le déploiement industriel de solutions innovantes à tous les stades de la chaîne de valeur des batteries</w:t>
      </w:r>
    </w:p>
    <w:p w:rsidR="00B0540B" w:rsidRDefault="00B0540B">
      <w:pPr>
        <w:spacing w:line="240" w:lineRule="auto"/>
        <w:contextualSpacing/>
        <w:jc w:val="both"/>
        <w:rPr>
          <w:rFonts w:ascii="Times New Roman" w:eastAsia="Times New Roman" w:hAnsi="Times New Roman" w:cs="Times New Roman"/>
          <w:noProof/>
          <w:sz w:val="24"/>
          <w:szCs w:val="24"/>
          <w:lang w:val="fr-BE"/>
        </w:rPr>
      </w:pPr>
    </w:p>
    <w:p w:rsidR="00B0540B" w:rsidRDefault="009A6B73">
      <w:pPr>
        <w:spacing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 xml:space="preserve">L’alliance européenne pour les batteries joue le rôle de </w:t>
      </w:r>
      <w:r>
        <w:rPr>
          <w:rFonts w:ascii="Times New Roman" w:hAnsi="Times New Roman"/>
          <w:noProof/>
          <w:sz w:val="24"/>
          <w:lang w:val="fr-BE"/>
        </w:rPr>
        <w:t>catalyseur pour créer une chaîne de valeur des batteries en Europe. Près de 260 acteurs industriels et du secteur de l’innovation ont rejoint ce réseau. Innoenergy de l’EIT (une communauté de la connaissance et de l'innovation de l’Institut européen d'inno</w:t>
      </w:r>
      <w:r>
        <w:rPr>
          <w:rFonts w:ascii="Times New Roman" w:hAnsi="Times New Roman"/>
          <w:noProof/>
          <w:sz w:val="24"/>
          <w:lang w:val="fr-BE"/>
        </w:rPr>
        <w:t>vation et de technologie) pilote ce réseau et a déjà annoncé des investissements privés consolidés atteignant jusqu’à 100 000 000 000 EUR et couvrant l’intégralité de la chaîne de valeur.</w:t>
      </w:r>
      <w:r>
        <w:rPr>
          <w:rStyle w:val="FootnoteReference"/>
          <w:rFonts w:ascii="Times New Roman" w:hAnsi="Times New Roman"/>
          <w:noProof/>
          <w:sz w:val="24"/>
          <w:lang w:val="fr-BE"/>
        </w:rPr>
        <w:t xml:space="preserve"> </w:t>
      </w:r>
      <w:r>
        <w:rPr>
          <w:rStyle w:val="FootnoteReference"/>
          <w:rFonts w:ascii="Times New Roman" w:hAnsi="Times New Roman"/>
          <w:noProof/>
          <w:sz w:val="24"/>
        </w:rPr>
        <w:footnoteReference w:id="46"/>
      </w:r>
      <w:r>
        <w:rPr>
          <w:rFonts w:ascii="Times New Roman" w:hAnsi="Times New Roman"/>
          <w:noProof/>
          <w:sz w:val="24"/>
          <w:lang w:val="fr-BE"/>
        </w:rPr>
        <w:t xml:space="preserve"> </w:t>
      </w:r>
    </w:p>
    <w:p w:rsidR="00B0540B" w:rsidRDefault="009A6B73">
      <w:pPr>
        <w:spacing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Cela inclut des annonces touchant à la production de matières pre</w:t>
      </w:r>
      <w:r>
        <w:rPr>
          <w:rFonts w:ascii="Times New Roman" w:hAnsi="Times New Roman"/>
          <w:noProof/>
          <w:sz w:val="24"/>
          <w:lang w:val="fr-BE"/>
        </w:rPr>
        <w:t>mières primaires et secondaires dans l’UE et des projets d’investissement dans la production de batteries par plusieurs consortiums européens, au nombre desquels le consortium qui débute la construction d’une ligne pilote en Suède avec le soutien de la Ban</w:t>
      </w:r>
      <w:r>
        <w:rPr>
          <w:rFonts w:ascii="Times New Roman" w:hAnsi="Times New Roman"/>
          <w:noProof/>
          <w:sz w:val="24"/>
          <w:lang w:val="fr-BE"/>
        </w:rPr>
        <w:t>que européenne d’investissement et un autre qui investit dans le développement de batteries Li-ion avancées, avant de passer à des batteries Li-ion à électrolyte solide, et qui pourrait commencer à produire dans les prochaines années. Des groupes spécialis</w:t>
      </w:r>
      <w:r>
        <w:rPr>
          <w:rFonts w:ascii="Times New Roman" w:hAnsi="Times New Roman"/>
          <w:noProof/>
          <w:sz w:val="24"/>
          <w:lang w:val="fr-BE"/>
        </w:rPr>
        <w:t>és dans les matériaux et le recyclage construisent des usines en Pologne et en Finlande pour produire, d’ici à 2020, des matériaux essentiels pour les batteries de véhicules électriques.</w:t>
      </w:r>
    </w:p>
    <w:p w:rsidR="00B0540B" w:rsidRDefault="00B0540B">
      <w:pPr>
        <w:spacing w:line="240" w:lineRule="auto"/>
        <w:contextualSpacing/>
        <w:jc w:val="both"/>
        <w:rPr>
          <w:rFonts w:ascii="Times New Roman" w:eastAsia="Times New Roman" w:hAnsi="Times New Roman" w:cs="Times New Roman"/>
          <w:noProof/>
          <w:sz w:val="24"/>
          <w:szCs w:val="24"/>
          <w:lang w:val="fr-BE"/>
        </w:rPr>
      </w:pPr>
    </w:p>
    <w:p w:rsidR="00B0540B" w:rsidRDefault="009A6B73">
      <w:pPr>
        <w:spacing w:line="240" w:lineRule="auto"/>
        <w:contextualSpacing/>
        <w:jc w:val="both"/>
        <w:rPr>
          <w:rFonts w:ascii="Times New Roman" w:eastAsia="Times New Roman" w:hAnsi="Times New Roman" w:cs="Times New Roman"/>
          <w:b/>
          <w:noProof/>
          <w:sz w:val="24"/>
          <w:szCs w:val="24"/>
          <w:lang w:val="fr-BE"/>
        </w:rPr>
      </w:pPr>
      <w:r>
        <w:rPr>
          <w:rFonts w:ascii="Times New Roman" w:hAnsi="Times New Roman"/>
          <w:b/>
          <w:noProof/>
          <w:sz w:val="24"/>
          <w:lang w:val="fr-BE"/>
        </w:rPr>
        <w:t xml:space="preserve">Fixer les normes définissant des batteries propres, sûres, </w:t>
      </w:r>
      <w:r>
        <w:rPr>
          <w:rFonts w:ascii="Times New Roman" w:hAnsi="Times New Roman"/>
          <w:b/>
          <w:noProof/>
          <w:sz w:val="24"/>
          <w:lang w:val="fr-BE"/>
        </w:rPr>
        <w:t>concurrentielles et fabriquées selon des procédés éthiques</w:t>
      </w:r>
    </w:p>
    <w:p w:rsidR="00B0540B" w:rsidRDefault="00B0540B">
      <w:pPr>
        <w:spacing w:after="0" w:line="240" w:lineRule="auto"/>
        <w:jc w:val="both"/>
        <w:rPr>
          <w:rFonts w:ascii="Times New Roman" w:eastAsia="Times New Roman" w:hAnsi="Times New Roman" w:cs="Times New Roman"/>
          <w:b/>
          <w:noProof/>
          <w:sz w:val="24"/>
          <w:szCs w:val="24"/>
          <w:lang w:val="fr-BE"/>
        </w:rPr>
      </w:pPr>
    </w:p>
    <w:p w:rsidR="00B0540B" w:rsidRDefault="009A6B73">
      <w:pPr>
        <w:spacing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L'objectif de faire de l'Europe un acteur de premier plan dans le secteur de la fabrication de batteries durables doit être sous-tendu avant tout par un cadre juridique solide complété par des nor</w:t>
      </w:r>
      <w:r>
        <w:rPr>
          <w:rFonts w:ascii="Times New Roman" w:hAnsi="Times New Roman"/>
          <w:noProof/>
          <w:sz w:val="24"/>
          <w:lang w:val="fr-BE"/>
        </w:rPr>
        <w:t>mes harmonisées à l’échelle européenne. Les exigences juridiques applicables aux batteries, pour qu’elles puissent être mises sur le marché de l’UE, et aux processus de fabrication concernés influenceront fortement le développement et le déploiement des te</w:t>
      </w:r>
      <w:r>
        <w:rPr>
          <w:rFonts w:ascii="Times New Roman" w:hAnsi="Times New Roman"/>
          <w:noProof/>
          <w:sz w:val="24"/>
          <w:lang w:val="fr-BE"/>
        </w:rPr>
        <w:t>chnologies liées aux batteries et l’impact que celles-ci auront sur la santé publique, la sécurité, le climat et l’environnement.</w:t>
      </w:r>
    </w:p>
    <w:p w:rsidR="00B0540B" w:rsidRDefault="009A6B73">
      <w:pPr>
        <w:spacing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 xml:space="preserve">Les futures exigences réglementaires porteront probablement sur les caractéristiques des batteries telles que la sécurité, la </w:t>
      </w:r>
      <w:r>
        <w:rPr>
          <w:rFonts w:ascii="Times New Roman" w:hAnsi="Times New Roman"/>
          <w:noProof/>
          <w:sz w:val="24"/>
          <w:lang w:val="fr-BE"/>
        </w:rPr>
        <w:t>connectivité, la performance, la durabilité, la bidirectionnalité, la réutilisation et la recyclabilité, l’efficience dans l’utilisation des ressources, voire les incidences du cycle de vie, comme l’«empreinte carbone»</w:t>
      </w:r>
      <w:r>
        <w:rPr>
          <w:rStyle w:val="FootnoteReference"/>
          <w:rFonts w:ascii="Times New Roman" w:hAnsi="Times New Roman"/>
          <w:noProof/>
          <w:sz w:val="24"/>
        </w:rPr>
        <w:footnoteReference w:id="47"/>
      </w:r>
      <w:r>
        <w:rPr>
          <w:noProof/>
          <w:lang w:val="fr-BE"/>
        </w:rPr>
        <w:t>.</w:t>
      </w:r>
      <w:r>
        <w:rPr>
          <w:rFonts w:ascii="Times New Roman" w:hAnsi="Times New Roman"/>
          <w:noProof/>
          <w:sz w:val="24"/>
          <w:lang w:val="fr-BE"/>
        </w:rPr>
        <w:t xml:space="preserve"> Elles devront être complétées par d</w:t>
      </w:r>
      <w:r>
        <w:rPr>
          <w:rFonts w:ascii="Times New Roman" w:hAnsi="Times New Roman"/>
          <w:noProof/>
          <w:sz w:val="24"/>
          <w:lang w:val="fr-BE"/>
        </w:rPr>
        <w:t>es exigences de nature plus générale concernant la chaîne de valeur dans les domaines de l’approvisionnement responsable, du transport et du stockage, ainsi que de la collecte des déchets et du recyclage. Dans le cas des batteries, ces exigences pourraient</w:t>
      </w:r>
      <w:r>
        <w:rPr>
          <w:rFonts w:ascii="Times New Roman" w:hAnsi="Times New Roman"/>
          <w:noProof/>
          <w:sz w:val="24"/>
          <w:lang w:val="fr-BE"/>
        </w:rPr>
        <w:t>, par exemple, être fixées dans le cadre du règlement sur l’écoconception et de la directive de l’UE sur les batteries</w:t>
      </w:r>
      <w:r>
        <w:rPr>
          <w:rStyle w:val="FootnoteReference"/>
          <w:rFonts w:ascii="Times New Roman" w:hAnsi="Times New Roman"/>
          <w:noProof/>
          <w:sz w:val="24"/>
        </w:rPr>
        <w:footnoteReference w:id="48"/>
      </w:r>
      <w:r>
        <w:rPr>
          <w:noProof/>
          <w:lang w:val="fr-BE"/>
        </w:rPr>
        <w:t>.</w:t>
      </w:r>
      <w:r>
        <w:rPr>
          <w:rFonts w:ascii="Times New Roman" w:hAnsi="Times New Roman"/>
          <w:noProof/>
          <w:sz w:val="24"/>
          <w:lang w:val="fr-BE"/>
        </w:rPr>
        <w:t xml:space="preserve"> Les résultats de l’évaluation de cette dernière par la Commission sont publiés en même temps que le présent rapport</w:t>
      </w:r>
      <w:r>
        <w:rPr>
          <w:rStyle w:val="FootnoteReference"/>
          <w:rFonts w:ascii="Times New Roman" w:hAnsi="Times New Roman"/>
          <w:noProof/>
          <w:sz w:val="24"/>
        </w:rPr>
        <w:footnoteReference w:id="49"/>
      </w:r>
      <w:r>
        <w:rPr>
          <w:noProof/>
          <w:lang w:val="fr-BE"/>
        </w:rPr>
        <w:t>.</w:t>
      </w:r>
    </w:p>
    <w:p w:rsidR="00B0540B" w:rsidRDefault="009A6B73">
      <w:pPr>
        <w:spacing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La Commission a é</w:t>
      </w:r>
      <w:r>
        <w:rPr>
          <w:rFonts w:ascii="Times New Roman" w:hAnsi="Times New Roman"/>
          <w:noProof/>
          <w:sz w:val="24"/>
          <w:lang w:val="fr-BE"/>
        </w:rPr>
        <w:t>galement entamé l’élaboration d’exigences minimales concernant les performances et la durabilité des batteries. Ces critères doivent être étayés par des normes harmonisées fondées sur des données scientifiques, qui seront utilisées par l’industrie pour att</w:t>
      </w:r>
      <w:r>
        <w:rPr>
          <w:rFonts w:ascii="Times New Roman" w:hAnsi="Times New Roman"/>
          <w:noProof/>
          <w:sz w:val="24"/>
          <w:lang w:val="fr-BE"/>
        </w:rPr>
        <w:t xml:space="preserve">ester le respect des exigences réglementaires énoncées dans la législation de l’UE. La Commission et les organismes européens de normalisation (CEN/CENELEC) collaborent étroitement pour veiller à ce que l’élaboration des normes se fasse selon une approche </w:t>
      </w:r>
      <w:r>
        <w:rPr>
          <w:rFonts w:ascii="Times New Roman" w:hAnsi="Times New Roman"/>
          <w:noProof/>
          <w:sz w:val="24"/>
          <w:lang w:val="fr-BE"/>
        </w:rPr>
        <w:t>coordonnée et un calendrier opportun.</w:t>
      </w:r>
    </w:p>
    <w:p w:rsidR="00B0540B" w:rsidRDefault="009A6B73">
      <w:pPr>
        <w:spacing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Les fabricants de batteries européens ont déjà montré qu’ils étaient prêts à harmoniser les exigences environnementales pour calculer l’empreinte écologique de leurs produits tout au long du cycle de vie des batteries.</w:t>
      </w:r>
      <w:r>
        <w:rPr>
          <w:rFonts w:ascii="Times New Roman" w:hAnsi="Times New Roman"/>
          <w:noProof/>
          <w:sz w:val="24"/>
          <w:lang w:val="fr-BE"/>
        </w:rPr>
        <w:t xml:space="preserve"> Ces règles constituent un point de départ encourageant pour instaurer la viabilité du secteur des batteries européen</w:t>
      </w:r>
      <w:r>
        <w:rPr>
          <w:rStyle w:val="FootnoteReference"/>
          <w:rFonts w:ascii="Times New Roman" w:hAnsi="Times New Roman"/>
          <w:noProof/>
          <w:sz w:val="24"/>
        </w:rPr>
        <w:footnoteReference w:id="50"/>
      </w:r>
      <w:r>
        <w:rPr>
          <w:rFonts w:ascii="Times New Roman" w:hAnsi="Times New Roman"/>
          <w:noProof/>
          <w:sz w:val="24"/>
          <w:lang w:val="fr-BE"/>
        </w:rPr>
        <w:t>.</w:t>
      </w:r>
    </w:p>
    <w:p w:rsidR="00B0540B" w:rsidRDefault="009A6B73">
      <w:pPr>
        <w:spacing w:line="240" w:lineRule="auto"/>
        <w:jc w:val="both"/>
        <w:rPr>
          <w:rFonts w:ascii="Times New Roman" w:eastAsia="Times New Roman" w:hAnsi="Times New Roman" w:cs="Times New Roman"/>
          <w:b/>
          <w:noProof/>
          <w:sz w:val="24"/>
          <w:szCs w:val="24"/>
          <w:lang w:val="fr-BE"/>
        </w:rPr>
      </w:pPr>
      <w:r>
        <w:rPr>
          <w:rFonts w:ascii="Times New Roman" w:hAnsi="Times New Roman"/>
          <w:b/>
          <w:noProof/>
          <w:sz w:val="24"/>
          <w:lang w:val="fr-BE"/>
        </w:rPr>
        <w:t>Marché du travail et main-d’œuvre compétente: investir dans le facteur humain</w:t>
      </w:r>
    </w:p>
    <w:p w:rsidR="00B0540B" w:rsidRDefault="009A6B73">
      <w:pPr>
        <w:spacing w:line="240" w:lineRule="auto"/>
        <w:jc w:val="both"/>
        <w:rPr>
          <w:rFonts w:ascii="Times New Roman" w:hAnsi="Times New Roman" w:cs="Times New Roman"/>
          <w:noProof/>
          <w:lang w:val="fr-BE"/>
        </w:rPr>
      </w:pPr>
      <w:r>
        <w:rPr>
          <w:rFonts w:ascii="Times New Roman" w:hAnsi="Times New Roman"/>
          <w:noProof/>
          <w:sz w:val="24"/>
          <w:lang w:val="fr-BE"/>
        </w:rPr>
        <w:t>Si la main-d’œuvre de l’UE est hautement qualifiée, elle n</w:t>
      </w:r>
      <w:r>
        <w:rPr>
          <w:rFonts w:ascii="Times New Roman" w:hAnsi="Times New Roman"/>
          <w:noProof/>
          <w:sz w:val="24"/>
          <w:lang w:val="fr-BE"/>
        </w:rPr>
        <w:t>’est pas encore suffisamment étoffée dans les compétences spécialisées liées aux batteries, notamment dans le domaine de la conception de procédés appliqués et la fabrication de cellules. Une action est menée au niveau de l’UE et des États membres pour con</w:t>
      </w:r>
      <w:r>
        <w:rPr>
          <w:rFonts w:ascii="Times New Roman" w:hAnsi="Times New Roman"/>
          <w:noProof/>
          <w:sz w:val="24"/>
          <w:lang w:val="fr-BE"/>
        </w:rPr>
        <w:t>tribuer à remédier à ce déficit de compétences et faire de l’Europe un endroit attirant pour les spécialistes du développement et de la production de batteries d’envergure mondiale.</w:t>
      </w:r>
      <w:r>
        <w:rPr>
          <w:rFonts w:ascii="Times New Roman" w:hAnsi="Times New Roman"/>
          <w:noProof/>
          <w:lang w:val="fr-BE"/>
        </w:rPr>
        <w:t xml:space="preserve"> </w:t>
      </w:r>
    </w:p>
    <w:p w:rsidR="00B0540B" w:rsidRDefault="009A6B73">
      <w:pPr>
        <w:spacing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Conformément au socle européen des droits sociaux</w:t>
      </w:r>
      <w:r>
        <w:rPr>
          <w:rStyle w:val="FootnoteReference"/>
          <w:rFonts w:ascii="Times New Roman" w:hAnsi="Times New Roman"/>
          <w:noProof/>
          <w:sz w:val="24"/>
        </w:rPr>
        <w:footnoteReference w:id="51"/>
      </w:r>
      <w:r>
        <w:rPr>
          <w:rFonts w:ascii="Times New Roman" w:hAnsi="Times New Roman"/>
          <w:noProof/>
          <w:sz w:val="24"/>
          <w:lang w:val="fr-BE"/>
        </w:rPr>
        <w:t>, des efforts collabora</w:t>
      </w:r>
      <w:r>
        <w:rPr>
          <w:rFonts w:ascii="Times New Roman" w:hAnsi="Times New Roman"/>
          <w:noProof/>
          <w:sz w:val="24"/>
          <w:lang w:val="fr-BE"/>
        </w:rPr>
        <w:t>tifs seront nécessaires entre les établissements d’enseignement et de formation, les partenaires sociaux et les acteurs de la chaîne de valeur des batteries pour concevoir et mettre en œuvre des programmes de formation, de recyclage et de perfectionnement</w:t>
      </w:r>
      <w:r>
        <w:rPr>
          <w:rStyle w:val="FootnoteReference"/>
          <w:rFonts w:ascii="Times New Roman" w:hAnsi="Times New Roman"/>
          <w:noProof/>
          <w:sz w:val="24"/>
        </w:rPr>
        <w:footnoteReference w:id="52"/>
      </w:r>
      <w:r>
        <w:rPr>
          <w:noProof/>
          <w:lang w:val="fr-BE"/>
        </w:rPr>
        <w:t>.</w:t>
      </w:r>
    </w:p>
    <w:p w:rsidR="00B0540B" w:rsidRDefault="009A6B73">
      <w:pPr>
        <w:spacing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En conséquence, la Commission a inscrit les batteries parmi les sujets clés susceptibles de bénéficier d’un financement dans le cadre du plan de coopération sectorielle en matière de compétences relevant d’Erasmus+ et ce projet, d’une durée de quatre ans</w:t>
      </w:r>
      <w:r>
        <w:rPr>
          <w:rFonts w:ascii="Times New Roman" w:hAnsi="Times New Roman"/>
          <w:noProof/>
          <w:sz w:val="24"/>
          <w:lang w:val="fr-BE"/>
        </w:rPr>
        <w:t>, devrait débuter d’ici à la fin de 2019.</w:t>
      </w:r>
      <w:r>
        <w:rPr>
          <w:rStyle w:val="FootnoteReference"/>
          <w:rFonts w:ascii="Times New Roman" w:hAnsi="Times New Roman"/>
          <w:noProof/>
          <w:sz w:val="24"/>
        </w:rPr>
        <w:footnoteReference w:id="53"/>
      </w:r>
      <w:r>
        <w:rPr>
          <w:noProof/>
          <w:lang w:val="fr-BE"/>
        </w:rPr>
        <w:t>.</w:t>
      </w:r>
      <w:r>
        <w:rPr>
          <w:rFonts w:ascii="Times New Roman" w:hAnsi="Times New Roman"/>
          <w:noProof/>
          <w:sz w:val="24"/>
          <w:lang w:val="fr-BE"/>
        </w:rPr>
        <w:t xml:space="preserve"> </w:t>
      </w:r>
    </w:p>
    <w:p w:rsidR="00B0540B" w:rsidRDefault="009A6B73">
      <w:pPr>
        <w:spacing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En parallèle, InnoEnergy de l’EIT collabore avec un réseau d’acteurs compétents (universités, centres de formation, etc.) pour créer des programmes d’enseignement et des diplômes de niveau master solides dans le</w:t>
      </w:r>
      <w:r>
        <w:rPr>
          <w:rFonts w:ascii="Times New Roman" w:hAnsi="Times New Roman"/>
          <w:noProof/>
          <w:sz w:val="24"/>
          <w:lang w:val="fr-BE"/>
        </w:rPr>
        <w:t xml:space="preserve"> domaine de la transition énergétique, de même que des formations destinées au personnel d’encadrement des entreprises. </w:t>
      </w:r>
    </w:p>
    <w:p w:rsidR="00B0540B" w:rsidRDefault="009A6B73">
      <w:pPr>
        <w:spacing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Pour accroître la disponibilité d’installations de formation et de recherche, la Commission a, dans son plan d’action stratégique sur l</w:t>
      </w:r>
      <w:r>
        <w:rPr>
          <w:rFonts w:ascii="Times New Roman" w:hAnsi="Times New Roman"/>
          <w:noProof/>
          <w:sz w:val="24"/>
          <w:lang w:val="fr-BE"/>
        </w:rPr>
        <w:t>es batteries, encouragé les centres de recherche à offrir l'accès à leurs laboratoires de batteries. À cette fin, le Centre commun de recherche de la Commission a déjà ouvert l’accès aux laboratoires d’essais de batteries de l’UE.</w:t>
      </w:r>
    </w:p>
    <w:p w:rsidR="00B0540B" w:rsidRDefault="009A6B73">
      <w:pPr>
        <w:autoSpaceDE w:val="0"/>
        <w:autoSpaceDN w:val="0"/>
        <w:adjustRightInd w:val="0"/>
        <w:spacing w:after="0" w:line="240" w:lineRule="auto"/>
        <w:jc w:val="both"/>
        <w:rPr>
          <w:rFonts w:ascii="Times New Roman" w:eastAsia="Times New Roman" w:hAnsi="Times New Roman" w:cs="Times New Roman"/>
          <w:b/>
          <w:noProof/>
          <w:sz w:val="24"/>
          <w:szCs w:val="24"/>
          <w:lang w:val="fr-BE"/>
        </w:rPr>
      </w:pPr>
      <w:r>
        <w:rPr>
          <w:rFonts w:ascii="Times New Roman" w:hAnsi="Times New Roman"/>
          <w:b/>
          <w:noProof/>
          <w:sz w:val="24"/>
          <w:lang w:val="fr-BE"/>
        </w:rPr>
        <w:t xml:space="preserve">Une approche stratégique </w:t>
      </w:r>
      <w:r>
        <w:rPr>
          <w:rFonts w:ascii="Times New Roman" w:hAnsi="Times New Roman"/>
          <w:b/>
          <w:noProof/>
          <w:sz w:val="24"/>
          <w:lang w:val="fr-BE"/>
        </w:rPr>
        <w:t>pour garantir un accès durable aux matières premières pour batteries</w:t>
      </w:r>
    </w:p>
    <w:p w:rsidR="00B0540B" w:rsidRDefault="00B0540B">
      <w:pPr>
        <w:autoSpaceDE w:val="0"/>
        <w:autoSpaceDN w:val="0"/>
        <w:adjustRightInd w:val="0"/>
        <w:spacing w:after="0" w:line="240" w:lineRule="auto"/>
        <w:jc w:val="both"/>
        <w:rPr>
          <w:rFonts w:ascii="Times New Roman" w:eastAsia="Times New Roman" w:hAnsi="Times New Roman" w:cs="Times New Roman"/>
          <w:noProof/>
          <w:sz w:val="24"/>
          <w:szCs w:val="24"/>
          <w:lang w:val="fr-BE"/>
        </w:rPr>
      </w:pPr>
    </w:p>
    <w:p w:rsidR="00B0540B" w:rsidRDefault="009A6B73">
      <w:pPr>
        <w:autoSpaceDE w:val="0"/>
        <w:autoSpaceDN w:val="0"/>
        <w:adjustRightInd w:val="0"/>
        <w:spacing w:after="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Garantir un accès aux matières premières pour batteries est essentiel pour réaliser l’ambition de l’UE de devenir compétitive dans le secteur des batteries au niveau mondial. Des estimat</w:t>
      </w:r>
      <w:r>
        <w:rPr>
          <w:rFonts w:ascii="Times New Roman" w:hAnsi="Times New Roman"/>
          <w:noProof/>
          <w:sz w:val="24"/>
          <w:lang w:val="fr-BE"/>
        </w:rPr>
        <w:t xml:space="preserve">ions récentes indiquent qu’en 2030, rien que pour maintenir le recours futur à l’électromobilité, la demande de lithium, de cobalt et de graphite naturel pour les véhicules hybrides et électriques au sein de l’UE pourrait être considérablement plus élevée </w:t>
      </w:r>
      <w:r>
        <w:rPr>
          <w:rFonts w:ascii="Times New Roman" w:hAnsi="Times New Roman"/>
          <w:noProof/>
          <w:sz w:val="24"/>
          <w:lang w:val="fr-BE"/>
        </w:rPr>
        <w:t>qu’en 2015</w:t>
      </w:r>
      <w:r>
        <w:rPr>
          <w:rFonts w:ascii="Times New Roman" w:hAnsi="Times New Roman"/>
          <w:noProof/>
          <w:sz w:val="24"/>
          <w:vertAlign w:val="superscript"/>
        </w:rPr>
        <w:footnoteReference w:id="54"/>
      </w:r>
      <w:r>
        <w:rPr>
          <w:rFonts w:ascii="Times New Roman" w:hAnsi="Times New Roman"/>
          <w:noProof/>
          <w:sz w:val="24"/>
          <w:lang w:val="fr-BE"/>
        </w:rPr>
        <w:t>. Afin de réduire la dépendance de l’UE à l’égard des importations de matières premières pour batteries, il y a lieu de faciliter l’accès aux sources nationales primaires et secondaires de l’UE et d’assurer un approvisionnement sûr et durable au</w:t>
      </w:r>
      <w:r>
        <w:rPr>
          <w:rFonts w:ascii="Times New Roman" w:hAnsi="Times New Roman"/>
          <w:noProof/>
          <w:sz w:val="24"/>
          <w:lang w:val="fr-BE"/>
        </w:rPr>
        <w:t>près de pays hors UE riches en ressources.</w:t>
      </w:r>
      <w:r>
        <w:rPr>
          <w:rFonts w:ascii="Times New Roman" w:hAnsi="Times New Roman"/>
          <w:noProof/>
          <w:sz w:val="20"/>
          <w:lang w:val="fr-BE"/>
        </w:rPr>
        <w:t xml:space="preserve"> </w:t>
      </w:r>
      <w:r>
        <w:rPr>
          <w:rFonts w:ascii="Times New Roman" w:hAnsi="Times New Roman"/>
          <w:noProof/>
          <w:sz w:val="24"/>
          <w:lang w:val="fr-BE"/>
        </w:rPr>
        <w:t xml:space="preserve">Conformément aux engagements pris par l’UE dans le cadre de l’Organisation mondiale du commerce (OMC), il importe de prendre des mesures pour que cet approvisionnement extérieur s’effectue de façon équitable, </w:t>
      </w:r>
      <w:r>
        <w:rPr>
          <w:rFonts w:ascii="Times New Roman" w:hAnsi="Times New Roman"/>
          <w:noProof/>
          <w:sz w:val="24"/>
          <w:lang w:val="fr-BE"/>
        </w:rPr>
        <w:t>durable et éthique, et contribue positivement à la réalisation de divers objectifs de développement durable</w:t>
      </w:r>
      <w:r>
        <w:rPr>
          <w:rStyle w:val="FootnoteReference"/>
          <w:rFonts w:ascii="Times New Roman" w:hAnsi="Times New Roman"/>
          <w:noProof/>
          <w:sz w:val="24"/>
        </w:rPr>
        <w:footnoteReference w:id="55"/>
      </w:r>
      <w:r>
        <w:rPr>
          <w:rFonts w:ascii="Times New Roman" w:hAnsi="Times New Roman"/>
          <w:noProof/>
          <w:sz w:val="24"/>
          <w:lang w:val="fr-BE"/>
        </w:rPr>
        <w:t>. Dans ce contexte, l’utilisation de matières premières produites de manière durable est essentielle pour l’empreinte environnementale des batteries</w:t>
      </w:r>
      <w:r>
        <w:rPr>
          <w:rFonts w:ascii="Times New Roman" w:hAnsi="Times New Roman"/>
          <w:noProof/>
          <w:sz w:val="24"/>
          <w:lang w:val="fr-BE"/>
        </w:rPr>
        <w:t xml:space="preserve"> et de l’ensemble du parc automobile électrique.</w:t>
      </w:r>
    </w:p>
    <w:p w:rsidR="00B0540B" w:rsidRDefault="00B0540B">
      <w:pPr>
        <w:autoSpaceDE w:val="0"/>
        <w:autoSpaceDN w:val="0"/>
        <w:adjustRightInd w:val="0"/>
        <w:spacing w:after="0" w:line="240" w:lineRule="auto"/>
        <w:jc w:val="both"/>
        <w:rPr>
          <w:rFonts w:ascii="Times New Roman" w:eastAsia="Times New Roman" w:hAnsi="Times New Roman" w:cs="Times New Roman"/>
          <w:noProof/>
          <w:sz w:val="24"/>
          <w:szCs w:val="24"/>
          <w:lang w:val="fr-BE"/>
        </w:rPr>
      </w:pPr>
    </w:p>
    <w:p w:rsidR="00B0540B" w:rsidRDefault="009A6B73">
      <w:pPr>
        <w:autoSpaceDE w:val="0"/>
        <w:autoSpaceDN w:val="0"/>
        <w:adjustRightInd w:val="0"/>
        <w:spacing w:after="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 xml:space="preserve">En ce qui concerne la politique commerciale, au niveau bilatéral, outre les dispositions relatives aux matières premières, présentes dans les accords de libre-échange (ALE) avec des partenaires tels que le </w:t>
      </w:r>
      <w:r>
        <w:rPr>
          <w:rFonts w:ascii="Times New Roman" w:hAnsi="Times New Roman"/>
          <w:noProof/>
          <w:sz w:val="24"/>
          <w:lang w:val="fr-BE"/>
        </w:rPr>
        <w:t xml:space="preserve">Canada et le Mexique, l’UE a proposé des dispositions portant sur l’approvisionnement durable en matières premières dans le contexte des négociations ALE en cours avec des partenaires importants dans le domaine des matériaux pour batteries, comme le Chili </w:t>
      </w:r>
      <w:r>
        <w:rPr>
          <w:rFonts w:ascii="Times New Roman" w:hAnsi="Times New Roman"/>
          <w:noProof/>
          <w:sz w:val="24"/>
          <w:lang w:val="fr-BE"/>
        </w:rPr>
        <w:t xml:space="preserve">et l’Australie. La Commission est également en train de négocier la suppression des droits à l’exportation et des restrictions quantitatives sur les matières premières dans le cadre des négociations bilatérales avec l’Indonésie. Au niveau multilatéral, au </w:t>
      </w:r>
      <w:r>
        <w:rPr>
          <w:rFonts w:ascii="Times New Roman" w:hAnsi="Times New Roman"/>
          <w:noProof/>
          <w:sz w:val="24"/>
          <w:lang w:val="fr-BE"/>
        </w:rPr>
        <w:t>sein de l’OMC, l’UE a déjà contesté avec succès les restrictions à l’exportation mises en place par la Chine</w:t>
      </w:r>
      <w:r>
        <w:rPr>
          <w:rStyle w:val="FootnoteReference"/>
          <w:rFonts w:ascii="Times New Roman" w:hAnsi="Times New Roman"/>
          <w:noProof/>
          <w:sz w:val="24"/>
        </w:rPr>
        <w:footnoteReference w:id="56"/>
      </w:r>
      <w:r>
        <w:rPr>
          <w:rFonts w:ascii="Times New Roman" w:hAnsi="Times New Roman"/>
          <w:noProof/>
          <w:sz w:val="24"/>
          <w:lang w:val="fr-BE"/>
        </w:rPr>
        <w:t>.</w:t>
      </w:r>
    </w:p>
    <w:p w:rsidR="00B0540B" w:rsidRDefault="00B0540B">
      <w:pPr>
        <w:autoSpaceDE w:val="0"/>
        <w:autoSpaceDN w:val="0"/>
        <w:adjustRightInd w:val="0"/>
        <w:spacing w:after="0" w:line="240" w:lineRule="auto"/>
        <w:jc w:val="both"/>
        <w:rPr>
          <w:rFonts w:ascii="Times New Roman" w:hAnsi="Times New Roman" w:cs="Times New Roman"/>
          <w:b/>
          <w:noProof/>
          <w:sz w:val="20"/>
          <w:szCs w:val="20"/>
          <w:lang w:val="fr-BE"/>
        </w:rPr>
      </w:pPr>
    </w:p>
    <w:p w:rsidR="00B0540B" w:rsidRDefault="009A6B73">
      <w:pPr>
        <w:autoSpaceDE w:val="0"/>
        <w:autoSpaceDN w:val="0"/>
        <w:adjustRightInd w:val="0"/>
        <w:spacing w:after="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Par ailleurs, la Commission examine toutes les demandes de suspension tarifaire au cas par cas afin de s’assurer que, conformément aux politique</w:t>
      </w:r>
      <w:r>
        <w:rPr>
          <w:rFonts w:ascii="Times New Roman" w:hAnsi="Times New Roman"/>
          <w:noProof/>
          <w:sz w:val="24"/>
          <w:lang w:val="fr-BE"/>
        </w:rPr>
        <w:t>s de l’Union, elles sont accordées temporairement lorsqu’il est clairement démontré qu’il existe des raisons économiques valables de le faire, compte étant également tenu des projets industriels en cours visant à combler les lacunes existantes dans la chaî</w:t>
      </w:r>
      <w:r>
        <w:rPr>
          <w:rFonts w:ascii="Times New Roman" w:hAnsi="Times New Roman"/>
          <w:noProof/>
          <w:sz w:val="24"/>
          <w:lang w:val="fr-BE"/>
        </w:rPr>
        <w:t>ne de valeur de l’UE.</w:t>
      </w:r>
    </w:p>
    <w:p w:rsidR="00B0540B" w:rsidRDefault="00B0540B">
      <w:pPr>
        <w:autoSpaceDE w:val="0"/>
        <w:autoSpaceDN w:val="0"/>
        <w:adjustRightInd w:val="0"/>
        <w:spacing w:after="0" w:line="240" w:lineRule="auto"/>
        <w:jc w:val="both"/>
        <w:rPr>
          <w:rFonts w:ascii="Times New Roman" w:eastAsia="Times New Roman" w:hAnsi="Times New Roman" w:cs="Times New Roman"/>
          <w:noProof/>
          <w:sz w:val="24"/>
          <w:szCs w:val="24"/>
          <w:lang w:val="fr-BE"/>
        </w:rPr>
      </w:pPr>
    </w:p>
    <w:p w:rsidR="00B0540B" w:rsidRDefault="009A6B73">
      <w:pPr>
        <w:autoSpaceDE w:val="0"/>
        <w:autoSpaceDN w:val="0"/>
        <w:adjustRightInd w:val="0"/>
        <w:spacing w:after="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 xml:space="preserve">Sur le plan intérieur, la Commission a engagé un dialogue avec les États membres de l’UE afin de cartographier la disponibilité, en Europe, de matières premières pour batteries, dont le cobalt, le lithium, le graphite naturel et le </w:t>
      </w:r>
      <w:r>
        <w:rPr>
          <w:rFonts w:ascii="Times New Roman" w:hAnsi="Times New Roman"/>
          <w:noProof/>
          <w:sz w:val="24"/>
          <w:lang w:val="fr-BE"/>
        </w:rPr>
        <w:t>nickel. Il en ressort qu’en dépit du potentiel géologique de l’Europe, l’extraction de matières premières pour batteries est limitée et concentrée dans un petit nombre de pays européens. Une plus grande exploitation de ce potentiel permettrait de réduire l</w:t>
      </w:r>
      <w:r>
        <w:rPr>
          <w:rFonts w:ascii="Times New Roman" w:hAnsi="Times New Roman"/>
          <w:noProof/>
          <w:sz w:val="24"/>
          <w:lang w:val="fr-BE"/>
        </w:rPr>
        <w:t>e risque pesant sur la sécurité de l’approvisionnement en matières premières pour batteries.</w:t>
      </w:r>
      <w:r>
        <w:rPr>
          <w:rStyle w:val="FootnoteReference"/>
          <w:rFonts w:ascii="Times New Roman" w:hAnsi="Times New Roman"/>
          <w:noProof/>
          <w:sz w:val="24"/>
          <w:lang w:val="fr-BE"/>
        </w:rPr>
        <w:t xml:space="preserve"> </w:t>
      </w:r>
      <w:r>
        <w:rPr>
          <w:rStyle w:val="FootnoteReference"/>
          <w:rFonts w:ascii="Times New Roman" w:hAnsi="Times New Roman"/>
          <w:noProof/>
          <w:sz w:val="24"/>
        </w:rPr>
        <w:footnoteReference w:id="57"/>
      </w:r>
      <w:r>
        <w:rPr>
          <w:rFonts w:ascii="Times New Roman" w:hAnsi="Times New Roman"/>
          <w:noProof/>
          <w:sz w:val="24"/>
          <w:lang w:val="fr-BE"/>
        </w:rPr>
        <w:t xml:space="preserve"> En outre, si l’Europe dispose de capacités de transformation pour le cobalt et le nickel, ce n’est pas le cas pour les composés du lithium ou pour le graphite na</w:t>
      </w:r>
      <w:r>
        <w:rPr>
          <w:rFonts w:ascii="Times New Roman" w:hAnsi="Times New Roman"/>
          <w:noProof/>
          <w:sz w:val="24"/>
          <w:lang w:val="fr-BE"/>
        </w:rPr>
        <w:t>turel de qualité «batteries». Autrement dit, même s’il était possible d’accroître l’extraction du lithium et du graphite naturel en Europe, tous les matériaux – du moins à court terme – devraient être expédiés vers des pays hors d’Europe en vue de leur tra</w:t>
      </w:r>
      <w:r>
        <w:rPr>
          <w:rFonts w:ascii="Times New Roman" w:hAnsi="Times New Roman"/>
          <w:noProof/>
          <w:sz w:val="24"/>
          <w:lang w:val="fr-BE"/>
        </w:rPr>
        <w:t>nsformation en matériaux de qualité «batteries». La Commission collabore avec la Banque européenne d’investissement (BEI), les principaux acteurs industriels et les États membres afin de combler cette lacune dans la chaîne de valeur</w:t>
      </w:r>
      <w:r>
        <w:rPr>
          <w:rStyle w:val="FootnoteReference"/>
          <w:rFonts w:ascii="Times New Roman" w:hAnsi="Times New Roman"/>
          <w:noProof/>
          <w:sz w:val="24"/>
        </w:rPr>
        <w:footnoteReference w:id="58"/>
      </w:r>
      <w:r>
        <w:rPr>
          <w:rFonts w:ascii="Times New Roman" w:hAnsi="Times New Roman"/>
          <w:noProof/>
          <w:sz w:val="24"/>
          <w:lang w:val="fr-BE"/>
        </w:rPr>
        <w:t>.</w:t>
      </w:r>
    </w:p>
    <w:p w:rsidR="00B0540B" w:rsidRDefault="00B0540B">
      <w:pPr>
        <w:autoSpaceDE w:val="0"/>
        <w:autoSpaceDN w:val="0"/>
        <w:adjustRightInd w:val="0"/>
        <w:spacing w:after="0" w:line="240" w:lineRule="auto"/>
        <w:jc w:val="both"/>
        <w:rPr>
          <w:rFonts w:ascii="Times New Roman" w:hAnsi="Times New Roman" w:cs="Times New Roman"/>
          <w:noProof/>
          <w:sz w:val="20"/>
          <w:szCs w:val="20"/>
          <w:lang w:val="fr-BE"/>
        </w:rPr>
      </w:pPr>
    </w:p>
    <w:p w:rsidR="00B0540B" w:rsidRDefault="009A6B73">
      <w:pPr>
        <w:spacing w:line="240" w:lineRule="auto"/>
        <w:jc w:val="both"/>
        <w:rPr>
          <w:rFonts w:ascii="Times New Roman" w:eastAsia="Times New Roman" w:hAnsi="Times New Roman" w:cs="Times New Roman"/>
          <w:b/>
          <w:noProof/>
          <w:sz w:val="24"/>
          <w:szCs w:val="24"/>
          <w:lang w:val="fr-BE"/>
        </w:rPr>
      </w:pPr>
      <w:r>
        <w:rPr>
          <w:rFonts w:ascii="Times New Roman" w:hAnsi="Times New Roman"/>
          <w:noProof/>
          <w:sz w:val="24"/>
          <w:lang w:val="fr-BE"/>
        </w:rPr>
        <w:t>Une exploitation min</w:t>
      </w:r>
      <w:r>
        <w:rPr>
          <w:rFonts w:ascii="Times New Roman" w:hAnsi="Times New Roman"/>
          <w:noProof/>
          <w:sz w:val="24"/>
          <w:lang w:val="fr-BE"/>
        </w:rPr>
        <w:t>ière durable est une condition préalable à l’existence de chaînes de valeur propres pour les batteries. La Commission facilitera les travaux visant à élaborer un ensemble commun de principes pour un secteur minier durable sur les plans social et environnem</w:t>
      </w:r>
      <w:r>
        <w:rPr>
          <w:rFonts w:ascii="Times New Roman" w:hAnsi="Times New Roman"/>
          <w:noProof/>
          <w:sz w:val="24"/>
          <w:lang w:val="fr-BE"/>
        </w:rPr>
        <w:t>ental en Europe et encouragera les États membres à intégrer ces principes dans leurs stratégies dans le domaine des matières premières. Elle étudiera également les possibilités d’intégrer les valeurs de référence existantes en matière d’exploitation minièr</w:t>
      </w:r>
      <w:r>
        <w:rPr>
          <w:rFonts w:ascii="Times New Roman" w:hAnsi="Times New Roman"/>
          <w:noProof/>
          <w:sz w:val="24"/>
          <w:lang w:val="fr-BE"/>
        </w:rPr>
        <w:t>e durable dans la taxinomie de la finance durable, afin d’orienter les investisseurs vers des projets miniers qui répondent à des normes élevées en matière de durabilité.</w:t>
      </w:r>
      <w:r>
        <w:rPr>
          <w:rFonts w:ascii="Times New Roman" w:hAnsi="Times New Roman"/>
          <w:noProof/>
          <w:sz w:val="20"/>
          <w:lang w:val="fr-BE"/>
        </w:rPr>
        <w:t xml:space="preserve"> </w:t>
      </w:r>
    </w:p>
    <w:p w:rsidR="00B0540B" w:rsidRDefault="009A6B73">
      <w:pPr>
        <w:spacing w:after="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Compte tenu de la forte dépendance à l’égard des importations dans ce secteur, l’ind</w:t>
      </w:r>
      <w:r>
        <w:rPr>
          <w:rFonts w:ascii="Times New Roman" w:hAnsi="Times New Roman"/>
          <w:noProof/>
          <w:sz w:val="24"/>
          <w:lang w:val="fr-BE"/>
        </w:rPr>
        <w:t>ustrie en aval contribue de façon essentielle à créer les attentes du marché nécessaires à des matières premières propres pour les batteries, par exemple par un approvisionnement responsable. La Commission contribuera à l’élaboration d’un code de gouvernan</w:t>
      </w:r>
      <w:r>
        <w:rPr>
          <w:rFonts w:ascii="Times New Roman" w:hAnsi="Times New Roman"/>
          <w:noProof/>
          <w:sz w:val="24"/>
          <w:lang w:val="fr-BE"/>
        </w:rPr>
        <w:t>ce en matière de durabilité pour les fabricants européens de batteries qui s’engagent à respecter les normes internationalement reconnues de conduite responsable des entreprises et de durabilité telles que les principes directeurs de l’OCDE à l’intention d</w:t>
      </w:r>
      <w:r>
        <w:rPr>
          <w:rFonts w:ascii="Times New Roman" w:hAnsi="Times New Roman"/>
          <w:noProof/>
          <w:sz w:val="24"/>
          <w:lang w:val="fr-BE"/>
        </w:rPr>
        <w:t>es entreprises multinationales et le guide OCDE sur le devoir de diligence pour des chaînes d’approvisionnement responsables en minerais. Elle étudiera la possibilité d’élaborer une clause contractuelle type pour les fournisseurs dans les chaînes de valeur</w:t>
      </w:r>
      <w:r>
        <w:rPr>
          <w:rFonts w:ascii="Times New Roman" w:hAnsi="Times New Roman"/>
          <w:noProof/>
          <w:sz w:val="24"/>
          <w:lang w:val="fr-BE"/>
        </w:rPr>
        <w:t xml:space="preserve"> propres pour les batteries afin de promouvoir des engagements similaires tout au long de cette chaîne de valeur. La Commission examinera également les solutions disponibles pour intégrer des éléments d’approvisionnement durable, en ce qui concerne les min</w:t>
      </w:r>
      <w:r>
        <w:rPr>
          <w:rFonts w:ascii="Times New Roman" w:hAnsi="Times New Roman"/>
          <w:noProof/>
          <w:sz w:val="24"/>
          <w:lang w:val="fr-BE"/>
        </w:rPr>
        <w:t xml:space="preserve">erais destinés aux batteries, dans la directive sur la publication d’informations non financières et fera en sorte que son système de soutien aux PME concernant le devoir de diligence pour les minerais provenant de zones de conflit soit également mis à la </w:t>
      </w:r>
      <w:r>
        <w:rPr>
          <w:rFonts w:ascii="Times New Roman" w:hAnsi="Times New Roman"/>
          <w:noProof/>
          <w:sz w:val="24"/>
          <w:lang w:val="fr-BE"/>
        </w:rPr>
        <w:t>disposition des entreprises de la chaîne d’approvisionnement pour les batteries qui utilisent d’autres métaux et minerais</w:t>
      </w:r>
      <w:r>
        <w:rPr>
          <w:rStyle w:val="FootnoteReference"/>
          <w:rFonts w:ascii="Times New Roman" w:hAnsi="Times New Roman"/>
          <w:noProof/>
          <w:sz w:val="24"/>
        </w:rPr>
        <w:footnoteReference w:id="59"/>
      </w:r>
      <w:r>
        <w:rPr>
          <w:rFonts w:ascii="Times New Roman" w:hAnsi="Times New Roman"/>
          <w:noProof/>
          <w:sz w:val="24"/>
          <w:lang w:val="fr-BE"/>
        </w:rPr>
        <w:t>. Un appel au titre d’Horizon 2020 concernant «l’approvisionnement responsable en matières premières dans les chaînes de valeur mondia</w:t>
      </w:r>
      <w:r>
        <w:rPr>
          <w:rFonts w:ascii="Times New Roman" w:hAnsi="Times New Roman"/>
          <w:noProof/>
          <w:sz w:val="24"/>
          <w:lang w:val="fr-BE"/>
        </w:rPr>
        <w:t>les» apportera de l’expertise sur la manière de renforcer les dispositifs sectoriels existants, de garantir la transparence des données pour des chaînes de valeur propres pour les batteries et de suivre les progrès accomplis. La Commission continuera à tra</w:t>
      </w:r>
      <w:r>
        <w:rPr>
          <w:rFonts w:ascii="Times New Roman" w:hAnsi="Times New Roman"/>
          <w:noProof/>
          <w:sz w:val="24"/>
          <w:lang w:val="fr-BE"/>
        </w:rPr>
        <w:t>vailler en étroite collaboration avec l’OCDE dans ce domaine.</w:t>
      </w:r>
    </w:p>
    <w:p w:rsidR="00B0540B" w:rsidRDefault="00B0540B">
      <w:pPr>
        <w:spacing w:after="0" w:line="240" w:lineRule="auto"/>
        <w:jc w:val="both"/>
        <w:rPr>
          <w:rFonts w:ascii="Times New Roman" w:eastAsia="Times New Roman" w:hAnsi="Times New Roman" w:cs="Times New Roman"/>
          <w:noProof/>
          <w:sz w:val="24"/>
          <w:szCs w:val="24"/>
          <w:lang w:val="fr-BE"/>
        </w:rPr>
      </w:pPr>
    </w:p>
    <w:p w:rsidR="00B0540B" w:rsidRDefault="009A6B73">
      <w:pPr>
        <w:spacing w:line="240" w:lineRule="auto"/>
        <w:jc w:val="both"/>
        <w:rPr>
          <w:rFonts w:ascii="Times New Roman" w:eastAsia="Times New Roman" w:hAnsi="Times New Roman" w:cs="Times New Roman"/>
          <w:b/>
          <w:noProof/>
          <w:sz w:val="24"/>
          <w:szCs w:val="24"/>
          <w:lang w:val="fr-BE"/>
        </w:rPr>
      </w:pPr>
      <w:r>
        <w:rPr>
          <w:rFonts w:ascii="Times New Roman" w:hAnsi="Times New Roman"/>
          <w:b/>
          <w:noProof/>
          <w:sz w:val="24"/>
          <w:lang w:val="fr-BE"/>
        </w:rPr>
        <w:t xml:space="preserve">Renforcement de l’économie circulaire: garantir l’accès aux matières secondaires pour batteries </w:t>
      </w:r>
    </w:p>
    <w:p w:rsidR="00B0540B" w:rsidRDefault="009A6B73">
      <w:pPr>
        <w:spacing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 xml:space="preserve">Le recyclage des batteries usagées peut contribuer dans une large mesure à garantir l’accès aux </w:t>
      </w:r>
      <w:r>
        <w:rPr>
          <w:rFonts w:ascii="Times New Roman" w:hAnsi="Times New Roman"/>
          <w:noProof/>
          <w:sz w:val="24"/>
          <w:lang w:val="fr-BE"/>
        </w:rPr>
        <w:t xml:space="preserve">matières premières pour les batteries. Ainsi, par exemple, le recyclage des batteries des véhicules électriques pourrait contribuer à satisfaire environ 10 % des besoins de l’UE en cobalt en 2030, soit une contribution supérieure à celle du secteur minier </w:t>
      </w:r>
      <w:r>
        <w:rPr>
          <w:rFonts w:ascii="Times New Roman" w:hAnsi="Times New Roman"/>
          <w:noProof/>
          <w:sz w:val="24"/>
          <w:lang w:val="fr-BE"/>
        </w:rPr>
        <w:t>de l’UE, pour autant qu’un cadre réglementaire approprié ait été mis en place</w:t>
      </w:r>
      <w:r>
        <w:rPr>
          <w:rFonts w:ascii="Times New Roman" w:hAnsi="Times New Roman"/>
          <w:noProof/>
          <w:sz w:val="24"/>
          <w:vertAlign w:val="superscript"/>
        </w:rPr>
        <w:footnoteReference w:id="60"/>
      </w:r>
      <w:r>
        <w:rPr>
          <w:rFonts w:ascii="Times New Roman" w:hAnsi="Times New Roman"/>
          <w:noProof/>
          <w:sz w:val="24"/>
          <w:lang w:val="fr-BE"/>
        </w:rPr>
        <w:t>.</w:t>
      </w:r>
    </w:p>
    <w:p w:rsidR="00B0540B" w:rsidRDefault="00B0540B">
      <w:pPr>
        <w:spacing w:line="240" w:lineRule="auto"/>
        <w:jc w:val="both"/>
        <w:rPr>
          <w:rFonts w:ascii="Times New Roman" w:eastAsia="Times New Roman" w:hAnsi="Times New Roman" w:cs="Times New Roman"/>
          <w:noProof/>
          <w:sz w:val="24"/>
          <w:szCs w:val="24"/>
          <w:lang w:val="fr-BE"/>
        </w:rPr>
      </w:pPr>
    </w:p>
    <w:p w:rsidR="00B0540B" w:rsidRDefault="009A6B73">
      <w:pPr>
        <w:spacing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L’Europe est en mesure de créer une industrie d’envergure mondiale pour le traitement sûr et écoresponsable des batteries en fin de vie. Étant donné que les marchés se dévelop</w:t>
      </w:r>
      <w:r>
        <w:rPr>
          <w:rFonts w:ascii="Times New Roman" w:hAnsi="Times New Roman"/>
          <w:noProof/>
          <w:sz w:val="24"/>
          <w:lang w:val="fr-BE"/>
        </w:rPr>
        <w:t>pent rapidement pour les principaux types de batteries comme celles au lithium-ion utilisées dans les véhicules électriques (pour lesquelles le recyclage est, à l’heure actuelle, pratiquement inexistant), d’importants volumes correspondants de batteries en</w:t>
      </w:r>
      <w:r>
        <w:rPr>
          <w:rFonts w:ascii="Times New Roman" w:hAnsi="Times New Roman"/>
          <w:noProof/>
          <w:sz w:val="24"/>
          <w:lang w:val="fr-BE"/>
        </w:rPr>
        <w:t xml:space="preserve"> fin de vie seront générés en aval en Europe et dans le monde, ce qui induit la nécessité de gérer correctement ces flux de déchets et de valoriser les matériaux qui méritent de l’être. La Commission a analysé les possibilités de mettre en place une économ</w:t>
      </w:r>
      <w:r>
        <w:rPr>
          <w:rFonts w:ascii="Times New Roman" w:hAnsi="Times New Roman"/>
          <w:noProof/>
          <w:sz w:val="24"/>
          <w:lang w:val="fr-BE"/>
        </w:rPr>
        <w:t>ie circulaire en Europe pour ces batteries</w:t>
      </w:r>
      <w:r>
        <w:rPr>
          <w:rStyle w:val="FootnoteReference"/>
          <w:rFonts w:ascii="Times New Roman" w:hAnsi="Times New Roman"/>
          <w:noProof/>
          <w:sz w:val="24"/>
        </w:rPr>
        <w:footnoteReference w:id="61"/>
      </w:r>
      <w:r>
        <w:rPr>
          <w:rFonts w:ascii="Times New Roman" w:hAnsi="Times New Roman"/>
          <w:noProof/>
          <w:sz w:val="24"/>
          <w:lang w:val="fr-BE"/>
        </w:rPr>
        <w:t>. La directive sur les batteries, par exemple, fixe des objectifs pour la collecte des déchets de batteries portables et définit des niveaux minimaux de rendement pour le recyclage des déchets de batteries, afin d</w:t>
      </w:r>
      <w:r>
        <w:rPr>
          <w:rFonts w:ascii="Times New Roman" w:hAnsi="Times New Roman"/>
          <w:noProof/>
          <w:sz w:val="24"/>
          <w:lang w:val="fr-BE"/>
        </w:rPr>
        <w:t>’atteindre un niveau élevé de valorisation des matériaux. La Commission s’est penchée sur la question de savoir si la directive sur les batteries répond à ses objectifs et si elle couvre de manière appropriée les nouvelles technologies et compositions chim</w:t>
      </w:r>
      <w:r>
        <w:rPr>
          <w:rFonts w:ascii="Times New Roman" w:hAnsi="Times New Roman"/>
          <w:noProof/>
          <w:sz w:val="24"/>
          <w:lang w:val="fr-BE"/>
        </w:rPr>
        <w:t>iques en matière de batteries (par exemple les batteries au lithium-ion), les nouvelles utilisations des batteries et la seconde vie des batteries</w:t>
      </w:r>
      <w:r>
        <w:rPr>
          <w:rStyle w:val="FootnoteReference"/>
          <w:rFonts w:ascii="Times New Roman" w:hAnsi="Times New Roman"/>
          <w:noProof/>
          <w:sz w:val="24"/>
        </w:rPr>
        <w:footnoteReference w:id="62"/>
      </w:r>
      <w:r>
        <w:rPr>
          <w:rFonts w:ascii="Times New Roman" w:hAnsi="Times New Roman"/>
          <w:noProof/>
          <w:sz w:val="24"/>
          <w:lang w:val="fr-BE"/>
        </w:rPr>
        <w:t xml:space="preserve">. La Commission a également analysé la cohérence entre les dispositions de la directive et les politiques de </w:t>
      </w:r>
      <w:r>
        <w:rPr>
          <w:rFonts w:ascii="Times New Roman" w:hAnsi="Times New Roman"/>
          <w:noProof/>
          <w:sz w:val="24"/>
          <w:lang w:val="fr-BE"/>
        </w:rPr>
        <w:t>l’UE relatives à l’économie circulaire et aux matières premières. Ces travaux ont notamment consisté en une évaluation de la contribution de la directive à l’utilisation rationnelle des ressources et à la mise en œuvre des politiques de réduction des émiss</w:t>
      </w:r>
      <w:r>
        <w:rPr>
          <w:rFonts w:ascii="Times New Roman" w:hAnsi="Times New Roman"/>
          <w:noProof/>
          <w:sz w:val="24"/>
          <w:lang w:val="fr-BE"/>
        </w:rPr>
        <w:t>ions de carbone. Le cas échéant, la Commission présentera des propositions de révision de la directive.</w:t>
      </w:r>
    </w:p>
    <w:p w:rsidR="00B0540B" w:rsidRDefault="009A6B73">
      <w:pPr>
        <w:spacing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La réutilisation des batteries dans des applications fixes peut réduire les incidences sur l’environnement tout au long du cycle de vie</w:t>
      </w:r>
      <w:r>
        <w:rPr>
          <w:rStyle w:val="FootnoteReference"/>
          <w:rFonts w:ascii="Times New Roman" w:hAnsi="Times New Roman"/>
          <w:noProof/>
          <w:sz w:val="24"/>
        </w:rPr>
        <w:footnoteReference w:id="63"/>
      </w:r>
      <w:r>
        <w:rPr>
          <w:rFonts w:ascii="Times New Roman" w:hAnsi="Times New Roman"/>
          <w:noProof/>
          <w:sz w:val="24"/>
          <w:lang w:val="fr-BE"/>
        </w:rPr>
        <w:t xml:space="preserve">. La Commission </w:t>
      </w:r>
      <w:r>
        <w:rPr>
          <w:rFonts w:ascii="Times New Roman" w:hAnsi="Times New Roman"/>
          <w:noProof/>
          <w:sz w:val="24"/>
          <w:lang w:val="fr-BE"/>
        </w:rPr>
        <w:t>a, par exemple, signé un accord d’innovation sur les batteries afin de déterminer si la législation actuelle au niveau de l’UE ou des États membres permet la réutilisation des batteries</w:t>
      </w:r>
      <w:r>
        <w:rPr>
          <w:rStyle w:val="FootnoteReference"/>
          <w:rFonts w:ascii="Times New Roman" w:hAnsi="Times New Roman"/>
          <w:noProof/>
          <w:sz w:val="24"/>
        </w:rPr>
        <w:footnoteReference w:id="64"/>
      </w:r>
      <w:r>
        <w:rPr>
          <w:rFonts w:ascii="Times New Roman" w:hAnsi="Times New Roman"/>
          <w:noProof/>
          <w:sz w:val="24"/>
          <w:lang w:val="fr-BE"/>
        </w:rPr>
        <w:t>. En outre, la Commission surveille en permanence la cohérence d’autre</w:t>
      </w:r>
      <w:r>
        <w:rPr>
          <w:rFonts w:ascii="Times New Roman" w:hAnsi="Times New Roman"/>
          <w:noProof/>
          <w:sz w:val="24"/>
          <w:lang w:val="fr-BE"/>
        </w:rPr>
        <w:t>s instruments réglementaires [par exemple, les règlements REACH et CLP (classification, étiquetage et emballage des substances et des mélanges)] pertinents pour les matières premières provenant de batteries recyclées.</w:t>
      </w:r>
    </w:p>
    <w:p w:rsidR="00B0540B" w:rsidRDefault="009A6B73">
      <w:pPr>
        <w:spacing w:line="240" w:lineRule="auto"/>
        <w:jc w:val="both"/>
        <w:rPr>
          <w:rFonts w:ascii="Times New Roman" w:eastAsia="Times New Roman" w:hAnsi="Times New Roman" w:cs="Times New Roman"/>
          <w:b/>
          <w:noProof/>
          <w:sz w:val="24"/>
          <w:szCs w:val="24"/>
          <w:lang w:val="fr-BE"/>
        </w:rPr>
      </w:pPr>
      <w:r>
        <w:rPr>
          <w:rFonts w:ascii="Times New Roman" w:hAnsi="Times New Roman"/>
          <w:b/>
          <w:noProof/>
          <w:sz w:val="24"/>
          <w:lang w:val="fr-BE"/>
        </w:rPr>
        <w:t>Mesures réglementaires propices pour s</w:t>
      </w:r>
      <w:r>
        <w:rPr>
          <w:rFonts w:ascii="Times New Roman" w:hAnsi="Times New Roman"/>
          <w:b/>
          <w:noProof/>
          <w:sz w:val="24"/>
          <w:lang w:val="fr-BE"/>
        </w:rPr>
        <w:t>timuler la demande de batteries pour le stockage et l’électromobilité</w:t>
      </w:r>
    </w:p>
    <w:p w:rsidR="00B0540B" w:rsidRDefault="009A6B73">
      <w:pPr>
        <w:pStyle w:val="NormalWeb"/>
        <w:spacing w:before="0" w:beforeAutospacing="0" w:after="216" w:afterAutospacing="0"/>
        <w:jc w:val="both"/>
        <w:rPr>
          <w:noProof/>
        </w:rPr>
      </w:pPr>
      <w:r>
        <w:rPr>
          <w:noProof/>
        </w:rPr>
        <w:t xml:space="preserve">Le rapport 2019 sur l’état de l’union de l’énergie montre les progrès accomplis en ce qui concerne un large éventail de mesures réglementaires propices pour permettre la transition vers </w:t>
      </w:r>
      <w:r>
        <w:rPr>
          <w:noProof/>
        </w:rPr>
        <w:t>une économie à faible intensité de carbone, sûre et compétitive au sein de l’UE</w:t>
      </w:r>
      <w:r>
        <w:rPr>
          <w:noProof/>
          <w:sz w:val="20"/>
          <w:vertAlign w:val="superscript"/>
        </w:rPr>
        <w:footnoteReference w:id="65"/>
      </w:r>
      <w:r>
        <w:rPr>
          <w:noProof/>
        </w:rPr>
        <w:t>. Il s’agit notamment d’initiatives adoptées dans le cadre de la stratégie pour une mobilité à faible taux d’émissions et du paquet «Une énergie propre pour tous les Européens»</w:t>
      </w:r>
      <w:r>
        <w:rPr>
          <w:noProof/>
        </w:rPr>
        <w:t>, qui revêtent de l’importance pour les batteries, tant du point de vue du stockage de l’énergie que de la mobilité propre.</w:t>
      </w:r>
    </w:p>
    <w:p w:rsidR="00B0540B" w:rsidRDefault="009A6B73">
      <w:pPr>
        <w:pStyle w:val="NormalWeb"/>
        <w:spacing w:before="0" w:beforeAutospacing="0" w:after="216" w:afterAutospacing="0"/>
        <w:jc w:val="both"/>
        <w:rPr>
          <w:noProof/>
        </w:rPr>
      </w:pPr>
      <w:r>
        <w:rPr>
          <w:noProof/>
        </w:rPr>
        <w:t>La directive révisée sur les sources d’énergie renouvelables prévoit de porter à 32 % la part des énergies renouvelables d’ici à 203</w:t>
      </w:r>
      <w:r>
        <w:rPr>
          <w:noProof/>
        </w:rPr>
        <w:t>0, avec une possible révision à la hausse en 2023</w:t>
      </w:r>
      <w:r>
        <w:rPr>
          <w:rStyle w:val="FootnoteReference"/>
          <w:noProof/>
        </w:rPr>
        <w:footnoteReference w:id="66"/>
      </w:r>
      <w:r>
        <w:rPr>
          <w:noProof/>
        </w:rPr>
        <w:t>. Ce processus est susceptible de stimuler la demande de batteries, étant donné que les batteries peuvent contribuer davantage à une meilleure utilisation des sources d’énergie renouvelable intermittentes t</w:t>
      </w:r>
      <w:r>
        <w:rPr>
          <w:noProof/>
        </w:rPr>
        <w:t>elles que l’énergie éolienne et l’énergie solaire, par exemple dans le contexte d’une production et d’une autoconsommation à grande échelle liées à des installations de petite taille, comme les panneaux solaires sur les toits. Les batteries, tant fixes que</w:t>
      </w:r>
      <w:r>
        <w:rPr>
          <w:noProof/>
        </w:rPr>
        <w:t xml:space="preserve"> portables, viendront compléter la flexibilité apportée par de meilleures interconnexions, la réponse à la demande et d’autres technologies de stockage d’énergie.</w:t>
      </w:r>
    </w:p>
    <w:p w:rsidR="00B0540B" w:rsidRDefault="009A6B73">
      <w:pPr>
        <w:spacing w:line="240" w:lineRule="auto"/>
        <w:contextualSpacing/>
        <w:jc w:val="both"/>
        <w:rPr>
          <w:rFonts w:ascii="Times New Roman" w:eastAsia="Times New Roman" w:hAnsi="Times New Roman" w:cs="Times New Roman"/>
          <w:noProof/>
          <w:sz w:val="24"/>
          <w:szCs w:val="24"/>
          <w:lang w:val="fr-BE"/>
        </w:rPr>
      </w:pPr>
      <w:r>
        <w:rPr>
          <w:rFonts w:ascii="Times New Roman" w:hAnsi="Times New Roman"/>
          <w:noProof/>
          <w:sz w:val="24"/>
          <w:lang w:val="fr-BE"/>
        </w:rPr>
        <w:t>Les normes de performance de l’UE en matière d’émissions de CO</w:t>
      </w:r>
      <w:r>
        <w:rPr>
          <w:rFonts w:ascii="Times New Roman" w:hAnsi="Times New Roman"/>
          <w:noProof/>
          <w:sz w:val="24"/>
          <w:vertAlign w:val="subscript"/>
          <w:lang w:val="fr-BE"/>
        </w:rPr>
        <w:t>2</w:t>
      </w:r>
      <w:r>
        <w:rPr>
          <w:rFonts w:ascii="Times New Roman" w:hAnsi="Times New Roman"/>
          <w:noProof/>
          <w:sz w:val="24"/>
          <w:lang w:val="fr-BE"/>
        </w:rPr>
        <w:t xml:space="preserve"> pour la période postérieure à</w:t>
      </w:r>
      <w:r>
        <w:rPr>
          <w:rFonts w:ascii="Times New Roman" w:hAnsi="Times New Roman"/>
          <w:noProof/>
          <w:sz w:val="24"/>
          <w:lang w:val="fr-BE"/>
        </w:rPr>
        <w:t xml:space="preserve"> 2020 pousseront l’industrie à développer davantage de véhicules à émission nulle et à faibles émissions, y compris les véhicules hybrides ou tout électriques. La demande de véhicules électriques sera davantage soutenue dans la mesure où les États membres </w:t>
      </w:r>
      <w:r>
        <w:rPr>
          <w:rFonts w:ascii="Times New Roman" w:hAnsi="Times New Roman"/>
          <w:noProof/>
          <w:sz w:val="24"/>
          <w:lang w:val="fr-BE"/>
        </w:rPr>
        <w:t>de l’UE, les régions et les villes augmenteront leur offre de services de transport propre aux citoyens en favorisant les véhicules propres, tels que les bus électriques, dans le cadre des appels d’offres publics. Dans le même temps, la nouvelle législatio</w:t>
      </w:r>
      <w:r>
        <w:rPr>
          <w:rFonts w:ascii="Times New Roman" w:hAnsi="Times New Roman"/>
          <w:noProof/>
          <w:sz w:val="24"/>
          <w:lang w:val="fr-BE"/>
        </w:rPr>
        <w:t>n sur les énergies renouvelables découlant du paquet «Une énergie propre pour tous les Européens» garantira une décarbonation progressive du bouquet énergétique. Il s’agit là d’un préalable essentiel à la décarbonation du secteur des transports, en particu</w:t>
      </w:r>
      <w:r>
        <w:rPr>
          <w:rFonts w:ascii="Times New Roman" w:hAnsi="Times New Roman"/>
          <w:noProof/>
          <w:sz w:val="24"/>
          <w:lang w:val="fr-BE"/>
        </w:rPr>
        <w:t>lier du transport routier.</w:t>
      </w:r>
    </w:p>
    <w:p w:rsidR="00B0540B" w:rsidRDefault="009A6B73">
      <w:pPr>
        <w:pStyle w:val="FootnoteText"/>
        <w:jc w:val="both"/>
        <w:rPr>
          <w:rFonts w:ascii="Times New Roman" w:eastAsia="Times New Roman" w:hAnsi="Times New Roman" w:cs="Times New Roman"/>
          <w:noProof/>
          <w:sz w:val="24"/>
          <w:szCs w:val="24"/>
          <w:lang w:val="fr-BE"/>
        </w:rPr>
      </w:pPr>
      <w:r>
        <w:rPr>
          <w:rFonts w:ascii="Times New Roman" w:hAnsi="Times New Roman"/>
          <w:noProof/>
          <w:sz w:val="24"/>
          <w:lang w:val="fr-BE"/>
        </w:rPr>
        <w:t>La demande de véhicules à émission nulle et à faibles émissions et le déploiement d’infrastructures vont de pair. L’accélération de la commercialisation de véhicules à émission nulle et à faibles émissions, notamment de véhicules</w:t>
      </w:r>
      <w:r>
        <w:rPr>
          <w:rFonts w:ascii="Times New Roman" w:hAnsi="Times New Roman"/>
          <w:noProof/>
          <w:sz w:val="24"/>
          <w:lang w:val="fr-BE"/>
        </w:rPr>
        <w:t xml:space="preserve"> électriques, dépend de l’existence d’une infrastructure de recharge facile d’utilisation, complète et interopérable. La directive 2014/94/UE sur le déploiement d’une infrastructure pour carburants alternatifs prévoit déjà un cadre commun de mesures</w:t>
      </w:r>
      <w:r>
        <w:rPr>
          <w:rStyle w:val="FootnoteReference"/>
          <w:rFonts w:ascii="Times New Roman" w:hAnsi="Times New Roman"/>
          <w:noProof/>
          <w:sz w:val="24"/>
        </w:rPr>
        <w:footnoteReference w:id="67"/>
      </w:r>
      <w:r>
        <w:rPr>
          <w:rFonts w:ascii="Times New Roman" w:hAnsi="Times New Roman"/>
          <w:noProof/>
          <w:sz w:val="24"/>
          <w:lang w:val="fr-BE"/>
        </w:rPr>
        <w:t>. La C</w:t>
      </w:r>
      <w:r>
        <w:rPr>
          <w:rFonts w:ascii="Times New Roman" w:hAnsi="Times New Roman"/>
          <w:noProof/>
          <w:sz w:val="24"/>
          <w:lang w:val="fr-BE"/>
        </w:rPr>
        <w:t xml:space="preserve">ommission publiera d’ici la fin de l’année 2020 son évaluation des résultats de cette directive, l’objectif étant de la réviser, si nécessaire. Elle déterminera dans quelle mesure la planification actuelle relative au déploiement d’une infrastructure pour </w:t>
      </w:r>
      <w:r>
        <w:rPr>
          <w:rFonts w:ascii="Times New Roman" w:hAnsi="Times New Roman"/>
          <w:noProof/>
          <w:sz w:val="24"/>
          <w:lang w:val="fr-BE"/>
        </w:rPr>
        <w:t>carburants alternatifs, telle que définie dans les cadres d’action nationaux adoptés en application de cette directive, correspond à l’accélération attendue de la commercialisation de véhicules à émission nulle et à faibles émissions au cours de la période</w:t>
      </w:r>
      <w:r>
        <w:rPr>
          <w:rFonts w:ascii="Times New Roman" w:hAnsi="Times New Roman"/>
          <w:noProof/>
          <w:sz w:val="24"/>
          <w:lang w:val="fr-BE"/>
        </w:rPr>
        <w:t xml:space="preserve"> postérieure à 2020. Elle analysera également dans quelle mesure le déploiement de l’infrastructure répond aux besoins d’interopérabilité, par exemple dans les systèmes de paiement, et dans quelle mesure les services d’utilisation de l’infrastructure sont </w:t>
      </w:r>
      <w:r>
        <w:rPr>
          <w:rFonts w:ascii="Times New Roman" w:hAnsi="Times New Roman"/>
          <w:noProof/>
          <w:sz w:val="24"/>
          <w:lang w:val="fr-BE"/>
        </w:rPr>
        <w:t>adaptés aux besoins des consommateurs.</w:t>
      </w:r>
    </w:p>
    <w:p w:rsidR="00B0540B" w:rsidRDefault="00B0540B">
      <w:pPr>
        <w:pStyle w:val="FootnoteText"/>
        <w:jc w:val="both"/>
        <w:rPr>
          <w:rFonts w:ascii="Times New Roman" w:eastAsia="Times New Roman" w:hAnsi="Times New Roman" w:cs="Times New Roman"/>
          <w:noProof/>
          <w:sz w:val="24"/>
          <w:szCs w:val="24"/>
          <w:lang w:val="fr-BE"/>
        </w:rPr>
      </w:pPr>
    </w:p>
    <w:p w:rsidR="00B0540B" w:rsidRDefault="009A6B73">
      <w:pPr>
        <w:spacing w:line="240" w:lineRule="auto"/>
        <w:contextualSpacing/>
        <w:jc w:val="both"/>
        <w:rPr>
          <w:rFonts w:ascii="Times New Roman" w:eastAsia="Times New Roman" w:hAnsi="Times New Roman" w:cs="Times New Roman"/>
          <w:noProof/>
          <w:sz w:val="24"/>
          <w:szCs w:val="24"/>
          <w:lang w:val="fr-BE"/>
        </w:rPr>
      </w:pPr>
      <w:r>
        <w:rPr>
          <w:rFonts w:ascii="Times New Roman" w:hAnsi="Times New Roman"/>
          <w:noProof/>
          <w:sz w:val="24"/>
          <w:lang w:val="fr-BE"/>
        </w:rPr>
        <w:t>La Commission a également adopté des mesures supplémentaires en vue d’accélérer le déploiement d’une infrastructure pour carburants alternatifs. Dans le cadre du deuxième paquet «mobilité» en 2017, la Commission a ad</w:t>
      </w:r>
      <w:r>
        <w:rPr>
          <w:rFonts w:ascii="Times New Roman" w:hAnsi="Times New Roman"/>
          <w:noProof/>
          <w:sz w:val="24"/>
          <w:lang w:val="fr-BE"/>
        </w:rPr>
        <w:t>opté un plan d’action qui prévoyait une enveloppe supplémentaire de 800 000 000 EUR destinée au financement de l’infrastructure pour carburants alternatifs sur le principal réseau transeuropéen de transport et les nœuds définis dans le cadre du mécanisme p</w:t>
      </w:r>
      <w:r>
        <w:rPr>
          <w:rFonts w:ascii="Times New Roman" w:hAnsi="Times New Roman"/>
          <w:noProof/>
          <w:sz w:val="24"/>
          <w:lang w:val="fr-BE"/>
        </w:rPr>
        <w:t>our l’interconnexion en Europe (MIE)</w:t>
      </w:r>
      <w:r>
        <w:rPr>
          <w:rStyle w:val="FootnoteReference"/>
          <w:rFonts w:ascii="Times New Roman" w:hAnsi="Times New Roman"/>
          <w:noProof/>
          <w:sz w:val="24"/>
        </w:rPr>
        <w:footnoteReference w:id="68"/>
      </w:r>
      <w:r>
        <w:rPr>
          <w:rFonts w:ascii="Times New Roman" w:hAnsi="Times New Roman"/>
          <w:noProof/>
          <w:sz w:val="24"/>
          <w:lang w:val="fr-BE"/>
        </w:rPr>
        <w:t xml:space="preserve">. La Commission a alloué une enveloppe de 317 000 000 EUR à 31 actions dans le domaine de l’innovation et de l’infrastructure pour carburants alternatifs, mobilisant au total jusqu’à 2 000 000 000 EUR d’investissement. </w:t>
      </w:r>
      <w:r>
        <w:rPr>
          <w:rFonts w:ascii="Times New Roman" w:hAnsi="Times New Roman"/>
          <w:noProof/>
          <w:sz w:val="24"/>
          <w:lang w:val="fr-BE"/>
        </w:rPr>
        <w:t>Le soutien à une infrastructure propre dans les domaines de l’énergie et des transports se poursuivra au-delà de 2021, au titre du MIE et du nouveau Fonds InvestEU. En outre, la directive sur la performance énergétique des bâtiments, récemment modifiée, co</w:t>
      </w:r>
      <w:r>
        <w:rPr>
          <w:rFonts w:ascii="Times New Roman" w:hAnsi="Times New Roman"/>
          <w:noProof/>
          <w:sz w:val="24"/>
          <w:lang w:val="fr-BE"/>
        </w:rPr>
        <w:t>mprend des dispositions visant à exiger le développement de l’infrastructure requise pour la recharge intelligente des véhicules électriques et, in fine, les services de véhicule à bâtiment ou de véhicule à réseau</w:t>
      </w:r>
      <w:r>
        <w:rPr>
          <w:rStyle w:val="FootnoteReference"/>
          <w:rFonts w:ascii="Times New Roman" w:hAnsi="Times New Roman"/>
          <w:noProof/>
          <w:sz w:val="24"/>
        </w:rPr>
        <w:footnoteReference w:id="69"/>
      </w:r>
      <w:r>
        <w:rPr>
          <w:rFonts w:ascii="Times New Roman" w:hAnsi="Times New Roman"/>
          <w:noProof/>
          <w:sz w:val="24"/>
          <w:lang w:val="fr-BE"/>
        </w:rPr>
        <w:t xml:space="preserve">. </w:t>
      </w:r>
    </w:p>
    <w:p w:rsidR="00B0540B" w:rsidRDefault="009A6B73">
      <w:pPr>
        <w:pStyle w:val="FootnoteText"/>
        <w:jc w:val="both"/>
        <w:rPr>
          <w:rFonts w:ascii="Times New Roman" w:eastAsia="Times New Roman" w:hAnsi="Times New Roman" w:cs="Times New Roman"/>
          <w:noProof/>
          <w:sz w:val="24"/>
          <w:szCs w:val="24"/>
          <w:lang w:val="fr-BE"/>
        </w:rPr>
      </w:pPr>
      <w:r>
        <w:rPr>
          <w:rFonts w:ascii="Times New Roman" w:hAnsi="Times New Roman"/>
          <w:noProof/>
          <w:sz w:val="24"/>
          <w:lang w:val="fr-BE"/>
        </w:rPr>
        <w:t xml:space="preserve">En fournissant des services au réseau, </w:t>
      </w:r>
      <w:r>
        <w:rPr>
          <w:rFonts w:ascii="Times New Roman" w:hAnsi="Times New Roman"/>
          <w:noProof/>
          <w:sz w:val="24"/>
          <w:lang w:val="fr-BE"/>
        </w:rPr>
        <w:t>les batteries des véhicules électriques peuvent contribuer non seulement à intégrer les énergies renouvelables dans le réseau électrique, mais aussi à réduire le coût de fonctionnement des véhicules pour les consommateurs. À cet égard, des progrès importan</w:t>
      </w:r>
      <w:r>
        <w:rPr>
          <w:rFonts w:ascii="Times New Roman" w:hAnsi="Times New Roman"/>
          <w:noProof/>
          <w:sz w:val="24"/>
          <w:lang w:val="fr-BE"/>
        </w:rPr>
        <w:t>ts en vue de faciliter la transition vers une énergie propre ont été engrangés en décembre 2018, lorsque les colégislateurs ont adopté un nouveau règlement sur l’électricité et une nouvelle directive sur l’électricité établissant de nouvelles règles pour a</w:t>
      </w:r>
      <w:r>
        <w:rPr>
          <w:rFonts w:ascii="Times New Roman" w:hAnsi="Times New Roman"/>
          <w:noProof/>
          <w:sz w:val="24"/>
          <w:lang w:val="fr-BE"/>
        </w:rPr>
        <w:t>méliorer le fonctionnement du marché de l’électricité au sein de l’UE. Ces dispositions devraient permettre aux nouveaux acteurs du marché, notamment les opérateurs de stockage d’énergie, de fournir la flexibilité du système requise et de bénéficier de nou</w:t>
      </w:r>
      <w:r>
        <w:rPr>
          <w:rFonts w:ascii="Times New Roman" w:hAnsi="Times New Roman"/>
          <w:noProof/>
          <w:sz w:val="24"/>
          <w:lang w:val="fr-BE"/>
        </w:rPr>
        <w:t xml:space="preserve">veaux débouchés commerciaux, en particulier dans le secteur des énergies renouvelables. Cependant, des aspects tels que l’interopérabilité et l’accès aux données des batteries des véhicules sont susceptibles de nécessiter une attention accrue au niveau de </w:t>
      </w:r>
      <w:r>
        <w:rPr>
          <w:rFonts w:ascii="Times New Roman" w:hAnsi="Times New Roman"/>
          <w:noProof/>
          <w:sz w:val="24"/>
          <w:lang w:val="fr-BE"/>
        </w:rPr>
        <w:t>l’UE.</w:t>
      </w:r>
    </w:p>
    <w:p w:rsidR="00B0540B" w:rsidRDefault="00B0540B">
      <w:pPr>
        <w:pStyle w:val="FootnoteText"/>
        <w:jc w:val="both"/>
        <w:rPr>
          <w:rFonts w:ascii="Times New Roman" w:eastAsia="Times New Roman" w:hAnsi="Times New Roman" w:cs="Times New Roman"/>
          <w:noProof/>
          <w:sz w:val="24"/>
          <w:szCs w:val="24"/>
          <w:lang w:val="fr-BE"/>
        </w:rPr>
      </w:pPr>
    </w:p>
    <w:p w:rsidR="00B0540B" w:rsidRDefault="00B0540B">
      <w:pPr>
        <w:pStyle w:val="FootnoteText"/>
        <w:jc w:val="both"/>
        <w:rPr>
          <w:rFonts w:ascii="Times New Roman" w:eastAsia="Times New Roman" w:hAnsi="Times New Roman" w:cs="Times New Roman"/>
          <w:noProof/>
          <w:sz w:val="24"/>
          <w:szCs w:val="24"/>
          <w:lang w:val="fr-BE"/>
        </w:rPr>
      </w:pPr>
    </w:p>
    <w:p w:rsidR="00B0540B" w:rsidRDefault="009A6B73">
      <w:pPr>
        <w:pStyle w:val="ListParagraph"/>
        <w:numPr>
          <w:ilvl w:val="0"/>
          <w:numId w:val="8"/>
        </w:numPr>
        <w:jc w:val="both"/>
        <w:rPr>
          <w:rFonts w:ascii="Times New Roman" w:eastAsia="Times New Roman" w:hAnsi="Times New Roman" w:cs="Times New Roman"/>
          <w:b/>
          <w:noProof/>
          <w:sz w:val="24"/>
          <w:szCs w:val="24"/>
        </w:rPr>
      </w:pPr>
      <w:r>
        <w:rPr>
          <w:rFonts w:ascii="Times New Roman" w:hAnsi="Times New Roman"/>
          <w:b/>
          <w:noProof/>
          <w:sz w:val="24"/>
        </w:rPr>
        <w:t>CONCLUSIONS: LA VOIE À SUIVRE</w:t>
      </w:r>
    </w:p>
    <w:p w:rsidR="00B0540B" w:rsidRDefault="009A6B73">
      <w:pPr>
        <w:spacing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L’approche stratégique de la Commission à l’égard des batteries contribue à la réalisation simultanée et coordonnée des progrès sur toute une série de questions liées entre elles. Il s’agit notamment des évolutions con</w:t>
      </w:r>
      <w:r>
        <w:rPr>
          <w:rFonts w:ascii="Times New Roman" w:hAnsi="Times New Roman"/>
          <w:noProof/>
          <w:sz w:val="24"/>
          <w:lang w:val="fr-BE"/>
        </w:rPr>
        <w:t>cernant les véhicules connectés et automatisés, le stockage de l’énergie, le déploiement de l’infrastructure, l’interopérabilité adaptée aux besoins des consommateurs, les matières premières, le commerce et les investissements, ainsi que les emplois et les</w:t>
      </w:r>
      <w:r>
        <w:rPr>
          <w:rFonts w:ascii="Times New Roman" w:hAnsi="Times New Roman"/>
          <w:noProof/>
          <w:sz w:val="24"/>
          <w:lang w:val="fr-BE"/>
        </w:rPr>
        <w:t xml:space="preserve"> compétences. Cette approche vise également à aider les acteurs clés à différents niveaux – tant dans le secteur public que dans le secteur privé, à l’échelon de l’UE, national et régional – à coopérer plus efficacement en vue d’atteindre ces objectifs. De</w:t>
      </w:r>
      <w:r>
        <w:rPr>
          <w:rFonts w:ascii="Times New Roman" w:hAnsi="Times New Roman"/>
          <w:noProof/>
          <w:sz w:val="24"/>
          <w:lang w:val="fr-BE"/>
        </w:rPr>
        <w:t xml:space="preserve"> nouvelles plateformes collaboratives et de nouveaux partenariats pour la coopération avec l’industrie et les parties prenantes, tenant compte du rôle des villes et des régions, se révèlent essentiels à la réalisation fructueuse de ces objectifs.</w:t>
      </w:r>
    </w:p>
    <w:p w:rsidR="00B0540B" w:rsidRDefault="009A6B73">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D’autres défis et perspectives, liés à l’émergence de nouveaux modèles économiques et à l’intégration des secteurs de l’énergie et de la mobilité, se profilent à l’horizon. Les États membres de l’UE doivent à présent abattre une masse de travail importante</w:t>
      </w:r>
      <w:r>
        <w:rPr>
          <w:rFonts w:ascii="Times New Roman" w:hAnsi="Times New Roman"/>
          <w:noProof/>
          <w:sz w:val="24"/>
          <w:lang w:val="fr-BE"/>
        </w:rPr>
        <w:t xml:space="preserve"> pour mettre en œuvre le paquet «Une énergie propre pour tous les Européens» et, en particulier, la législation sur l’organisation du marché de l’électricité, qui permettra aux nouveaux acteurs du marché, notamment les opérateurs de stockage, de bénéficier</w:t>
      </w:r>
      <w:r>
        <w:rPr>
          <w:rFonts w:ascii="Times New Roman" w:hAnsi="Times New Roman"/>
          <w:noProof/>
          <w:sz w:val="24"/>
          <w:lang w:val="fr-BE"/>
        </w:rPr>
        <w:t xml:space="preserve"> de nouveaux débouchés commerciaux, et qui conférera aux consommateurs un rôle important en tant que producteurs d’énergie renouvelable en mesure de stocker eux-mêmes cette énergie. </w:t>
      </w:r>
    </w:p>
    <w:p w:rsidR="00B0540B" w:rsidRDefault="009A6B73">
      <w:pPr>
        <w:spacing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Par ailleurs, l’approche de la Commission à l’égard des batteries aura va</w:t>
      </w:r>
      <w:r>
        <w:rPr>
          <w:rFonts w:ascii="Times New Roman" w:hAnsi="Times New Roman"/>
          <w:noProof/>
          <w:sz w:val="24"/>
          <w:lang w:val="fr-BE"/>
        </w:rPr>
        <w:t>leur de test pour la stratégie industrielle de l’UE au XXI</w:t>
      </w:r>
      <w:r>
        <w:rPr>
          <w:rFonts w:ascii="Times New Roman" w:hAnsi="Times New Roman"/>
          <w:noProof/>
          <w:sz w:val="24"/>
          <w:vertAlign w:val="superscript"/>
          <w:lang w:val="fr-BE"/>
        </w:rPr>
        <w:t>e</w:t>
      </w:r>
      <w:r>
        <w:rPr>
          <w:rFonts w:ascii="Times New Roman" w:hAnsi="Times New Roman"/>
          <w:noProof/>
          <w:sz w:val="24"/>
          <w:lang w:val="fr-BE"/>
        </w:rPr>
        <w:t xml:space="preserve"> siècle. En mars 2019, le Conseil européen a invité la Commission à présenter, d’ici la fin de l’année 2019, une vision à long terme pour l’avenir industriel de l’UE, assortie de mesures concrètes </w:t>
      </w:r>
      <w:r>
        <w:rPr>
          <w:rFonts w:ascii="Times New Roman" w:hAnsi="Times New Roman"/>
          <w:noProof/>
          <w:sz w:val="24"/>
          <w:lang w:val="fr-BE"/>
        </w:rPr>
        <w:t>destinées à la mettre en œuvre. Pour rester compétitive à l’échelle mondiale dans les technologies clés et les chaînes de valeur stratégiques, l’UE doit encourager une plus grande prise de risques et renforcer les investissements dans la recherche et l’inn</w:t>
      </w:r>
      <w:r>
        <w:rPr>
          <w:rFonts w:ascii="Times New Roman" w:hAnsi="Times New Roman"/>
          <w:noProof/>
          <w:sz w:val="24"/>
          <w:lang w:val="fr-BE"/>
        </w:rPr>
        <w:t>ovation, ainsi que faciliter la mise en œuvre de projets importants d’intérêt européen commun, tout en garantissant des conditions de concurrence équitables ainsi qu’un environnement réglementaire et un cadre en matière d’aides d’État qui soient propices à</w:t>
      </w:r>
      <w:r>
        <w:rPr>
          <w:rFonts w:ascii="Times New Roman" w:hAnsi="Times New Roman"/>
          <w:noProof/>
          <w:sz w:val="24"/>
          <w:lang w:val="fr-BE"/>
        </w:rPr>
        <w:t xml:space="preserve"> l’innovation. Le secteur des batteries et du stockage de l’énergie offre un bon exemple de la manière dont l’ambition de disposer de normes strictes en matière d’environnement et de respect du climat peut être combinée avec une compétitivité accrue dans l</w:t>
      </w:r>
      <w:r>
        <w:rPr>
          <w:rFonts w:ascii="Times New Roman" w:hAnsi="Times New Roman"/>
          <w:noProof/>
          <w:sz w:val="24"/>
          <w:lang w:val="fr-BE"/>
        </w:rPr>
        <w:t xml:space="preserve">es différents secteurs et chaînes de valeur, ainsi qu’avec la création d’emplois durables et de croissance. Il peut constituer une nouvelle donne pour les consommateurs, en veillant à ce que la mobilité du futur soit plus propre et abordable pour tous, et </w:t>
      </w:r>
      <w:r>
        <w:rPr>
          <w:rFonts w:ascii="Times New Roman" w:hAnsi="Times New Roman"/>
          <w:noProof/>
          <w:sz w:val="24"/>
          <w:lang w:val="fr-BE"/>
        </w:rPr>
        <w:t xml:space="preserve">peut montrer que l’action en faveur du climat et la modernisation de l’économie axée sur la circularité sont les deux faces d’une même médaille. </w:t>
      </w:r>
    </w:p>
    <w:p w:rsidR="00B0540B" w:rsidRDefault="009A6B73">
      <w:pPr>
        <w:spacing w:line="240" w:lineRule="auto"/>
        <w:jc w:val="both"/>
        <w:rPr>
          <w:rFonts w:ascii="Times New Roman" w:hAnsi="Times New Roman"/>
          <w:noProof/>
          <w:sz w:val="24"/>
          <w:lang w:val="fr-BE"/>
        </w:rPr>
      </w:pPr>
      <w:r>
        <w:rPr>
          <w:rFonts w:ascii="Times New Roman" w:hAnsi="Times New Roman"/>
          <w:noProof/>
          <w:sz w:val="24"/>
          <w:lang w:val="fr-BE"/>
        </w:rPr>
        <w:t xml:space="preserve">Enfin, il illustre un mode de collaboration d’un genre nouveau, consistant à travailler ensemble à différents </w:t>
      </w:r>
      <w:r>
        <w:rPr>
          <w:rFonts w:ascii="Times New Roman" w:hAnsi="Times New Roman"/>
          <w:noProof/>
          <w:sz w:val="24"/>
          <w:lang w:val="fr-BE"/>
        </w:rPr>
        <w:t>niveaux de prise de décision (notamment au niveau de l’UE, des États membres, des régions et des villes) et avec toute une série d’acteurs industriels et d’investisseurs privés d’un bout à l’autre des chaînes de valeur, en vue d’atteindre un objectif prior</w:t>
      </w:r>
      <w:r>
        <w:rPr>
          <w:rFonts w:ascii="Times New Roman" w:hAnsi="Times New Roman"/>
          <w:noProof/>
          <w:sz w:val="24"/>
          <w:lang w:val="fr-BE"/>
        </w:rPr>
        <w:t>itaire: faire en sorte que l’Europe fasse, dans ce secteur stratégique au niveau mondial, la course en tête plutôt qu'à l'arrière du peloton et fournisse par là même aux citoyens européens des emplois et des services de qualité à long terme.</w:t>
      </w:r>
    </w:p>
    <w:p w:rsidR="00B0540B" w:rsidRDefault="00B0540B">
      <w:pPr>
        <w:spacing w:line="240" w:lineRule="auto"/>
        <w:jc w:val="both"/>
        <w:rPr>
          <w:rFonts w:ascii="Times New Roman" w:eastAsia="Times New Roman" w:hAnsi="Times New Roman" w:cs="Times New Roman"/>
          <w:noProof/>
          <w:sz w:val="24"/>
          <w:szCs w:val="24"/>
          <w:lang w:val="fr-BE"/>
        </w:rPr>
      </w:pPr>
    </w:p>
    <w:sectPr w:rsidR="00B0540B">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40B" w:rsidRDefault="009A6B73">
      <w:pPr>
        <w:spacing w:after="0" w:line="240" w:lineRule="auto"/>
      </w:pPr>
      <w:r>
        <w:separator/>
      </w:r>
    </w:p>
  </w:endnote>
  <w:endnote w:type="continuationSeparator" w:id="0">
    <w:p w:rsidR="00B0540B" w:rsidRDefault="009A6B73">
      <w:pPr>
        <w:spacing w:after="0" w:line="240" w:lineRule="auto"/>
      </w:pPr>
      <w:r>
        <w:continuationSeparator/>
      </w:r>
    </w:p>
  </w:endnote>
  <w:endnote w:type="continuationNotice" w:id="1">
    <w:p w:rsidR="00B0540B" w:rsidRDefault="00B054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40B" w:rsidRDefault="00B05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40B" w:rsidRDefault="009A6B73">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40B" w:rsidRDefault="00B0540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40B" w:rsidRDefault="00B0540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42383916"/>
      <w:docPartObj>
        <w:docPartGallery w:val="Page Numbers (Bottom of Page)"/>
        <w:docPartUnique/>
      </w:docPartObj>
    </w:sdtPr>
    <w:sdtEndPr>
      <w:rPr>
        <w:noProof/>
      </w:rPr>
    </w:sdtEndPr>
    <w:sdtContent>
      <w:p w:rsidR="00B0540B" w:rsidRDefault="009A6B73">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instrText xml:space="preserve"> MERGEFORMAT </w:instrText>
        </w:r>
        <w:r>
          <w:rPr>
            <w:rFonts w:ascii="Times New Roman" w:hAnsi="Times New Roman" w:cs="Times New Roman"/>
          </w:rPr>
          <w:fldChar w:fldCharType="separate"/>
        </w:r>
        <w:r>
          <w:rPr>
            <w:rFonts w:ascii="Times New Roman" w:hAnsi="Times New Roman" w:cs="Times New Roman"/>
            <w:noProof/>
          </w:rPr>
          <w:t>18</w:t>
        </w:r>
        <w:r>
          <w:rPr>
            <w:rFonts w:ascii="Times New Roman" w:hAnsi="Times New Roman" w:cs="Times New Roman"/>
            <w:noProof/>
          </w:rPr>
          <w:fldChar w:fldCharType="end"/>
        </w:r>
      </w:p>
    </w:sdtContent>
  </w:sdt>
  <w:p w:rsidR="00B0540B" w:rsidRDefault="00B0540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40B" w:rsidRDefault="00B05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40B" w:rsidRDefault="009A6B73">
      <w:pPr>
        <w:spacing w:after="0" w:line="240" w:lineRule="auto"/>
      </w:pPr>
      <w:r>
        <w:separator/>
      </w:r>
    </w:p>
  </w:footnote>
  <w:footnote w:type="continuationSeparator" w:id="0">
    <w:p w:rsidR="00B0540B" w:rsidRDefault="009A6B73">
      <w:pPr>
        <w:spacing w:after="0" w:line="240" w:lineRule="auto"/>
      </w:pPr>
      <w:r>
        <w:continuationSeparator/>
      </w:r>
    </w:p>
  </w:footnote>
  <w:footnote w:type="continuationNotice" w:id="1">
    <w:p w:rsidR="00B0540B" w:rsidRDefault="00B0540B">
      <w:pPr>
        <w:spacing w:after="0" w:line="240" w:lineRule="auto"/>
      </w:pPr>
    </w:p>
  </w:footnote>
  <w:footnote w:id="2">
    <w:p w:rsidR="00B0540B" w:rsidRDefault="009A6B73">
      <w:pPr>
        <w:pStyle w:val="FootnoteText"/>
        <w:spacing w:after="120"/>
        <w:jc w:val="both"/>
        <w:rPr>
          <w:rFonts w:ascii="Times New Roman" w:hAnsi="Times New Roman" w:cs="Times New Roman"/>
          <w:highlight w:val="yellow"/>
          <w:lang w:val="fr-BE"/>
        </w:rPr>
      </w:pPr>
      <w:r>
        <w:rPr>
          <w:rStyle w:val="FootnoteReference"/>
          <w:rFonts w:ascii="Times New Roman" w:hAnsi="Times New Roman"/>
        </w:rPr>
        <w:footnoteRef/>
      </w:r>
      <w:r>
        <w:rPr>
          <w:rFonts w:ascii="Times New Roman" w:hAnsi="Times New Roman"/>
          <w:lang w:val="fr-BE"/>
        </w:rPr>
        <w:t xml:space="preserve"> InnoEnergy de l'EIT est l’une des communautés de la connaissance et de l’innovation (CCI) de l’Institut européen d’innovation et de technologie (EIT).</w:t>
      </w:r>
    </w:p>
  </w:footnote>
  <w:footnote w:id="3">
    <w:p w:rsidR="00B0540B" w:rsidRDefault="009A6B73">
      <w:pPr>
        <w:pStyle w:val="FootnoteText"/>
        <w:spacing w:after="120"/>
        <w:jc w:val="both"/>
        <w:rPr>
          <w:rFonts w:ascii="Times New Roman" w:eastAsia="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Conclusions du Conseil européen, 21-22 mars 2019.</w:t>
      </w:r>
    </w:p>
  </w:footnote>
  <w:footnote w:id="4">
    <w:p w:rsidR="00B0540B" w:rsidRDefault="009A6B73">
      <w:pPr>
        <w:pStyle w:val="FootnoteText"/>
        <w:spacing w:after="12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COM(2018) 773 final du 28 novembre 2018: Une planète propre pour tous – Une vision européenne stratégique à long terme pour une économie prospère, moderne, compétitive et neutre pour le climat.</w:t>
      </w:r>
    </w:p>
  </w:footnote>
  <w:footnote w:id="5">
    <w:p w:rsidR="00B0540B" w:rsidRDefault="009A6B73">
      <w:pPr>
        <w:pStyle w:val="FootnoteText"/>
        <w:rPr>
          <w:rFonts w:ascii="Times New Roman" w:hAnsi="Times New Roman" w:cs="Times New Roman"/>
          <w:lang w:val="fr-BE"/>
        </w:rPr>
      </w:pPr>
      <w:r>
        <w:rPr>
          <w:rStyle w:val="FootnoteReference"/>
        </w:rPr>
        <w:footnoteRef/>
      </w:r>
      <w:r>
        <w:rPr>
          <w:lang w:val="fr-BE"/>
        </w:rPr>
        <w:t xml:space="preserve"> </w:t>
      </w:r>
      <w:hyperlink r:id="rId1" w:anchor="_blank">
        <w:r>
          <w:rPr>
            <w:rFonts w:ascii="Times New Roman" w:hAnsi="Times New Roman"/>
            <w:lang w:val="fr-BE"/>
          </w:rPr>
          <w:t>https://ec.europa.eu/epsc/publications/other-publications/10-trends-reshaping-climate-and-energy_en</w:t>
        </w:r>
      </w:hyperlink>
    </w:p>
    <w:p w:rsidR="00B0540B" w:rsidRDefault="00B0540B">
      <w:pPr>
        <w:pStyle w:val="FootnoteText"/>
        <w:rPr>
          <w:rFonts w:ascii="Times New Roman" w:hAnsi="Times New Roman" w:cs="Times New Roman"/>
          <w:lang w:val="fr-BE"/>
        </w:rPr>
      </w:pPr>
    </w:p>
  </w:footnote>
  <w:footnote w:id="6">
    <w:p w:rsidR="00B0540B" w:rsidRDefault="009A6B73">
      <w:pPr>
        <w:pStyle w:val="FootnoteText"/>
        <w:rPr>
          <w:rFonts w:ascii="Times New Roman" w:hAnsi="Times New Roman" w:cs="Times New Roman"/>
          <w:lang w:val="fr-BE"/>
        </w:rPr>
      </w:pPr>
      <w:r>
        <w:rPr>
          <w:rStyle w:val="FootnoteReference"/>
        </w:rPr>
        <w:footnoteRef/>
      </w:r>
      <w:r>
        <w:rPr>
          <w:lang w:val="fr-BE"/>
        </w:rPr>
        <w:t xml:space="preserve"> </w:t>
      </w:r>
      <w:hyperlink r:id="rId2" w:anchor="_blank">
        <w:r>
          <w:rPr>
            <w:rFonts w:ascii="Times New Roman" w:hAnsi="Times New Roman"/>
            <w:lang w:val="fr-BE"/>
          </w:rPr>
          <w:t>https://ec.europa.eu/epsc/publications/strategic-notes/towards-low-emission-mobility_en</w:t>
        </w:r>
      </w:hyperlink>
    </w:p>
    <w:p w:rsidR="00B0540B" w:rsidRDefault="00B0540B">
      <w:pPr>
        <w:pStyle w:val="FootnoteText"/>
        <w:rPr>
          <w:lang w:val="fr-BE"/>
        </w:rPr>
      </w:pPr>
    </w:p>
  </w:footnote>
  <w:footnote w:id="7">
    <w:p w:rsidR="00B0540B" w:rsidRDefault="009A6B73">
      <w:pPr>
        <w:pStyle w:val="FootnoteText"/>
        <w:spacing w:after="12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EIT InnoEnergy.</w:t>
      </w:r>
    </w:p>
  </w:footnote>
  <w:footnote w:id="8">
    <w:p w:rsidR="00B0540B" w:rsidRDefault="009A6B73">
      <w:pPr>
        <w:pStyle w:val="FootnoteText"/>
        <w:spacing w:after="12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Tsiropoulos I, et.al., «</w:t>
      </w:r>
      <w:r>
        <w:rPr>
          <w:rFonts w:ascii="Times New Roman" w:hAnsi="Times New Roman"/>
          <w:i/>
          <w:lang w:val="fr-BE"/>
        </w:rPr>
        <w:t>Li-ion batteries for mobility and stationary storage applications – Scenarios for cos</w:t>
      </w:r>
      <w:r>
        <w:rPr>
          <w:rFonts w:ascii="Times New Roman" w:hAnsi="Times New Roman"/>
          <w:i/>
          <w:lang w:val="fr-BE"/>
        </w:rPr>
        <w:t>ts and market growth</w:t>
      </w:r>
      <w:r>
        <w:rPr>
          <w:rFonts w:ascii="Times New Roman" w:hAnsi="Times New Roman"/>
          <w:lang w:val="fr-BE"/>
        </w:rPr>
        <w:t>», EUR 29440 EN, Office des publications de l’Union européenne, Luxembourg, 2018.</w:t>
      </w:r>
    </w:p>
  </w:footnote>
  <w:footnote w:id="9">
    <w:p w:rsidR="00B0540B" w:rsidRDefault="009A6B73">
      <w:pPr>
        <w:pStyle w:val="FootnoteText"/>
        <w:spacing w:after="120"/>
        <w:ind w:left="720" w:hanging="72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hyperlink r:id="rId3">
        <w:r>
          <w:rPr>
            <w:rStyle w:val="Hyperlink"/>
            <w:rFonts w:ascii="Times New Roman" w:hAnsi="Times New Roman"/>
            <w:lang w:val="fr-BE"/>
          </w:rPr>
          <w:t>https://ec.europa.eu/growth/industry/policy/european-battery-alliance_fr</w:t>
        </w:r>
      </w:hyperlink>
    </w:p>
  </w:footnote>
  <w:footnote w:id="10">
    <w:p w:rsidR="00B0540B" w:rsidRDefault="009A6B73">
      <w:pPr>
        <w:pStyle w:val="FootnoteText"/>
        <w:spacing w:after="120"/>
        <w:ind w:left="720" w:hanging="72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COM(2018) 293 final</w:t>
      </w:r>
      <w:r>
        <w:rPr>
          <w:lang w:val="fr-BE"/>
        </w:rPr>
        <w:t xml:space="preserve"> du </w:t>
      </w:r>
      <w:r>
        <w:rPr>
          <w:rFonts w:ascii="Times New Roman" w:hAnsi="Times New Roman"/>
          <w:lang w:val="fr-BE"/>
        </w:rPr>
        <w:t>17 mai 2018.</w:t>
      </w:r>
    </w:p>
  </w:footnote>
  <w:footnote w:id="11">
    <w:p w:rsidR="00B0540B" w:rsidRDefault="009A6B73">
      <w:pPr>
        <w:pStyle w:val="FootnoteText"/>
        <w:spacing w:after="120"/>
        <w:jc w:val="both"/>
        <w:rPr>
          <w:rFonts w:ascii="Times New Roman" w:hAnsi="Times New Roman" w:cs="Times New Roman"/>
          <w:lang w:val="fr-BE"/>
        </w:rPr>
      </w:pPr>
      <w:r>
        <w:rPr>
          <w:rStyle w:val="FootnoteReference"/>
          <w:rFonts w:ascii="Times New Roman" w:hAnsi="Times New Roman"/>
        </w:rPr>
        <w:footnoteRef/>
      </w:r>
      <w:r>
        <w:rPr>
          <w:rStyle w:val="FootnoteReference"/>
          <w:rFonts w:ascii="Times New Roman" w:hAnsi="Times New Roman"/>
          <w:lang w:val="fr-BE"/>
        </w:rPr>
        <w:t xml:space="preserve"> </w:t>
      </w:r>
      <w:r>
        <w:rPr>
          <w:rFonts w:ascii="Times New Roman" w:hAnsi="Times New Roman"/>
          <w:lang w:val="fr-BE"/>
        </w:rPr>
        <w:t xml:space="preserve">Aujourd’hui, c’est dans les secteurs du transport routier de voyageurs, du transport maritime à courte distance et de la navigation intérieure </w:t>
      </w:r>
      <w:r>
        <w:rPr>
          <w:rFonts w:ascii="Times New Roman" w:hAnsi="Times New Roman"/>
          <w:lang w:val="fr-BE"/>
        </w:rPr>
        <w:t>que l’électrification est la plus présente mais l’émergence de nouvelles technologies devrait permettre l’électrification d’autres modes de transport à l’avenir.</w:t>
      </w:r>
    </w:p>
  </w:footnote>
  <w:footnote w:id="12">
    <w:p w:rsidR="00B0540B" w:rsidRDefault="009A6B73">
      <w:pPr>
        <w:pStyle w:val="FootnoteText"/>
        <w:spacing w:after="120"/>
        <w:jc w:val="both"/>
        <w:rPr>
          <w:rFonts w:ascii="Times New Roman" w:eastAsia="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Compte tenu de l’augmentation de la production de masse, les coûts des blocs de batteries de</w:t>
      </w:r>
      <w:r>
        <w:rPr>
          <w:rFonts w:ascii="Times New Roman" w:hAnsi="Times New Roman"/>
          <w:lang w:val="fr-BE"/>
        </w:rPr>
        <w:t xml:space="preserve">vraient diminuer d’au moins 50 % d’ici à 2030 (JRC).  </w:t>
      </w:r>
    </w:p>
  </w:footnote>
  <w:footnote w:id="13">
    <w:p w:rsidR="00B0540B" w:rsidRDefault="009A6B73">
      <w:pPr>
        <w:pStyle w:val="FootnoteText"/>
        <w:spacing w:after="120"/>
        <w:jc w:val="both"/>
        <w:rPr>
          <w:rFonts w:ascii="Times New Roman" w:eastAsia="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Tsiropoulos I, et.al., «</w:t>
      </w:r>
      <w:r>
        <w:rPr>
          <w:rFonts w:ascii="Times New Roman" w:hAnsi="Times New Roman"/>
          <w:i/>
          <w:lang w:val="fr-BE"/>
        </w:rPr>
        <w:t>Li-ion batteries for mobility and stationary storage applications – Scenarios for costs and market growth</w:t>
      </w:r>
      <w:r>
        <w:rPr>
          <w:rFonts w:ascii="Times New Roman" w:hAnsi="Times New Roman"/>
          <w:lang w:val="fr-BE"/>
        </w:rPr>
        <w:t>», EUR 29440 EN, Office des publications de l’Union européenne, Luxemb</w:t>
      </w:r>
      <w:r>
        <w:rPr>
          <w:rFonts w:ascii="Times New Roman" w:hAnsi="Times New Roman"/>
          <w:lang w:val="fr-BE"/>
        </w:rPr>
        <w:t>ourg, 2018.</w:t>
      </w:r>
    </w:p>
  </w:footnote>
  <w:footnote w:id="14">
    <w:p w:rsidR="00B0540B" w:rsidRDefault="009A6B73">
      <w:pPr>
        <w:pStyle w:val="FootnoteText"/>
        <w:spacing w:after="12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Environmental and Energy Study Institute (2017). Factsheet – Plug-in Electric Vehicles. </w:t>
      </w:r>
      <w:r>
        <w:rPr>
          <w:rFonts w:ascii="Times New Roman" w:hAnsi="Times New Roman"/>
          <w:lang w:val="fr-BE"/>
        </w:rPr>
        <w:t xml:space="preserve">Lien: </w:t>
      </w:r>
      <w:hyperlink r:id="rId4" w:anchor="5">
        <w:r>
          <w:rPr>
            <w:rFonts w:ascii="Times New Roman" w:hAnsi="Times New Roman"/>
            <w:lang w:val="fr-BE"/>
          </w:rPr>
          <w:t>https://www.eesi.org/papers/view/fact-sheet-plu</w:t>
        </w:r>
        <w:r>
          <w:rPr>
            <w:rFonts w:ascii="Times New Roman" w:hAnsi="Times New Roman"/>
            <w:lang w:val="fr-BE"/>
          </w:rPr>
          <w:t>g-in-electric-vehicles-2017#5.</w:t>
        </w:r>
      </w:hyperlink>
      <w:r>
        <w:rPr>
          <w:rFonts w:ascii="Times New Roman" w:hAnsi="Times New Roman"/>
          <w:lang w:val="fr-BE"/>
        </w:rPr>
        <w:t xml:space="preserve">  </w:t>
      </w:r>
    </w:p>
  </w:footnote>
  <w:footnote w:id="15">
    <w:p w:rsidR="00B0540B" w:rsidRDefault="009A6B73">
      <w:pPr>
        <w:pStyle w:val="FootnoteText"/>
        <w:spacing w:after="120"/>
        <w:ind w:left="720" w:hanging="720"/>
        <w:jc w:val="both"/>
        <w:rPr>
          <w:rFonts w:ascii="Times New Roman" w:eastAsia="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COM(2016) 501 final du 20 juillet 2016.</w:t>
      </w:r>
    </w:p>
  </w:footnote>
  <w:footnote w:id="16">
    <w:p w:rsidR="00B0540B" w:rsidRDefault="009A6B73">
      <w:pPr>
        <w:pStyle w:val="FootnoteText"/>
        <w:spacing w:after="120"/>
        <w:ind w:left="720" w:hanging="720"/>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COM(2017) 676 final du 8 novembre 2017.</w:t>
      </w:r>
    </w:p>
  </w:footnote>
  <w:footnote w:id="17">
    <w:p w:rsidR="00B0540B" w:rsidRDefault="009A6B73">
      <w:pPr>
        <w:pStyle w:val="FootnoteText"/>
        <w:spacing w:after="120"/>
        <w:ind w:left="720" w:hanging="720"/>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COM(2018) 284 final du 17 mai 2018.</w:t>
      </w:r>
    </w:p>
  </w:footnote>
  <w:footnote w:id="18">
    <w:p w:rsidR="00B0540B" w:rsidRDefault="009A6B73">
      <w:pPr>
        <w:pStyle w:val="FootnoteText"/>
        <w:spacing w:after="120"/>
        <w:ind w:left="720" w:hanging="720"/>
        <w:jc w:val="both"/>
        <w:rPr>
          <w:rFonts w:ascii="Times New Roman" w:eastAsia="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COM(2017) 653 final du 8 novembre 2017.</w:t>
      </w:r>
    </w:p>
  </w:footnote>
  <w:footnote w:id="19">
    <w:p w:rsidR="00B0540B" w:rsidRDefault="009A6B73">
      <w:pPr>
        <w:pStyle w:val="FootnoteText"/>
        <w:spacing w:after="120"/>
        <w:ind w:left="720" w:hanging="72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La pollution atmosphérique intervient dans quelque 400 000 décès prématurés en Europe chaque année.</w:t>
      </w:r>
    </w:p>
  </w:footnote>
  <w:footnote w:id="20">
    <w:p w:rsidR="00B0540B" w:rsidRDefault="009A6B73">
      <w:pPr>
        <w:pStyle w:val="FootnoteText"/>
        <w:spacing w:after="120"/>
        <w:ind w:left="720" w:hanging="720"/>
        <w:jc w:val="both"/>
        <w:rPr>
          <w:rFonts w:ascii="Times New Roman" w:eastAsia="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hyperlink r:id="rId5">
        <w:r>
          <w:rPr>
            <w:rFonts w:ascii="Times New Roman" w:hAnsi="Times New Roman"/>
            <w:lang w:val="fr-BE"/>
          </w:rPr>
          <w:t>COM(20</w:t>
        </w:r>
        <w:r>
          <w:rPr>
            <w:rFonts w:ascii="Times New Roman" w:hAnsi="Times New Roman"/>
            <w:lang w:val="fr-BE"/>
          </w:rPr>
          <w:t>17) 280</w:t>
        </w:r>
      </w:hyperlink>
      <w:r>
        <w:rPr>
          <w:rFonts w:ascii="Times New Roman" w:hAnsi="Times New Roman"/>
          <w:lang w:val="fr-BE"/>
        </w:rPr>
        <w:t xml:space="preserve"> final du 31 mai</w:t>
      </w:r>
      <w:r>
        <w:rPr>
          <w:lang w:val="fr-BE"/>
        </w:rPr>
        <w:t xml:space="preserve"> </w:t>
      </w:r>
      <w:r>
        <w:rPr>
          <w:rFonts w:ascii="Times New Roman" w:hAnsi="Times New Roman"/>
          <w:lang w:val="fr-BE"/>
        </w:rPr>
        <w:t>2017.</w:t>
      </w:r>
    </w:p>
  </w:footnote>
  <w:footnote w:id="21">
    <w:p w:rsidR="00B0540B" w:rsidRDefault="009A6B73">
      <w:pPr>
        <w:pStyle w:val="FootnoteText"/>
        <w:spacing w:after="120"/>
        <w:ind w:left="720" w:hanging="72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COM(2018) 773 du 28 novembre 2018.</w:t>
      </w:r>
    </w:p>
  </w:footnote>
  <w:footnote w:id="22">
    <w:p w:rsidR="00B0540B" w:rsidRDefault="009A6B73">
      <w:pPr>
        <w:pStyle w:val="FootnoteText"/>
        <w:spacing w:after="120"/>
        <w:rPr>
          <w:lang w:val="fr-BE"/>
        </w:rPr>
      </w:pPr>
      <w:r>
        <w:rPr>
          <w:rStyle w:val="FootnoteReference"/>
        </w:rPr>
        <w:footnoteRef/>
      </w:r>
      <w:r>
        <w:rPr>
          <w:lang w:val="fr-BE"/>
        </w:rPr>
        <w:t xml:space="preserve"> </w:t>
      </w:r>
      <w:r>
        <w:rPr>
          <w:rFonts w:ascii="Times New Roman" w:hAnsi="Times New Roman"/>
          <w:lang w:val="fr-BE"/>
        </w:rPr>
        <w:t>La technologie des batteries bidirectionnelles permet d’acheminer l’électricité du réseau électrique vers le véhicule électrique et vice-et-versa (véhicule-réseau).</w:t>
      </w:r>
    </w:p>
  </w:footnote>
  <w:footnote w:id="23">
    <w:p w:rsidR="00B0540B" w:rsidRDefault="009A6B73">
      <w:pPr>
        <w:pStyle w:val="FootnoteText"/>
        <w:spacing w:after="120"/>
        <w:rPr>
          <w:rFonts w:ascii="Times New Roman" w:eastAsia="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hyperlink r:id="rId6">
        <w:r>
          <w:rPr>
            <w:rStyle w:val="Hyperlink"/>
            <w:rFonts w:ascii="Times New Roman" w:hAnsi="Times New Roman"/>
            <w:lang w:val="fr-BE"/>
          </w:rPr>
          <w:t>https://www.irena.org/-/media/Files/IRENA/Agency/Publication/2017/Oct/IRENA_Electricity_Storage_Costs_2017.pdf</w:t>
        </w:r>
      </w:hyperlink>
      <w:r>
        <w:rPr>
          <w:rFonts w:ascii="Times New Roman" w:hAnsi="Times New Roman"/>
          <w:lang w:val="fr-BE"/>
        </w:rPr>
        <w:t xml:space="preserve"> </w:t>
      </w:r>
    </w:p>
  </w:footnote>
  <w:footnote w:id="24">
    <w:p w:rsidR="00B0540B" w:rsidRDefault="009A6B73">
      <w:pPr>
        <w:pStyle w:val="FootnoteText"/>
        <w:spacing w:after="12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rFonts w:ascii="Times New Roman" w:hAnsi="Times New Roman"/>
          <w:i/>
          <w:lang w:val="fr-BE"/>
        </w:rPr>
        <w:t>Benchmark Mineral Intelligence</w:t>
      </w:r>
      <w:r>
        <w:rPr>
          <w:rFonts w:ascii="Times New Roman" w:hAnsi="Times New Roman"/>
          <w:lang w:val="fr-BE"/>
        </w:rPr>
        <w:t>»</w:t>
      </w:r>
      <w:r>
        <w:rPr>
          <w:rFonts w:ascii="Times New Roman" w:hAnsi="Times New Roman"/>
          <w:lang w:val="fr-BE"/>
        </w:rPr>
        <w:t xml:space="preserve">, octobre 2018.  </w:t>
      </w:r>
    </w:p>
  </w:footnote>
  <w:footnote w:id="25">
    <w:p w:rsidR="00B0540B" w:rsidRDefault="009A6B73">
      <w:pPr>
        <w:pStyle w:val="FootnoteText"/>
        <w:spacing w:after="12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Reuters, juin 2018.</w:t>
      </w:r>
    </w:p>
  </w:footnote>
  <w:footnote w:id="26">
    <w:p w:rsidR="00B0540B" w:rsidRDefault="009A6B73">
      <w:pPr>
        <w:pStyle w:val="FootnoteText"/>
        <w:spacing w:after="12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Centre commun de recherche.</w:t>
      </w:r>
    </w:p>
  </w:footnote>
  <w:footnote w:id="27">
    <w:p w:rsidR="00B0540B" w:rsidRDefault="009A6B73">
      <w:pPr>
        <w:pStyle w:val="FootnoteText"/>
        <w:spacing w:after="120"/>
        <w:jc w:val="both"/>
        <w:rPr>
          <w:rFonts w:ascii="Times New Roman" w:eastAsia="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69 % de l’offre mondiale de graphite naturel provient de Chine, tandis que 64 % de l’offre mondiale de cobalt provient de la République démocratique du Congo. Document de travail des s</w:t>
      </w:r>
      <w:r>
        <w:rPr>
          <w:rFonts w:ascii="Times New Roman" w:hAnsi="Times New Roman"/>
          <w:lang w:val="fr-BE"/>
        </w:rPr>
        <w:t>ervices de la Commission, «</w:t>
      </w:r>
      <w:r>
        <w:rPr>
          <w:rFonts w:ascii="Times New Roman" w:hAnsi="Times New Roman"/>
          <w:i/>
          <w:lang w:val="fr-BE"/>
        </w:rPr>
        <w:t>Report on raw materials for battery applications</w:t>
      </w:r>
      <w:r>
        <w:rPr>
          <w:rFonts w:ascii="Times New Roman" w:hAnsi="Times New Roman"/>
          <w:lang w:val="fr-BE"/>
        </w:rPr>
        <w:t>», SWD(2018) 245/2 final.</w:t>
      </w:r>
    </w:p>
  </w:footnote>
  <w:footnote w:id="28">
    <w:p w:rsidR="00B0540B" w:rsidRPr="009A6B73" w:rsidRDefault="009A6B73">
      <w:pPr>
        <w:pStyle w:val="FootnoteText"/>
        <w:spacing w:after="120"/>
        <w:jc w:val="both"/>
        <w:rPr>
          <w:rFonts w:ascii="Times New Roman" w:hAnsi="Times New Roman" w:cs="Times New Roman"/>
        </w:rPr>
      </w:pPr>
      <w:r>
        <w:rPr>
          <w:rStyle w:val="FootnoteReference"/>
          <w:rFonts w:ascii="Times New Roman" w:hAnsi="Times New Roman"/>
        </w:rPr>
        <w:footnoteRef/>
      </w:r>
      <w:r w:rsidRPr="009A6B73">
        <w:rPr>
          <w:rFonts w:ascii="Times New Roman" w:hAnsi="Times New Roman"/>
        </w:rPr>
        <w:t xml:space="preserve"> JOIN(2019) 5 final du 12 mars 2019.</w:t>
      </w:r>
    </w:p>
  </w:footnote>
  <w:footnote w:id="29">
    <w:p w:rsidR="00B0540B" w:rsidRPr="009A6B73" w:rsidRDefault="009A6B73">
      <w:pPr>
        <w:pStyle w:val="FootnoteText"/>
        <w:spacing w:after="120"/>
        <w:jc w:val="both"/>
        <w:rPr>
          <w:rFonts w:ascii="Times New Roman" w:eastAsia="Times New Roman" w:hAnsi="Times New Roman" w:cs="Times New Roman"/>
        </w:rPr>
      </w:pPr>
      <w:r>
        <w:rPr>
          <w:rStyle w:val="FootnoteReference"/>
          <w:rFonts w:ascii="Times New Roman" w:hAnsi="Times New Roman"/>
        </w:rPr>
        <w:footnoteRef/>
      </w:r>
      <w:r w:rsidRPr="009A6B73">
        <w:rPr>
          <w:rFonts w:ascii="Times New Roman" w:hAnsi="Times New Roman"/>
        </w:rPr>
        <w:t xml:space="preserve"> Blagoeva.D., et al., «</w:t>
      </w:r>
      <w:r w:rsidRPr="009A6B73">
        <w:rPr>
          <w:rFonts w:ascii="Times New Roman" w:hAnsi="Times New Roman"/>
          <w:i/>
        </w:rPr>
        <w:t>Assessment of potential bottlenecks along the materials supply chain for the future deploymen</w:t>
      </w:r>
      <w:r w:rsidRPr="009A6B73">
        <w:rPr>
          <w:rFonts w:ascii="Times New Roman" w:hAnsi="Times New Roman"/>
          <w:i/>
        </w:rPr>
        <w:t>t of low-carbon energy and transport technologies in the EU</w:t>
      </w:r>
      <w:r w:rsidRPr="009A6B73">
        <w:rPr>
          <w:rFonts w:ascii="Times New Roman" w:hAnsi="Times New Roman"/>
        </w:rPr>
        <w:t>», EUR 28192 EN, Office des publications de l’Union européenne, Luxembourg, 2018.</w:t>
      </w:r>
    </w:p>
  </w:footnote>
  <w:footnote w:id="30">
    <w:p w:rsidR="00B0540B" w:rsidRDefault="009A6B73">
      <w:pPr>
        <w:pStyle w:val="FootnoteText"/>
        <w:spacing w:after="12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COM(2017) 479 final du 13.9.2017.</w:t>
      </w:r>
    </w:p>
  </w:footnote>
  <w:footnote w:id="31">
    <w:p w:rsidR="00B0540B" w:rsidRDefault="009A6B73">
      <w:pPr>
        <w:pStyle w:val="FootnoteText"/>
        <w:spacing w:after="12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Pour le lancement de cette activité, la Commission a été soutenue par InnoEnergy de l’EIT.</w:t>
      </w:r>
    </w:p>
  </w:footnote>
  <w:footnote w:id="32">
    <w:p w:rsidR="00B0540B" w:rsidRDefault="009A6B73">
      <w:pPr>
        <w:spacing w:after="120" w:line="240" w:lineRule="auto"/>
        <w:jc w:val="both"/>
        <w:rPr>
          <w:rFonts w:ascii="Times New Roman" w:hAnsi="Times New Roman" w:cs="Times New Roman"/>
          <w:sz w:val="20"/>
          <w:szCs w:val="20"/>
          <w:lang w:val="fr-BE"/>
        </w:rPr>
      </w:pPr>
      <w:r>
        <w:rPr>
          <w:rStyle w:val="FootnoteReference"/>
          <w:rFonts w:ascii="Times New Roman" w:hAnsi="Times New Roman"/>
          <w:sz w:val="20"/>
        </w:rPr>
        <w:footnoteRef/>
      </w:r>
      <w:r>
        <w:rPr>
          <w:rFonts w:ascii="Times New Roman" w:hAnsi="Times New Roman"/>
          <w:sz w:val="20"/>
          <w:lang w:val="fr-BE"/>
        </w:rPr>
        <w:t xml:space="preserve"> Lors d’une réunion organisée en octobre 2018 dans le cadre de l’alliance européenne pour les batteries, les États membres de l’UE et les leaders du secteur ont sa</w:t>
      </w:r>
      <w:r>
        <w:rPr>
          <w:rFonts w:ascii="Times New Roman" w:hAnsi="Times New Roman"/>
          <w:sz w:val="20"/>
          <w:lang w:val="fr-BE"/>
        </w:rPr>
        <w:t>lué l’approche proposée par la Commission dans son plan d’action stratégique et appelé tous les acteurs concernés à la mettre en œuvre rapidement.</w:t>
      </w:r>
    </w:p>
  </w:footnote>
  <w:footnote w:id="33">
    <w:p w:rsidR="00B0540B" w:rsidRDefault="009A6B73">
      <w:pPr>
        <w:pStyle w:val="FootnoteText"/>
        <w:spacing w:after="12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Plusieurs fabricants européens prévoient, par exemple, de produire des batteries à électrolyte solide à l’h</w:t>
      </w:r>
      <w:r>
        <w:rPr>
          <w:rFonts w:ascii="Times New Roman" w:hAnsi="Times New Roman"/>
          <w:lang w:val="fr-BE"/>
        </w:rPr>
        <w:t>orizon 2025.</w:t>
      </w:r>
    </w:p>
  </w:footnote>
  <w:footnote w:id="34">
    <w:p w:rsidR="00B0540B" w:rsidRDefault="009A6B73">
      <w:pPr>
        <w:pStyle w:val="FootnoteText"/>
        <w:spacing w:after="120"/>
        <w:jc w:val="both"/>
        <w:rPr>
          <w:rStyle w:val="FootnoteReference"/>
          <w:rFonts w:ascii="Times New Roman" w:hAnsi="Times New Roman" w:cs="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hyperlink r:id="rId7">
        <w:r>
          <w:rPr>
            <w:rStyle w:val="FootnoteReference"/>
            <w:rFonts w:ascii="Times New Roman" w:hAnsi="Times New Roman"/>
            <w:vertAlign w:val="baseline"/>
          </w:rPr>
          <w:t>https://ec.europa.eu/research/energy/index.cfm?pg=policy&amp;policyname=set</w:t>
        </w:r>
      </w:hyperlink>
    </w:p>
  </w:footnote>
  <w:footnote w:id="35">
    <w:p w:rsidR="00B0540B" w:rsidRDefault="009A6B73">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8">
        <w:r>
          <w:rPr>
            <w:rStyle w:val="Hyperlink"/>
            <w:rFonts w:ascii="Times New Roman" w:hAnsi="Times New Roman"/>
          </w:rPr>
          <w:t>https://trimis.ec.europa.eu/stria-roadmaps/transport-electrification</w:t>
        </w:r>
      </w:hyperlink>
      <w:r>
        <w:rPr>
          <w:rFonts w:ascii="Times New Roman" w:hAnsi="Times New Roman"/>
        </w:rPr>
        <w:t xml:space="preserve"> </w:t>
      </w:r>
    </w:p>
  </w:footnote>
  <w:footnote w:id="36">
    <w:p w:rsidR="00B0540B" w:rsidRDefault="009A6B73">
      <w:pPr>
        <w:pStyle w:val="FootnoteText"/>
        <w:spacing w:after="12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Cette ETIP, dirigée par l’alliance européenne de la recherche dans le domaine de l'énergie, l’asso</w:t>
      </w:r>
      <w:r>
        <w:rPr>
          <w:rFonts w:ascii="Times New Roman" w:hAnsi="Times New Roman"/>
          <w:lang w:val="fr-BE"/>
        </w:rPr>
        <w:t>ciation européenne pour le stockage de l’énergie (EASE) et la CCI «InnoEnergy» de l’EIT, a été lancée en février 2019 dans le cadre du forum industriel sur l’énergie propre.</w:t>
      </w:r>
    </w:p>
  </w:footnote>
  <w:footnote w:id="37">
    <w:p w:rsidR="00B0540B" w:rsidRDefault="009A6B73">
      <w:pPr>
        <w:pStyle w:val="FootnoteText"/>
        <w:rPr>
          <w:rFonts w:ascii="Times New Roman" w:eastAsia="Times New Roman" w:hAnsi="Times New Roman" w:cs="Times New Roman"/>
          <w:lang w:val="fr-BE"/>
        </w:rPr>
      </w:pPr>
      <w:r>
        <w:rPr>
          <w:rStyle w:val="FootnoteReference"/>
        </w:rPr>
        <w:footnoteRef/>
      </w:r>
      <w:r>
        <w:rPr>
          <w:lang w:val="fr-BE"/>
        </w:rPr>
        <w:t xml:space="preserve"> </w:t>
      </w:r>
      <w:r>
        <w:rPr>
          <w:rFonts w:ascii="Times New Roman" w:hAnsi="Times New Roman"/>
          <w:lang w:val="fr-BE"/>
        </w:rPr>
        <w:t>Ce partenariat est ouvert aux autres régions qui pourraient souhaiter s’y associ</w:t>
      </w:r>
      <w:r>
        <w:rPr>
          <w:rFonts w:ascii="Times New Roman" w:hAnsi="Times New Roman"/>
          <w:lang w:val="fr-BE"/>
        </w:rPr>
        <w:t>er.</w:t>
      </w:r>
    </w:p>
  </w:footnote>
  <w:footnote w:id="38">
    <w:p w:rsidR="00B0540B" w:rsidRDefault="009A6B73">
      <w:pPr>
        <w:pStyle w:val="FootnoteText"/>
        <w:spacing w:after="12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hyperlink r:id="rId9">
        <w:r>
          <w:rPr>
            <w:rStyle w:val="Hyperlink"/>
            <w:rFonts w:ascii="Times New Roman" w:hAnsi="Times New Roman"/>
            <w:lang w:val="fr-BE"/>
          </w:rPr>
          <w:t>http://s3platform.jrc.ec.europa.eu/batteries</w:t>
        </w:r>
      </w:hyperlink>
    </w:p>
  </w:footnote>
  <w:footnote w:id="39">
    <w:p w:rsidR="00B0540B" w:rsidRDefault="009A6B73">
      <w:pPr>
        <w:pStyle w:val="FootnoteText"/>
        <w:spacing w:after="120"/>
        <w:jc w:val="both"/>
        <w:rPr>
          <w:rFonts w:ascii="Times New Roman" w:hAnsi="Times New Roman" w:cs="Times New Roman"/>
          <w:color w:val="0000FF"/>
          <w:u w:val="single"/>
          <w:lang w:val="fr-BE"/>
        </w:rPr>
      </w:pPr>
      <w:r>
        <w:rPr>
          <w:rStyle w:val="FootnoteReference"/>
          <w:rFonts w:ascii="Times New Roman" w:hAnsi="Times New Roman"/>
        </w:rPr>
        <w:footnoteRef/>
      </w:r>
      <w:r>
        <w:rPr>
          <w:rFonts w:ascii="Times New Roman" w:hAnsi="Times New Roman"/>
          <w:lang w:val="fr-BE"/>
        </w:rPr>
        <w:t xml:space="preserve"> </w:t>
      </w:r>
      <w:r>
        <w:rPr>
          <w:rStyle w:val="Hyperlink"/>
          <w:rFonts w:ascii="Times New Roman" w:hAnsi="Times New Roman"/>
          <w:lang w:val="fr-BE"/>
        </w:rPr>
        <w:t>Lien vers l’EDP.</w:t>
      </w:r>
    </w:p>
  </w:footnote>
  <w:footnote w:id="40">
    <w:p w:rsidR="00B0540B" w:rsidRDefault="009A6B73">
      <w:pPr>
        <w:pStyle w:val="FootnoteText"/>
        <w:spacing w:after="12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rFonts w:ascii="Times New Roman" w:hAnsi="Times New Roman"/>
          <w:i/>
          <w:lang w:val="fr-BE"/>
        </w:rPr>
        <w:t>Northvolt ETT-large scale battery plant</w:t>
      </w:r>
      <w:r>
        <w:rPr>
          <w:rFonts w:ascii="Times New Roman" w:hAnsi="Times New Roman"/>
          <w:lang w:val="fr-BE"/>
        </w:rPr>
        <w:t xml:space="preserve"> (Northvolt ETT, ligne de production à grande échelle de batteries), communiqué de presse de la BEI, 19.9.2018.</w:t>
      </w:r>
    </w:p>
  </w:footnote>
  <w:footnote w:id="41">
    <w:p w:rsidR="00B0540B" w:rsidRDefault="009A6B73">
      <w:pPr>
        <w:pStyle w:val="FootnoteText"/>
        <w:spacing w:after="120"/>
        <w:jc w:val="both"/>
        <w:rPr>
          <w:rFonts w:ascii="Times New Roman" w:hAnsi="Times New Roman" w:cs="Times New Roman"/>
          <w:lang w:val="fr-BE"/>
        </w:rPr>
      </w:pPr>
      <w:r>
        <w:rPr>
          <w:rStyle w:val="FootnoteReference"/>
        </w:rPr>
        <w:footnoteRef/>
      </w:r>
      <w:r>
        <w:rPr>
          <w:lang w:val="fr-BE"/>
        </w:rPr>
        <w:t xml:space="preserve"> </w:t>
      </w:r>
      <w:hyperlink r:id="rId10">
        <w:r>
          <w:rPr>
            <w:rStyle w:val="Hyperlink"/>
            <w:rFonts w:ascii="Times New Roman" w:hAnsi="Times New Roman"/>
            <w:lang w:val="fr-BE"/>
          </w:rPr>
          <w:t>https://ec.europa.eu/clima/policies/innovation-fund_fr</w:t>
        </w:r>
      </w:hyperlink>
      <w:r>
        <w:rPr>
          <w:rFonts w:ascii="Times New Roman" w:hAnsi="Times New Roman"/>
          <w:lang w:val="fr-BE"/>
        </w:rPr>
        <w:t xml:space="preserve"> </w:t>
      </w:r>
    </w:p>
  </w:footnote>
  <w:footnote w:id="42">
    <w:p w:rsidR="00B0540B" w:rsidRDefault="009A6B73">
      <w:pPr>
        <w:pStyle w:val="FootnoteText"/>
        <w:rPr>
          <w:rFonts w:ascii="Times New Roman" w:eastAsia="Times New Roman" w:hAnsi="Times New Roman" w:cs="Times New Roman"/>
          <w:lang w:val="fr-BE"/>
        </w:rPr>
      </w:pPr>
      <w:r>
        <w:rPr>
          <w:rStyle w:val="FootnoteReference"/>
        </w:rPr>
        <w:footnoteRef/>
      </w:r>
      <w:r>
        <w:rPr>
          <w:lang w:val="fr-BE"/>
        </w:rPr>
        <w:t xml:space="preserve"> </w:t>
      </w:r>
      <w:r>
        <w:rPr>
          <w:rFonts w:ascii="Times New Roman" w:hAnsi="Times New Roman"/>
          <w:lang w:val="fr-BE"/>
        </w:rPr>
        <w:t>Le plan d’</w:t>
      </w:r>
      <w:r>
        <w:rPr>
          <w:rFonts w:ascii="Times New Roman" w:hAnsi="Times New Roman"/>
          <w:lang w:val="fr-BE"/>
        </w:rPr>
        <w:t>investissement actuel, auquel InvestEU devrait succéder et qui vise à mobiliser des financements privés grâce à la fourniture de garanties par le budget de l’UE, constitue une tentative en ce sens.</w:t>
      </w:r>
    </w:p>
  </w:footnote>
  <w:footnote w:id="43">
    <w:p w:rsidR="00B0540B" w:rsidRDefault="009A6B73">
      <w:pPr>
        <w:pStyle w:val="FootnoteText"/>
        <w:spacing w:after="12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hyperlink r:id="rId11">
        <w:r>
          <w:rPr>
            <w:rStyle w:val="Hyperlink"/>
            <w:rFonts w:ascii="Times New Roman" w:hAnsi="Times New Roman"/>
            <w:lang w:val="fr-BE"/>
          </w:rPr>
          <w:t>http://europa.eu/rapid/press-release_IP-18-6125_fr.htm</w:t>
        </w:r>
      </w:hyperlink>
    </w:p>
  </w:footnote>
  <w:footnote w:id="44">
    <w:p w:rsidR="00B0540B" w:rsidRDefault="009A6B73">
      <w:pPr>
        <w:pStyle w:val="FootnoteText"/>
        <w:spacing w:after="12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Les projets importants d’intérêt européen commun (PIIEC) sont des projets associant plus d’un État membre qui contribuent aux objectifs stratégiques de l’Union et ont des retombées </w:t>
      </w:r>
      <w:r>
        <w:rPr>
          <w:rFonts w:ascii="Times New Roman" w:hAnsi="Times New Roman"/>
          <w:lang w:val="fr-BE"/>
        </w:rPr>
        <w:t>positives sur l’économie ou la société européenne dans son ensemble. Dans le cas de projets de recherche, de développement et d’innovation, ces projets doivent revêtir un caractère novateur majeur, allant au-delà de l’état de la technique dans les secteurs</w:t>
      </w:r>
      <w:r>
        <w:rPr>
          <w:rFonts w:ascii="Times New Roman" w:hAnsi="Times New Roman"/>
          <w:lang w:val="fr-BE"/>
        </w:rPr>
        <w:t xml:space="preserve"> concernés - voir la communication de la Commission 2014/C 188/02 de mai 2014.</w:t>
      </w:r>
    </w:p>
  </w:footnote>
  <w:footnote w:id="45">
    <w:p w:rsidR="00B0540B" w:rsidRDefault="009A6B73">
      <w:pPr>
        <w:pStyle w:val="FootnoteText"/>
        <w:spacing w:after="120"/>
        <w:jc w:val="both"/>
        <w:rPr>
          <w:rFonts w:ascii="Times New Roman" w:eastAsia="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Y compris des appels à manifestation d’intérêt publiés en Belgique, en France, en Allemagne et en Italie.</w:t>
      </w:r>
    </w:p>
  </w:footnote>
  <w:footnote w:id="46">
    <w:p w:rsidR="00B0540B" w:rsidRDefault="009A6B73">
      <w:pPr>
        <w:pStyle w:val="FootnoteText"/>
        <w:rPr>
          <w:rFonts w:ascii="Times New Roman" w:eastAsia="Times New Roman" w:hAnsi="Times New Roman" w:cs="Times New Roman"/>
          <w:lang w:val="fr-BE"/>
        </w:rPr>
      </w:pPr>
      <w:r>
        <w:rPr>
          <w:rStyle w:val="FootnoteReference"/>
        </w:rPr>
        <w:footnoteRef/>
      </w:r>
      <w:r>
        <w:rPr>
          <w:lang w:val="fr-BE"/>
        </w:rPr>
        <w:t xml:space="preserve"> </w:t>
      </w:r>
      <w:r>
        <w:rPr>
          <w:rFonts w:ascii="Times New Roman" w:hAnsi="Times New Roman"/>
          <w:lang w:val="fr-BE"/>
        </w:rPr>
        <w:t>Au moment de la rédaction du présent document, certains de ces acte</w:t>
      </w:r>
      <w:r>
        <w:rPr>
          <w:rFonts w:ascii="Times New Roman" w:hAnsi="Times New Roman"/>
          <w:lang w:val="fr-BE"/>
        </w:rPr>
        <w:t>urs privés sont en train d’élaborer un plan d’investissement pour regrouper les projets et les investisseurs.</w:t>
      </w:r>
    </w:p>
  </w:footnote>
  <w:footnote w:id="47">
    <w:p w:rsidR="00B0540B" w:rsidRDefault="009A6B73">
      <w:pPr>
        <w:pStyle w:val="FootnoteText"/>
        <w:spacing w:after="120"/>
        <w:jc w:val="both"/>
        <w:rPr>
          <w:rFonts w:ascii="Times New Roman" w:hAnsi="Times New Roman" w:cs="Times New Roman"/>
          <w:lang w:val="en-US"/>
        </w:rPr>
      </w:pPr>
      <w:r>
        <w:rPr>
          <w:rStyle w:val="FootnoteReference"/>
          <w:rFonts w:ascii="Times New Roman" w:hAnsi="Times New Roman"/>
        </w:rPr>
        <w:footnoteRef/>
      </w:r>
      <w:r>
        <w:rPr>
          <w:rFonts w:ascii="Times New Roman" w:hAnsi="Times New Roman"/>
        </w:rPr>
        <w:t xml:space="preserve"> Bobba, S. </w:t>
      </w:r>
      <w:r>
        <w:rPr>
          <w:rFonts w:ascii="Times New Roman" w:hAnsi="Times New Roman"/>
          <w:i/>
        </w:rPr>
        <w:t>et al.</w:t>
      </w:r>
      <w:r>
        <w:rPr>
          <w:rFonts w:ascii="Times New Roman" w:hAnsi="Times New Roman"/>
        </w:rPr>
        <w:t xml:space="preserve">, </w:t>
      </w:r>
      <w:r>
        <w:rPr>
          <w:rFonts w:ascii="Times New Roman" w:hAnsi="Times New Roman"/>
          <w:i/>
        </w:rPr>
        <w:t>Sustainability Assessment of Second Life Application of Automotive Batteries (SASLAB):</w:t>
      </w:r>
      <w:r>
        <w:rPr>
          <w:rFonts w:ascii="Times New Roman" w:hAnsi="Times New Roman"/>
        </w:rPr>
        <w:t xml:space="preserve"> </w:t>
      </w:r>
      <w:r>
        <w:rPr>
          <w:rFonts w:ascii="Times New Roman" w:hAnsi="Times New Roman"/>
          <w:i/>
        </w:rPr>
        <w:t>Final technical report, 2018</w:t>
      </w:r>
      <w:r>
        <w:rPr>
          <w:rFonts w:ascii="Times New Roman" w:hAnsi="Times New Roman"/>
        </w:rPr>
        <w:t>, JRC112543</w:t>
      </w:r>
      <w:r>
        <w:rPr>
          <w:rFonts w:ascii="Times New Roman" w:hAnsi="Times New Roman"/>
        </w:rPr>
        <w:t>.</w:t>
      </w:r>
    </w:p>
  </w:footnote>
  <w:footnote w:id="48">
    <w:p w:rsidR="00B0540B" w:rsidRDefault="009A6B73">
      <w:pPr>
        <w:spacing w:after="6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rFonts w:ascii="Times New Roman" w:hAnsi="Times New Roman"/>
          <w:sz w:val="20"/>
          <w:lang w:val="fr-BE"/>
        </w:rPr>
        <w:t>Directive 2006/66/CE du Parlement européen et du Conseil du 6 septembre 2006 relative aux piles et accumulateurs ainsi qu'aux déchets de piles et d'accumulateurs et abrogeant la directive 91/157/CEE (JO L 266 du 26.9.2006, p. 1).</w:t>
      </w:r>
    </w:p>
  </w:footnote>
  <w:footnote w:id="49">
    <w:p w:rsidR="00B0540B" w:rsidRDefault="009A6B73">
      <w:pPr>
        <w:pStyle w:val="FootnoteText"/>
        <w:spacing w:after="120"/>
        <w:jc w:val="both"/>
        <w:rPr>
          <w:lang w:val="fr-BE"/>
        </w:rPr>
      </w:pPr>
      <w:r>
        <w:rPr>
          <w:rStyle w:val="FootnoteReference"/>
        </w:rPr>
        <w:footnoteRef/>
      </w:r>
      <w:r>
        <w:rPr>
          <w:lang w:val="fr-BE"/>
        </w:rPr>
        <w:t xml:space="preserve"> </w:t>
      </w:r>
      <w:r>
        <w:rPr>
          <w:rFonts w:ascii="Times New Roman" w:hAnsi="Times New Roman"/>
          <w:lang w:val="fr-BE"/>
        </w:rPr>
        <w:t xml:space="preserve">SWD(2019) 1300 du 9 </w:t>
      </w:r>
      <w:r>
        <w:rPr>
          <w:rFonts w:ascii="Times New Roman" w:hAnsi="Times New Roman"/>
          <w:lang w:val="fr-BE"/>
        </w:rPr>
        <w:t>avril 2019.</w:t>
      </w:r>
    </w:p>
  </w:footnote>
  <w:footnote w:id="50">
    <w:p w:rsidR="00B0540B" w:rsidRDefault="009A6B73">
      <w:pPr>
        <w:pStyle w:val="FootnoteText"/>
        <w:spacing w:after="120"/>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rFonts w:ascii="Times New Roman" w:hAnsi="Times New Roman"/>
          <w:i/>
          <w:lang w:val="fr-BE"/>
        </w:rPr>
        <w:t>Product Environmental Footprint Category Rules (PEFCR) for rechargeable batteries</w:t>
      </w:r>
      <w:r>
        <w:rPr>
          <w:rFonts w:ascii="Times New Roman" w:hAnsi="Times New Roman"/>
          <w:lang w:val="fr-BE"/>
        </w:rPr>
        <w:t xml:space="preserve">, document disponible à l’adresse suivante: </w:t>
      </w:r>
      <w:hyperlink r:id="rId12">
        <w:r>
          <w:rPr>
            <w:rFonts w:ascii="Times New Roman" w:hAnsi="Times New Roman"/>
            <w:lang w:val="fr-BE"/>
          </w:rPr>
          <w:t>http://ec.europa.eu/environment</w:t>
        </w:r>
        <w:r>
          <w:rPr>
            <w:rFonts w:ascii="Times New Roman" w:hAnsi="Times New Roman"/>
            <w:lang w:val="fr-BE"/>
          </w:rPr>
          <w:t>/eussd/smgp/pdf/PEFCR_Batteries.pdf.</w:t>
        </w:r>
      </w:hyperlink>
    </w:p>
  </w:footnote>
  <w:footnote w:id="51">
    <w:p w:rsidR="00B0540B" w:rsidRDefault="009A6B73">
      <w:pPr>
        <w:pStyle w:val="FootnoteText"/>
        <w:spacing w:after="120"/>
        <w:rPr>
          <w:rFonts w:ascii="Times New Roman" w:eastAsia="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hyperlink r:id="rId13">
        <w:r>
          <w:rPr>
            <w:rFonts w:ascii="Times New Roman" w:hAnsi="Times New Roman"/>
            <w:lang w:val="fr-BE"/>
          </w:rPr>
          <w:t>https://ec.europa.eu/commission/sites/beta-political/files/social-summit-europea</w:t>
        </w:r>
        <w:r>
          <w:rPr>
            <w:rFonts w:ascii="Times New Roman" w:hAnsi="Times New Roman"/>
            <w:lang w:val="fr-BE"/>
          </w:rPr>
          <w:t>n-pillar-social-rights-booklet_fr.pdf</w:t>
        </w:r>
      </w:hyperlink>
    </w:p>
  </w:footnote>
  <w:footnote w:id="52">
    <w:p w:rsidR="00B0540B" w:rsidRDefault="009A6B73">
      <w:pPr>
        <w:pStyle w:val="FootnoteText"/>
        <w:spacing w:after="120"/>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InnoEnergy de l’EIT a cartographié les besoins pour chaque segment de la chaîne de valeur, a organisé un atelier intitulé «Building a battery workforce» en décembre 2018 et est en train de développer une gamme complè</w:t>
      </w:r>
      <w:r>
        <w:rPr>
          <w:rFonts w:ascii="Times New Roman" w:hAnsi="Times New Roman"/>
          <w:lang w:val="fr-BE"/>
        </w:rPr>
        <w:t>te de formations dans le domaine des batteries et du stockage de l’énergie.</w:t>
      </w:r>
    </w:p>
  </w:footnote>
  <w:footnote w:id="53">
    <w:p w:rsidR="00B0540B" w:rsidRDefault="009A6B73">
      <w:pPr>
        <w:pStyle w:val="FootnoteText"/>
        <w:spacing w:after="120"/>
        <w:rPr>
          <w:rFonts w:ascii="Times New Roman" w:eastAsia="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hyperlink r:id="rId14">
        <w:r>
          <w:rPr>
            <w:rFonts w:ascii="Times New Roman" w:hAnsi="Times New Roman"/>
            <w:lang w:val="fr-BE"/>
          </w:rPr>
          <w:t>https://ec.europa.eu/programmes/erasmus-plus/resources/documen</w:t>
        </w:r>
        <w:r>
          <w:rPr>
            <w:rFonts w:ascii="Times New Roman" w:hAnsi="Times New Roman"/>
            <w:lang w:val="fr-BE"/>
          </w:rPr>
          <w:t>ts/erasmus-programme-guide-2019_fr</w:t>
        </w:r>
      </w:hyperlink>
      <w:r>
        <w:rPr>
          <w:rFonts w:ascii="Times New Roman" w:hAnsi="Times New Roman"/>
          <w:lang w:val="fr-BE"/>
        </w:rPr>
        <w:t xml:space="preserve"> </w:t>
      </w:r>
    </w:p>
  </w:footnote>
  <w:footnote w:id="54">
    <w:p w:rsidR="00B0540B" w:rsidRDefault="009A6B73">
      <w:pPr>
        <w:pStyle w:val="FootnoteText"/>
        <w:spacing w:after="120"/>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Source: Blagoeva, D. T. </w:t>
      </w:r>
      <w:r>
        <w:rPr>
          <w:rFonts w:ascii="Times New Roman" w:hAnsi="Times New Roman"/>
          <w:i/>
        </w:rPr>
        <w:t>et al.</w:t>
      </w:r>
      <w:r>
        <w:rPr>
          <w:rFonts w:ascii="Times New Roman" w:hAnsi="Times New Roman"/>
        </w:rPr>
        <w:t xml:space="preserve">, </w:t>
      </w:r>
      <w:r>
        <w:rPr>
          <w:rFonts w:ascii="Times New Roman" w:hAnsi="Times New Roman"/>
          <w:i/>
        </w:rPr>
        <w:t>Assessment of potential bottlenecks along the materials supply chain for the future deployment of low-carbon energy and transport technologies in the EU.</w:t>
      </w:r>
      <w:r>
        <w:rPr>
          <w:rFonts w:ascii="Times New Roman" w:hAnsi="Times New Roman"/>
        </w:rPr>
        <w:t xml:space="preserve"> </w:t>
      </w:r>
      <w:r>
        <w:rPr>
          <w:rFonts w:ascii="Times New Roman" w:hAnsi="Times New Roman"/>
          <w:i/>
          <w:lang w:val="fr-BE"/>
        </w:rPr>
        <w:t>Wind power, photovoltaic and ele</w:t>
      </w:r>
      <w:r>
        <w:rPr>
          <w:rFonts w:ascii="Times New Roman" w:hAnsi="Times New Roman"/>
          <w:i/>
          <w:lang w:val="fr-BE"/>
        </w:rPr>
        <w:t>ctric vehicles technologies, time frame:</w:t>
      </w:r>
      <w:r>
        <w:rPr>
          <w:rFonts w:ascii="Times New Roman" w:hAnsi="Times New Roman"/>
          <w:lang w:val="fr-BE"/>
        </w:rPr>
        <w:t xml:space="preserve"> </w:t>
      </w:r>
      <w:r>
        <w:rPr>
          <w:rFonts w:ascii="Times New Roman" w:hAnsi="Times New Roman"/>
          <w:i/>
          <w:lang w:val="fr-BE"/>
        </w:rPr>
        <w:t>2015-2030</w:t>
      </w:r>
      <w:r>
        <w:rPr>
          <w:rFonts w:ascii="Times New Roman" w:hAnsi="Times New Roman"/>
          <w:lang w:val="fr-BE"/>
        </w:rPr>
        <w:t>; EUR 28192 EN, Office des publications de l’Union européenne, Luxembourg, 2016.</w:t>
      </w:r>
    </w:p>
  </w:footnote>
  <w:footnote w:id="55">
    <w:p w:rsidR="00B0540B" w:rsidRDefault="009A6B73">
      <w:pPr>
        <w:pStyle w:val="FootnoteText"/>
        <w:spacing w:after="12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Voir Mancini, L. </w:t>
      </w:r>
      <w:r>
        <w:rPr>
          <w:rFonts w:ascii="Times New Roman" w:hAnsi="Times New Roman"/>
          <w:i/>
          <w:lang w:val="fr-BE"/>
        </w:rPr>
        <w:t>et al.</w:t>
      </w:r>
      <w:r>
        <w:rPr>
          <w:rFonts w:ascii="Times New Roman" w:hAnsi="Times New Roman"/>
          <w:lang w:val="fr-BE"/>
        </w:rPr>
        <w:t xml:space="preserve">, </w:t>
      </w:r>
      <w:r>
        <w:rPr>
          <w:rFonts w:ascii="Times New Roman" w:hAnsi="Times New Roman"/>
          <w:i/>
          <w:lang w:val="fr-BE"/>
        </w:rPr>
        <w:t>Mapping the role of Raw Materials in Sustainable Development Goals</w:t>
      </w:r>
      <w:r>
        <w:rPr>
          <w:rFonts w:ascii="Times New Roman" w:hAnsi="Times New Roman"/>
          <w:lang w:val="fr-BE"/>
        </w:rPr>
        <w:t>, EUR 29595 EN, Office des publi</w:t>
      </w:r>
      <w:r>
        <w:rPr>
          <w:rFonts w:ascii="Times New Roman" w:hAnsi="Times New Roman"/>
          <w:lang w:val="fr-BE"/>
        </w:rPr>
        <w:t>cations de l’Union européenne, Luxembourg, 2019.</w:t>
      </w:r>
    </w:p>
  </w:footnote>
  <w:footnote w:id="56">
    <w:p w:rsidR="00B0540B" w:rsidRDefault="009A6B73">
      <w:pPr>
        <w:rPr>
          <w:lang w:val="fr-BE"/>
        </w:rPr>
      </w:pPr>
      <w:r>
        <w:rPr>
          <w:rStyle w:val="FootnoteReference"/>
          <w:rFonts w:ascii="Times New Roman" w:hAnsi="Times New Roman"/>
        </w:rPr>
        <w:footnoteRef/>
      </w:r>
      <w:r>
        <w:rPr>
          <w:rFonts w:ascii="Times New Roman" w:hAnsi="Times New Roman"/>
          <w:lang w:val="fr-BE"/>
        </w:rPr>
        <w:t xml:space="preserve"> </w:t>
      </w:r>
      <w:hyperlink r:id="rId15">
        <w:r>
          <w:rPr>
            <w:rFonts w:ascii="Times New Roman" w:hAnsi="Times New Roman"/>
            <w:sz w:val="20"/>
            <w:lang w:val="fr-BE"/>
          </w:rPr>
          <w:t>http://europa.eu/rapid/press-release_IP-16-2581_fr.htm</w:t>
        </w:r>
      </w:hyperlink>
    </w:p>
    <w:p w:rsidR="00B0540B" w:rsidRDefault="00B0540B">
      <w:pPr>
        <w:pStyle w:val="FootnoteText"/>
        <w:spacing w:after="120"/>
        <w:jc w:val="both"/>
        <w:rPr>
          <w:rFonts w:ascii="Times New Roman" w:hAnsi="Times New Roman" w:cs="Times New Roman"/>
          <w:lang w:val="fr-BE"/>
        </w:rPr>
      </w:pPr>
    </w:p>
  </w:footnote>
  <w:footnote w:id="57">
    <w:p w:rsidR="00B0540B" w:rsidRDefault="009A6B73">
      <w:pPr>
        <w:pStyle w:val="FootnoteText"/>
        <w:spacing w:after="12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Selon les projections, en 2025, à condition qu’un cadre réglementaire fav</w:t>
      </w:r>
      <w:r>
        <w:rPr>
          <w:rFonts w:ascii="Times New Roman" w:hAnsi="Times New Roman"/>
          <w:lang w:val="fr-BE"/>
        </w:rPr>
        <w:t>orable et propice soit en place et pour autant que tous les projets en cours de l’UE soient menés à bien, la production de lithium de l’UE pourrait couvrir jusqu’à 30 % du total mondial.</w:t>
      </w:r>
    </w:p>
  </w:footnote>
  <w:footnote w:id="58">
    <w:p w:rsidR="00B0540B" w:rsidRDefault="009A6B73">
      <w:pPr>
        <w:pStyle w:val="FootnoteText"/>
        <w:spacing w:after="12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Avec le soutien de l’«EIT Raw Materials».</w:t>
      </w:r>
    </w:p>
  </w:footnote>
  <w:footnote w:id="59">
    <w:p w:rsidR="00B0540B" w:rsidRDefault="009A6B73">
      <w:pPr>
        <w:pStyle w:val="FootnoteText"/>
        <w:spacing w:after="120"/>
        <w:rPr>
          <w:rFonts w:ascii="Times New Roman" w:eastAsia="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hyperlink r:id="rId16">
        <w:r>
          <w:rPr>
            <w:rStyle w:val="Hyperlink"/>
            <w:rFonts w:ascii="Times New Roman" w:hAnsi="Times New Roman"/>
            <w:lang w:val="fr-BE"/>
          </w:rPr>
          <w:t>https://ec.europa.eu/growth/content/support-smes-mineral-supply-chain-due-diligence-implementation-phase_fr</w:t>
        </w:r>
      </w:hyperlink>
    </w:p>
  </w:footnote>
  <w:footnote w:id="60">
    <w:p w:rsidR="00B0540B" w:rsidRDefault="009A6B73">
      <w:pPr>
        <w:pStyle w:val="FootnoteText"/>
        <w:spacing w:after="120"/>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Alves Dias, P. </w:t>
      </w:r>
      <w:r>
        <w:rPr>
          <w:rFonts w:ascii="Times New Roman" w:hAnsi="Times New Roman"/>
          <w:i/>
          <w:lang w:val="fr-BE"/>
        </w:rPr>
        <w:t>et al.</w:t>
      </w:r>
      <w:r>
        <w:rPr>
          <w:rFonts w:ascii="Times New Roman" w:hAnsi="Times New Roman"/>
          <w:lang w:val="fr-BE"/>
        </w:rPr>
        <w:t xml:space="preserve">, </w:t>
      </w:r>
      <w:r>
        <w:rPr>
          <w:rFonts w:ascii="Times New Roman" w:hAnsi="Times New Roman"/>
          <w:i/>
          <w:lang w:val="fr-BE"/>
        </w:rPr>
        <w:t>Cobalt:</w:t>
      </w:r>
      <w:r>
        <w:rPr>
          <w:rFonts w:ascii="Times New Roman" w:hAnsi="Times New Roman"/>
          <w:lang w:val="fr-BE"/>
        </w:rPr>
        <w:t xml:space="preserve"> </w:t>
      </w:r>
      <w:r>
        <w:rPr>
          <w:rFonts w:ascii="Times New Roman" w:hAnsi="Times New Roman"/>
          <w:i/>
          <w:lang w:val="fr-BE"/>
        </w:rPr>
        <w:t>demand-supply balances in the transition to electric mobility</w:t>
      </w:r>
      <w:r>
        <w:rPr>
          <w:rFonts w:ascii="Times New Roman" w:hAnsi="Times New Roman"/>
          <w:lang w:val="fr-BE"/>
        </w:rPr>
        <w:t>, EUR 29381 EN, Office des publications de l’Union européenne, Luxembourg, 2018.</w:t>
      </w:r>
    </w:p>
  </w:footnote>
  <w:footnote w:id="61">
    <w:p w:rsidR="00B0540B" w:rsidRDefault="009A6B73">
      <w:pPr>
        <w:pStyle w:val="FootnoteText"/>
        <w:spacing w:after="120"/>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Voir le rapport du JRC intitulé </w:t>
      </w:r>
      <w:r>
        <w:rPr>
          <w:rFonts w:ascii="Times New Roman" w:hAnsi="Times New Roman"/>
          <w:i/>
          <w:lang w:val="fr-BE"/>
        </w:rPr>
        <w:t xml:space="preserve">Circular Economy perspectives for the management of batteries used in </w:t>
      </w:r>
      <w:r>
        <w:rPr>
          <w:rFonts w:ascii="Times New Roman" w:hAnsi="Times New Roman"/>
          <w:i/>
          <w:lang w:val="fr-BE"/>
        </w:rPr>
        <w:t>electric vehicles</w:t>
      </w:r>
      <w:r>
        <w:rPr>
          <w:rFonts w:ascii="Times New Roman" w:hAnsi="Times New Roman"/>
          <w:lang w:val="fr-BE"/>
        </w:rPr>
        <w:t>.</w:t>
      </w:r>
    </w:p>
  </w:footnote>
  <w:footnote w:id="62">
    <w:p w:rsidR="00B0540B" w:rsidRDefault="009A6B73">
      <w:pPr>
        <w:pStyle w:val="FootnoteText"/>
        <w:spacing w:after="120"/>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SWD(2019) 1300 du 9 avril 2019.</w:t>
      </w:r>
    </w:p>
  </w:footnote>
  <w:footnote w:id="63">
    <w:p w:rsidR="00B0540B" w:rsidRDefault="009A6B73">
      <w:pPr>
        <w:pStyle w:val="FootnoteText"/>
        <w:spacing w:after="12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Bobba, S. </w:t>
      </w:r>
      <w:r>
        <w:rPr>
          <w:rFonts w:ascii="Times New Roman" w:hAnsi="Times New Roman"/>
          <w:i/>
        </w:rPr>
        <w:t>et al.</w:t>
      </w:r>
      <w:r>
        <w:rPr>
          <w:rFonts w:ascii="Times New Roman" w:hAnsi="Times New Roman"/>
        </w:rPr>
        <w:t xml:space="preserve">, </w:t>
      </w:r>
      <w:r>
        <w:rPr>
          <w:rFonts w:ascii="Times New Roman" w:hAnsi="Times New Roman"/>
          <w:i/>
        </w:rPr>
        <w:t>Sustainability Assessment of Second Life Application of Automotive Batteries (ASLAB)</w:t>
      </w:r>
      <w:r>
        <w:rPr>
          <w:rFonts w:ascii="Times New Roman" w:hAnsi="Times New Roman"/>
        </w:rPr>
        <w:t xml:space="preserve"> </w:t>
      </w:r>
      <w:r>
        <w:rPr>
          <w:rFonts w:ascii="Times New Roman" w:hAnsi="Times New Roman"/>
          <w:i/>
        </w:rPr>
        <w:t>Final JRC technical report, 2018</w:t>
      </w:r>
      <w:r>
        <w:rPr>
          <w:rFonts w:ascii="Times New Roman" w:hAnsi="Times New Roman"/>
        </w:rPr>
        <w:t>, JRC112543.</w:t>
      </w:r>
    </w:p>
  </w:footnote>
  <w:footnote w:id="64">
    <w:p w:rsidR="00B0540B" w:rsidRDefault="009A6B73">
      <w:pPr>
        <w:pStyle w:val="FootnoteText"/>
        <w:spacing w:after="120"/>
      </w:pPr>
      <w:r>
        <w:rPr>
          <w:rStyle w:val="FootnoteReference"/>
          <w:rFonts w:ascii="Times New Roman" w:hAnsi="Times New Roman"/>
        </w:rPr>
        <w:footnoteRef/>
      </w:r>
      <w:r>
        <w:t xml:space="preserve"> </w:t>
      </w:r>
      <w:r w:rsidRPr="009A6B73">
        <w:rPr>
          <w:rFonts w:ascii="Times New Roman" w:hAnsi="Times New Roman"/>
        </w:rPr>
        <w:t>https://ec.europa.eu/info/research-and-innovation/l</w:t>
      </w:r>
      <w:r w:rsidRPr="009A6B73">
        <w:rPr>
          <w:rFonts w:ascii="Times New Roman" w:hAnsi="Times New Roman"/>
        </w:rPr>
        <w:t>aw-and-regulations/innovation-friendly-legislation/identifying-barriers_fr</w:t>
      </w:r>
      <w:bookmarkStart w:id="1" w:name="_GoBack"/>
      <w:bookmarkEnd w:id="1"/>
    </w:p>
  </w:footnote>
  <w:footnote w:id="65">
    <w:p w:rsidR="00B0540B" w:rsidRDefault="009A6B73">
      <w:pPr>
        <w:pStyle w:val="FootnoteText"/>
        <w:spacing w:after="120"/>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COM(2019) 175 final du 9 avril 2019.</w:t>
      </w:r>
    </w:p>
  </w:footnote>
  <w:footnote w:id="66">
    <w:p w:rsidR="00B0540B" w:rsidRDefault="009A6B73">
      <w:pPr>
        <w:pStyle w:val="FootnoteText"/>
        <w:spacing w:after="120"/>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Directive (UE) 2018/2001 du Parlement européen et du Conseil du 11 décembre 2018 relative à la promotion de l’utilisation de l’énergie produ</w:t>
      </w:r>
      <w:r>
        <w:rPr>
          <w:rFonts w:ascii="Times New Roman" w:hAnsi="Times New Roman"/>
          <w:lang w:val="fr-BE"/>
        </w:rPr>
        <w:t xml:space="preserve">ite à partir de sources renouvelables (JO L 328 du 21.12.2018, p. 82). </w:t>
      </w:r>
    </w:p>
  </w:footnote>
  <w:footnote w:id="67">
    <w:p w:rsidR="00B0540B" w:rsidRDefault="009A6B73">
      <w:pPr>
        <w:spacing w:after="60" w:line="240" w:lineRule="auto"/>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rFonts w:ascii="Times New Roman" w:hAnsi="Times New Roman"/>
          <w:sz w:val="20"/>
          <w:lang w:val="fr-BE"/>
        </w:rPr>
        <w:t>Directive 2014/94/UE du Parlement européen et du Conseil du 22 octobre 2014 sur le déploiement d’une infrastructure pour carburants alternatifs (JO L 307 du 28.10.2014, p. 1).</w:t>
      </w:r>
    </w:p>
  </w:footnote>
  <w:footnote w:id="68">
    <w:p w:rsidR="00B0540B" w:rsidRDefault="009A6B73">
      <w:pPr>
        <w:pStyle w:val="FootnoteText"/>
        <w:spacing w:after="120"/>
        <w:rPr>
          <w:rFonts w:ascii="Times New Roman" w:eastAsia="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COM(</w:t>
      </w:r>
      <w:r>
        <w:rPr>
          <w:rFonts w:ascii="Times New Roman" w:hAnsi="Times New Roman"/>
          <w:lang w:val="fr-BE"/>
        </w:rPr>
        <w:t>2017) 652 final du 8 novembre 2017. Parvenir à la plus large utilisation possible des carburants alternatifs – Plan d’action relatif à l’infrastructure pour carburants alternatifs en application de l’article 10, paragraphe 6, de la directive 2014/94/UE, co</w:t>
      </w:r>
      <w:r>
        <w:rPr>
          <w:rFonts w:ascii="Times New Roman" w:hAnsi="Times New Roman"/>
          <w:lang w:val="fr-BE"/>
        </w:rPr>
        <w:t>mprenant l'évaluation des cadres d'action nationaux au titre de l’article 10, paragraphe 2, de la directive 2014/94/UE.</w:t>
      </w:r>
    </w:p>
  </w:footnote>
  <w:footnote w:id="69">
    <w:p w:rsidR="00B0540B" w:rsidRDefault="009A6B73">
      <w:pPr>
        <w:pStyle w:val="FootnoteText"/>
        <w:spacing w:after="120"/>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Directive (UE) 2018/844 du Parlement européen et du Conseil du 30 mai 2018 modifiant la directive 2010/31/UE sur la performance énergé</w:t>
      </w:r>
      <w:r>
        <w:rPr>
          <w:rFonts w:ascii="Times New Roman" w:hAnsi="Times New Roman"/>
          <w:lang w:val="fr-BE"/>
        </w:rPr>
        <w:t xml:space="preserve">tique des bâtiments et la directive 2012/27/UE relative à l’efficacité énergétique (JO L 156 du 19.6.2018, p. 75).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40B" w:rsidRDefault="00B054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40B" w:rsidRDefault="00B0540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40B" w:rsidRDefault="00B0540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40B" w:rsidRDefault="00B0540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40B" w:rsidRDefault="00B0540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40B" w:rsidRDefault="00B054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34773"/>
    <w:multiLevelType w:val="hybridMultilevel"/>
    <w:tmpl w:val="873CA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D5E51"/>
    <w:multiLevelType w:val="hybridMultilevel"/>
    <w:tmpl w:val="1214F8D6"/>
    <w:lvl w:ilvl="0" w:tplc="080C0013">
      <w:start w:val="1"/>
      <w:numFmt w:val="upperRoman"/>
      <w:lvlText w:val="%1."/>
      <w:lvlJc w:val="righ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11727DF"/>
    <w:multiLevelType w:val="hybridMultilevel"/>
    <w:tmpl w:val="FFDE6E12"/>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A761F53"/>
    <w:multiLevelType w:val="hybridMultilevel"/>
    <w:tmpl w:val="1ABE6DC6"/>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F5173AE"/>
    <w:multiLevelType w:val="hybridMultilevel"/>
    <w:tmpl w:val="6A802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983585"/>
    <w:multiLevelType w:val="hybridMultilevel"/>
    <w:tmpl w:val="E9CA78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34F678D"/>
    <w:multiLevelType w:val="hybridMultilevel"/>
    <w:tmpl w:val="F7028B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4507A0B"/>
    <w:multiLevelType w:val="hybridMultilevel"/>
    <w:tmpl w:val="40C88B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55E7300"/>
    <w:multiLevelType w:val="hybridMultilevel"/>
    <w:tmpl w:val="D6062C0A"/>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4AF00B4C"/>
    <w:multiLevelType w:val="hybridMultilevel"/>
    <w:tmpl w:val="CC2AD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120384"/>
    <w:multiLevelType w:val="hybridMultilevel"/>
    <w:tmpl w:val="00DA12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E84367C"/>
    <w:multiLevelType w:val="hybridMultilevel"/>
    <w:tmpl w:val="D550EF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0CC4CDB"/>
    <w:multiLevelType w:val="hybridMultilevel"/>
    <w:tmpl w:val="6C1AB6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53F6B0B"/>
    <w:multiLevelType w:val="hybridMultilevel"/>
    <w:tmpl w:val="A518F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C92ED2"/>
    <w:multiLevelType w:val="hybridMultilevel"/>
    <w:tmpl w:val="B112A4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714B2827"/>
    <w:multiLevelType w:val="hybridMultilevel"/>
    <w:tmpl w:val="48541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3D57C36"/>
    <w:multiLevelType w:val="hybridMultilevel"/>
    <w:tmpl w:val="E980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2B4F04"/>
    <w:multiLevelType w:val="hybridMultilevel"/>
    <w:tmpl w:val="B6EE6D4A"/>
    <w:lvl w:ilvl="0" w:tplc="A428FDD6">
      <w:start w:val="2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6"/>
  </w:num>
  <w:num w:numId="4">
    <w:abstractNumId w:val="4"/>
  </w:num>
  <w:num w:numId="5">
    <w:abstractNumId w:val="13"/>
  </w:num>
  <w:num w:numId="6">
    <w:abstractNumId w:val="7"/>
  </w:num>
  <w:num w:numId="7">
    <w:abstractNumId w:val="3"/>
  </w:num>
  <w:num w:numId="8">
    <w:abstractNumId w:val="1"/>
  </w:num>
  <w:num w:numId="9">
    <w:abstractNumId w:val="2"/>
  </w:num>
  <w:num w:numId="10">
    <w:abstractNumId w:val="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2"/>
  </w:num>
  <w:num w:numId="14">
    <w:abstractNumId w:val="14"/>
  </w:num>
  <w:num w:numId="15">
    <w:abstractNumId w:val="15"/>
  </w:num>
  <w:num w:numId="16">
    <w:abstractNumId w:val="10"/>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11CFC24-EB74-46A4-9C52-56C186AC3FFB"/>
    <w:docVar w:name="LW_COVERPAGE_TYPE" w:val="1"/>
    <w:docVar w:name="LW_CROSSREFERENCE" w:val="&lt;UNUSED&gt;"/>
    <w:docVar w:name="LW_DocType" w:val="NORMAL"/>
    <w:docVar w:name="LW_EMISSION" w:val="9.4.2019"/>
    <w:docVar w:name="LW_EMISSION_ISODATE" w:val="2019-04-09"/>
    <w:docVar w:name="LW_EMISSION_LOCATION" w:val="BRX"/>
    <w:docVar w:name="LW_EMISSION_PREFIX" w:val="Bruxelles, le "/>
    <w:docVar w:name="LW_EMISSION_SUFFIX" w:val=" "/>
    <w:docVar w:name="LW_ID_DOCTYPE_NONLW" w:val="CP-035"/>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1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sur la mise en \u339?uvre du plan d'action stratégique sur les batteries: créer une chaîne de valeur stratégique des batteries en Europe&lt;/FMT&gt;"/>
    <w:docVar w:name="LW_TYPE.DOC.CP" w:val="RAPPORT DE LA COMMISSION AU PARLEMENT EUROPÉEN, AU CONSEIL, AU COMITÉ ÉCONOMIQUE ET SOCIAL EUROPÉEN, AU COMITÉ DES RÉGIONS ET À LA BANQUE EUROPÉENNE D'INVESTISSEMENT_x000b__x000b_"/>
  </w:docVars>
  <w:rsids>
    <w:rsidRoot w:val="00B0540B"/>
    <w:rsid w:val="009A6B73"/>
    <w:rsid w:val="00B05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35548421-511D-4D00-A927-58F4AFF4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Hyperlink">
    <w:name w:val="Hyperlink"/>
    <w:basedOn w:val="DefaultParagraphFont"/>
    <w:uiPriority w:val="99"/>
    <w:unhideWhenUsed/>
    <w:rPr>
      <w:color w:val="0000FF"/>
      <w:u w:val="single"/>
    </w:rPr>
  </w:style>
  <w:style w:type="paragraph" w:styleId="FootnoteText">
    <w:name w:val="footnote text"/>
    <w:aliases w:val="Schriftart: 9 pt,Schriftart: 10 pt,Schriftart: 8 pt,fn,Fußnote,Fotnotstext1,Footnote text,Footnote Text Char2,Footnote Text Char1 Char,Footnote Text Char Char Char,Footnote Text Char Char1,Footnote Text Char1 Char1,Footnote Text Char Char"/>
    <w:basedOn w:val="Normal"/>
    <w:link w:val="FootnoteTextChar"/>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fn Char,Fußnote Char,Fotnotstext1 Char,Footnote text Char,Footnote Text Char2 Char,Footnote Text Char1 Char Char,Footnote Text Char Char Char Char"/>
    <w:basedOn w:val="DefaultParagraphFont"/>
    <w:link w:val="FootnoteText"/>
    <w:qFormat/>
    <w:rPr>
      <w:sz w:val="20"/>
      <w:szCs w:val="20"/>
    </w:rPr>
  </w:style>
  <w:style w:type="character" w:styleId="FootnoteReference">
    <w:name w:val="footnote reference"/>
    <w:aliases w:val="Footnote symbol,IT Fußnotenzeichen,Footnote symboFußnotenzeichen,Footnote sign,-E Fußnotenzeichen,ESPON Footnote No,Footnote call,Footnote Reference Superscript,Footnote reference number,Times 10 Point,Exposant 3 Point,Ref,SUPERS, Cha"/>
    <w:basedOn w:val="DefaultParagraphFont"/>
    <w:uiPriority w:val="99"/>
    <w:unhideWhenUsed/>
    <w:qFormat/>
    <w:rPr>
      <w:vertAlign w:val="superscript"/>
    </w:rPr>
  </w:style>
  <w:style w:type="paragraph" w:customStyle="1" w:styleId="TextValue">
    <w:name w:val="TextValue"/>
    <w:basedOn w:val="Normal"/>
    <w:link w:val="TextValueChar"/>
    <w:pPr>
      <w:jc w:val="both"/>
    </w:pPr>
    <w:rPr>
      <w:rFonts w:ascii="Times New Roman" w:eastAsiaTheme="minorEastAsia" w:hAnsi="Times New Roman" w:cs="Times New Roman"/>
      <w:sz w:val="24"/>
      <w:szCs w:val="24"/>
      <w:lang w:eastAsia="en-GB"/>
    </w:rPr>
  </w:style>
  <w:style w:type="character" w:customStyle="1" w:styleId="TextValueChar">
    <w:name w:val="TextValue Char"/>
    <w:basedOn w:val="DefaultParagraphFont"/>
    <w:link w:val="TextValue"/>
    <w:rPr>
      <w:rFonts w:ascii="Times New Roman" w:eastAsiaTheme="minorEastAsia" w:hAnsi="Times New Roman" w:cs="Times New Roman"/>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68059">
      <w:bodyDiv w:val="1"/>
      <w:marLeft w:val="0"/>
      <w:marRight w:val="0"/>
      <w:marTop w:val="0"/>
      <w:marBottom w:val="0"/>
      <w:divBdr>
        <w:top w:val="none" w:sz="0" w:space="0" w:color="auto"/>
        <w:left w:val="none" w:sz="0" w:space="0" w:color="auto"/>
        <w:bottom w:val="none" w:sz="0" w:space="0" w:color="auto"/>
        <w:right w:val="none" w:sz="0" w:space="0" w:color="auto"/>
      </w:divBdr>
    </w:div>
    <w:div w:id="331643508">
      <w:bodyDiv w:val="1"/>
      <w:marLeft w:val="0"/>
      <w:marRight w:val="0"/>
      <w:marTop w:val="0"/>
      <w:marBottom w:val="0"/>
      <w:divBdr>
        <w:top w:val="none" w:sz="0" w:space="0" w:color="auto"/>
        <w:left w:val="none" w:sz="0" w:space="0" w:color="auto"/>
        <w:bottom w:val="none" w:sz="0" w:space="0" w:color="auto"/>
        <w:right w:val="none" w:sz="0" w:space="0" w:color="auto"/>
      </w:divBdr>
    </w:div>
    <w:div w:id="554245118">
      <w:bodyDiv w:val="1"/>
      <w:marLeft w:val="0"/>
      <w:marRight w:val="0"/>
      <w:marTop w:val="0"/>
      <w:marBottom w:val="0"/>
      <w:divBdr>
        <w:top w:val="none" w:sz="0" w:space="0" w:color="auto"/>
        <w:left w:val="none" w:sz="0" w:space="0" w:color="auto"/>
        <w:bottom w:val="none" w:sz="0" w:space="0" w:color="auto"/>
        <w:right w:val="none" w:sz="0" w:space="0" w:color="auto"/>
      </w:divBdr>
    </w:div>
    <w:div w:id="910887024">
      <w:bodyDiv w:val="1"/>
      <w:marLeft w:val="0"/>
      <w:marRight w:val="0"/>
      <w:marTop w:val="0"/>
      <w:marBottom w:val="0"/>
      <w:divBdr>
        <w:top w:val="none" w:sz="0" w:space="0" w:color="auto"/>
        <w:left w:val="none" w:sz="0" w:space="0" w:color="auto"/>
        <w:bottom w:val="none" w:sz="0" w:space="0" w:color="auto"/>
        <w:right w:val="none" w:sz="0" w:space="0" w:color="auto"/>
      </w:divBdr>
    </w:div>
    <w:div w:id="1386640125">
      <w:bodyDiv w:val="1"/>
      <w:marLeft w:val="0"/>
      <w:marRight w:val="0"/>
      <w:marTop w:val="0"/>
      <w:marBottom w:val="0"/>
      <w:divBdr>
        <w:top w:val="none" w:sz="0" w:space="0" w:color="auto"/>
        <w:left w:val="none" w:sz="0" w:space="0" w:color="auto"/>
        <w:bottom w:val="none" w:sz="0" w:space="0" w:color="auto"/>
        <w:right w:val="none" w:sz="0" w:space="0" w:color="auto"/>
      </w:divBdr>
    </w:div>
    <w:div w:id="180781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trimis.ec.europa.eu/stria-roadmaps/transport-electrification" TargetMode="External"/><Relationship Id="rId13" Type="http://schemas.openxmlformats.org/officeDocument/2006/relationships/hyperlink" Target="https://ec.europa.eu/commission/sites/beta-political/files/social-summit-european-pillar-social-rights-booklet_fr.pdf" TargetMode="External"/><Relationship Id="rId3" Type="http://schemas.openxmlformats.org/officeDocument/2006/relationships/hyperlink" Target="https://ec.europa.eu/growth/industry/policy/european-battery-alliance_fr" TargetMode="External"/><Relationship Id="rId7" Type="http://schemas.openxmlformats.org/officeDocument/2006/relationships/hyperlink" Target="https://ec.europa.eu/research/energy/index.cfm?pg=policy&amp;policyname=set" TargetMode="External"/><Relationship Id="rId12" Type="http://schemas.openxmlformats.org/officeDocument/2006/relationships/hyperlink" Target="http://ec.europa.eu/environment/eussd/smgp/pdf/PEFCR_Batteries.pdf" TargetMode="External"/><Relationship Id="rId2" Type="http://schemas.openxmlformats.org/officeDocument/2006/relationships/hyperlink" Target="https://ec.europa.eu/epsc/publications/strategic-notes/towards-low-emission-mobility_en" TargetMode="External"/><Relationship Id="rId16" Type="http://schemas.openxmlformats.org/officeDocument/2006/relationships/hyperlink" Target="https://ec.europa.eu/growth/content/support-smes-mineral-supply-chain-due-diligence-implementation-phase_fr" TargetMode="External"/><Relationship Id="rId1" Type="http://schemas.openxmlformats.org/officeDocument/2006/relationships/hyperlink" Target="https://ec.europa.eu/epsc/publications/other-publications/10-trends-reshaping-climate-and-energy_en" TargetMode="External"/><Relationship Id="rId6" Type="http://schemas.openxmlformats.org/officeDocument/2006/relationships/hyperlink" Target="https://www.irena.org/-/media/Files/IRENA/Agency/Publication/2017/Oct/IRENA_Electricity_Storage_Costs_2017.pdf" TargetMode="External"/><Relationship Id="rId11" Type="http://schemas.openxmlformats.org/officeDocument/2006/relationships/hyperlink" Target="http://europa.eu/rapid/press-release_IP-18-6125_fr.htm" TargetMode="External"/><Relationship Id="rId5" Type="http://schemas.openxmlformats.org/officeDocument/2006/relationships/hyperlink" Target="http://eur-lex.europa.eu/smartapi/cgi/sga_doc?smartapi!celexplus!prod!DocNumber&amp;lg=FR&amp;type_doc=COMfinal&amp;an_doc=2017&amp;nu_doc=0280" TargetMode="External"/><Relationship Id="rId15" Type="http://schemas.openxmlformats.org/officeDocument/2006/relationships/hyperlink" Target="http://europa.eu/rapid/press-release_IP-16-2581_fr.htm" TargetMode="External"/><Relationship Id="rId10" Type="http://schemas.openxmlformats.org/officeDocument/2006/relationships/hyperlink" Target="https://ec.europa.eu/clima/policies/innovation-fund_fr" TargetMode="External"/><Relationship Id="rId4" Type="http://schemas.openxmlformats.org/officeDocument/2006/relationships/hyperlink" Target="https://www.eesi.org/papers/view/fact-sheet-plug-in-electric-vehicles-2017" TargetMode="External"/><Relationship Id="rId9" Type="http://schemas.openxmlformats.org/officeDocument/2006/relationships/hyperlink" Target="http://s3platform.jrc.ec.europa.eu/batteries" TargetMode="External"/><Relationship Id="rId14" Type="http://schemas.openxmlformats.org/officeDocument/2006/relationships/hyperlink" Target="https://ec.europa.eu/programmes/erasmus-plus/resources/documents/erasmus-programme-guide-2019_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362718D-2726-44D8-A107-FA2E7AAB0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7703</Words>
  <Characters>43451</Characters>
  <Application>Microsoft Office Word</Application>
  <DocSecurity>0</DocSecurity>
  <Lines>629</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SEILER Brigitte (SG)</cp:lastModifiedBy>
  <cp:revision>23</cp:revision>
  <cp:lastPrinted>2019-03-28T15:57:00Z</cp:lastPrinted>
  <dcterms:created xsi:type="dcterms:W3CDTF">2019-04-08T16:41:00Z</dcterms:created>
  <dcterms:modified xsi:type="dcterms:W3CDTF">2019-04-09T07:07:00Z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