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64C00520-DB18-4759-9CBC-DC90D1F8E7E2" style="width:450.75pt;height:38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eastAsia="Times New Roman" w:hAnsi="Times New Roman" w:cs="Times New Roman"/>
          <w:b/>
          <w:noProof/>
          <w:sz w:val="24"/>
          <w:szCs w:val="24"/>
        </w:rPr>
      </w:pPr>
      <w:bookmarkStart w:id="1" w:name="_GoBack"/>
      <w:bookmarkEnd w:id="1"/>
      <w:r>
        <w:rPr>
          <w:rFonts w:ascii="Times New Roman" w:hAnsi="Times New Roman"/>
          <w:b/>
          <w:noProof/>
          <w:sz w:val="24"/>
        </w:rPr>
        <w:lastRenderedPageBreak/>
        <w:t>ПРИЛОЖЕНИЕ</w:t>
      </w:r>
    </w:p>
    <w:p>
      <w:pPr>
        <w:jc w:val="center"/>
        <w:rPr>
          <w:rFonts w:ascii="Times New Roman" w:hAnsi="Times New Roman" w:cs="Times New Roman"/>
          <w:b/>
          <w:noProof/>
          <w:sz w:val="24"/>
          <w:szCs w:val="24"/>
          <w:u w:val="single"/>
        </w:rPr>
      </w:pPr>
      <w:r>
        <w:rPr>
          <w:rFonts w:ascii="Times New Roman" w:hAnsi="Times New Roman"/>
          <w:b/>
          <w:noProof/>
          <w:sz w:val="24"/>
          <w:u w:val="single"/>
        </w:rPr>
        <w:t>Напредък по отношение на ключови действия</w:t>
      </w:r>
      <w:r>
        <w:rPr>
          <w:rStyle w:val="FootnoteReference"/>
          <w:rFonts w:ascii="Times New Roman" w:hAnsi="Times New Roman"/>
          <w:b/>
          <w:noProof/>
          <w:sz w:val="24"/>
          <w:u w:val="single"/>
        </w:rPr>
        <w:footnoteReference w:id="1"/>
      </w:r>
    </w:p>
    <w:p>
      <w:pPr>
        <w:pStyle w:val="Heading1"/>
      </w:pPr>
      <w:r>
        <w:t>ГАРАНТИРАНЕ НА ДОСТАВКИТЕ НА СУРОВИНИ</w:t>
      </w:r>
    </w:p>
    <w:tbl>
      <w:tblPr>
        <w:tblStyle w:val="TableGrid"/>
        <w:tblW w:w="0" w:type="auto"/>
        <w:tblLayout w:type="fixed"/>
        <w:tblCellMar>
          <w:top w:w="85" w:type="dxa"/>
          <w:left w:w="85" w:type="dxa"/>
          <w:bottom w:w="85" w:type="dxa"/>
          <w:right w:w="85" w:type="dxa"/>
        </w:tblCellMar>
        <w:tblLook w:val="04A0" w:firstRow="1" w:lastRow="0" w:firstColumn="1" w:lastColumn="0" w:noHBand="0" w:noVBand="1"/>
      </w:tblPr>
      <w:tblGrid>
        <w:gridCol w:w="3185"/>
        <w:gridCol w:w="6669"/>
      </w:tblGrid>
      <w:tr>
        <w:tc>
          <w:tcPr>
            <w:tcW w:w="3185" w:type="dxa"/>
          </w:tcPr>
          <w:p>
            <w:pPr>
              <w:jc w:val="both"/>
              <w:rPr>
                <w:rFonts w:ascii="Times New Roman" w:hAnsi="Times New Roman" w:cs="Times New Roman"/>
                <w:i/>
                <w:noProof/>
                <w:szCs w:val="24"/>
              </w:rPr>
            </w:pPr>
            <w:r>
              <w:rPr>
                <w:rFonts w:ascii="Times New Roman" w:hAnsi="Times New Roman"/>
                <w:i/>
                <w:noProof/>
              </w:rPr>
              <w:t>Започване на диалог с държавите членки чрез групата за доставки на суровини и ръководната група на високо равнище на европейското партньорство за иновации в областта на суровините (ЕПИ „Суровини“).</w:t>
            </w:r>
          </w:p>
        </w:tc>
        <w:tc>
          <w:tcPr>
            <w:tcW w:w="6669" w:type="dxa"/>
          </w:tcPr>
          <w:p>
            <w:pPr>
              <w:jc w:val="both"/>
              <w:rPr>
                <w:rFonts w:ascii="Times New Roman" w:hAnsi="Times New Roman" w:cs="Times New Roman"/>
                <w:noProof/>
                <w:szCs w:val="24"/>
              </w:rPr>
            </w:pPr>
            <w:r>
              <w:rPr>
                <w:rFonts w:ascii="Times New Roman" w:hAnsi="Times New Roman"/>
                <w:noProof/>
              </w:rPr>
              <w:t>Предварителен анализ е представен в работния документ на службите на Комисията „Доклад относно суровините с приложение в акумулаторните батерии“, публикуван през ноември 2018 г.</w:t>
            </w:r>
            <w:r>
              <w:rPr>
                <w:rFonts w:ascii="Times New Roman" w:hAnsi="Times New Roman"/>
                <w:noProof/>
                <w:vertAlign w:val="superscript"/>
              </w:rPr>
              <w:footnoteReference w:id="2"/>
            </w:r>
          </w:p>
          <w:p>
            <w:pPr>
              <w:jc w:val="both"/>
              <w:rPr>
                <w:rFonts w:ascii="Times New Roman" w:hAnsi="Times New Roman" w:cs="Times New Roman"/>
                <w:noProof/>
                <w:szCs w:val="24"/>
              </w:rPr>
            </w:pPr>
          </w:p>
          <w:p>
            <w:pPr>
              <w:jc w:val="both"/>
              <w:rPr>
                <w:rFonts w:ascii="Times New Roman" w:hAnsi="Times New Roman" w:cs="Times New Roman"/>
                <w:noProof/>
                <w:szCs w:val="24"/>
              </w:rPr>
            </w:pPr>
            <w:r>
              <w:rPr>
                <w:rFonts w:ascii="Times New Roman" w:hAnsi="Times New Roman"/>
                <w:noProof/>
              </w:rPr>
              <w:t>Този анализ се допълва и задълбочава в сътрудничество с експерти от държавите — членки на ЕС, в групата за доставки на суровини. Бяха направени препоръки по време на конференцията на високо равнище на европейското партньорство за иновации (ЕПИ) на 14 ноември 2018 г. и е започнало тяхното прилагане, по-специално, препоръките относно стимулите и събирането на данни, свързани с геологопроучвателните дейности.</w:t>
            </w:r>
          </w:p>
          <w:p>
            <w:pPr>
              <w:jc w:val="both"/>
              <w:rPr>
                <w:rFonts w:ascii="Times New Roman" w:hAnsi="Times New Roman" w:cs="Times New Roman"/>
                <w:noProof/>
                <w:szCs w:val="24"/>
              </w:rPr>
            </w:pPr>
          </w:p>
          <w:p>
            <w:pPr>
              <w:jc w:val="both"/>
              <w:rPr>
                <w:rFonts w:ascii="Times New Roman" w:hAnsi="Times New Roman" w:cs="Times New Roman"/>
                <w:noProof/>
                <w:szCs w:val="24"/>
              </w:rPr>
            </w:pPr>
            <w:r>
              <w:rPr>
                <w:rFonts w:ascii="Times New Roman" w:hAnsi="Times New Roman"/>
                <w:noProof/>
              </w:rPr>
              <w:t>Моделирането на настоящата и бъдещата верига на стойността за суровини за акумулаторни батерии като кобалт, литий, естествен графит и никел се осъществява от Съвместния изследователски център</w:t>
            </w:r>
            <w:r>
              <w:rPr>
                <w:rStyle w:val="FootnoteReference"/>
                <w:rFonts w:ascii="Times New Roman" w:hAnsi="Times New Roman"/>
                <w:noProof/>
              </w:rPr>
              <w:footnoteReference w:id="3"/>
            </w:r>
            <w:r>
              <w:rPr>
                <w:rFonts w:ascii="Times New Roman" w:hAnsi="Times New Roman"/>
                <w:noProof/>
              </w:rPr>
              <w:t xml:space="preserve">.  </w:t>
            </w:r>
          </w:p>
          <w:p>
            <w:pPr>
              <w:jc w:val="both"/>
              <w:rPr>
                <w:rFonts w:ascii="Times New Roman" w:hAnsi="Times New Roman" w:cs="Times New Roman"/>
                <w:noProof/>
                <w:szCs w:val="24"/>
              </w:rPr>
            </w:pPr>
          </w:p>
          <w:p>
            <w:pPr>
              <w:ind w:left="34"/>
              <w:jc w:val="both"/>
              <w:rPr>
                <w:rFonts w:ascii="Times New Roman" w:hAnsi="Times New Roman" w:cs="Times New Roman"/>
                <w:noProof/>
                <w:szCs w:val="24"/>
              </w:rPr>
            </w:pPr>
            <w:r>
              <w:rPr>
                <w:rFonts w:ascii="Times New Roman" w:hAnsi="Times New Roman"/>
                <w:noProof/>
              </w:rPr>
              <w:t xml:space="preserve">Беше започната също работата по подобряване на европейските статистически данни за промишленото производство (ПРОДКОМ) от значение за суровините за акумулаторни батерии и нови кодове за неенергийни суровини и акумулаторни батерии (първични и вторични видове акумулаторни батерии; химични съединения. части от акумулаторни батерии) бяха одобрени от работната група на държавите членки по ПРОДКОМ. </w:t>
            </w:r>
          </w:p>
          <w:p>
            <w:pPr>
              <w:ind w:left="34"/>
              <w:jc w:val="both"/>
              <w:rPr>
                <w:rFonts w:ascii="Times New Roman" w:hAnsi="Times New Roman" w:cs="Times New Roman"/>
                <w:noProof/>
                <w:szCs w:val="24"/>
              </w:rPr>
            </w:pPr>
          </w:p>
          <w:p>
            <w:pPr>
              <w:jc w:val="both"/>
              <w:rPr>
                <w:rFonts w:ascii="Times New Roman" w:hAnsi="Times New Roman" w:cs="Times New Roman"/>
                <w:noProof/>
                <w:szCs w:val="24"/>
              </w:rPr>
            </w:pPr>
            <w:r>
              <w:rPr>
                <w:rFonts w:ascii="Times New Roman" w:hAnsi="Times New Roman"/>
                <w:noProof/>
              </w:rPr>
              <w:t>Нова работна група 40 на Международната агенция по енергетика „Хибридно електрическо превозно средство“ (ХЕПС) бе създадена за „суровините от изключителна важност за електрически превозни средства“. Това е програма за технологично сътрудничество на Агенцията, която има за цел предоставяне на точна, надеждна и актуална информация относно материалите, които се считат от (потенциално) решаващо значение за бързото увеличаване на продажбите на електрически превозни средства. Суровините за акумулаторни батерии и редкоземните елементи (използвани в постоянни магнити за електрически двигатели) имат централна роля. Това трябва да бъде докладвано през 2019 г.</w:t>
            </w:r>
          </w:p>
          <w:p>
            <w:pPr>
              <w:jc w:val="both"/>
              <w:rPr>
                <w:rFonts w:ascii="Times New Roman" w:hAnsi="Times New Roman" w:cs="Times New Roman"/>
                <w:noProof/>
                <w:szCs w:val="24"/>
              </w:rPr>
            </w:pPr>
          </w:p>
          <w:p>
            <w:pPr>
              <w:jc w:val="both"/>
              <w:rPr>
                <w:rFonts w:ascii="Times New Roman" w:hAnsi="Times New Roman" w:cs="Times New Roman"/>
                <w:noProof/>
                <w:szCs w:val="24"/>
              </w:rPr>
            </w:pPr>
            <w:r>
              <w:rPr>
                <w:rFonts w:ascii="Times New Roman" w:hAnsi="Times New Roman"/>
                <w:noProof/>
              </w:rPr>
              <w:t xml:space="preserve">СИЦ участва в споразумение за сътрудничество с EGS (EuroGeoSurveys, Геоложки проучвания на Европа) и една от темите за сътрудничество е споделянето на геонаучна информация и знания в сферата на суровините, включително споделянето на данни и информация чрез информационната система за суровините. </w:t>
            </w:r>
          </w:p>
          <w:p>
            <w:pPr>
              <w:jc w:val="both"/>
              <w:rPr>
                <w:rFonts w:ascii="Times New Roman" w:hAnsi="Times New Roman" w:cs="Times New Roman"/>
                <w:noProof/>
                <w:szCs w:val="24"/>
              </w:rPr>
            </w:pPr>
            <w:r>
              <w:rPr>
                <w:rFonts w:ascii="Times New Roman" w:hAnsi="Times New Roman"/>
                <w:noProof/>
              </w:rPr>
              <w:t>EGS включва 37 национални геоложки проучвания и някои регионални проучвания в Европа, ето защо осигурява голямото представителство на държавите членки в обмена на данни относно суровините.</w:t>
            </w:r>
          </w:p>
          <w:p>
            <w:pPr>
              <w:jc w:val="both"/>
              <w:rPr>
                <w:rFonts w:ascii="Times New Roman" w:hAnsi="Times New Roman" w:cs="Times New Roman"/>
                <w:noProof/>
                <w:szCs w:val="24"/>
              </w:rPr>
            </w:pPr>
          </w:p>
          <w:p>
            <w:pPr>
              <w:jc w:val="both"/>
              <w:rPr>
                <w:rFonts w:cs="Times New Roman"/>
                <w:noProof/>
                <w:szCs w:val="24"/>
                <w:lang w:val="en-GB"/>
              </w:rPr>
            </w:pPr>
            <w:r>
              <w:rPr>
                <w:rFonts w:ascii="Times New Roman" w:hAnsi="Times New Roman"/>
                <w:noProof/>
              </w:rPr>
              <w:t>Основен резултат от първото картографиране на суровините от страна на Комисията е, че Европа не разполага със съоръжение за преработка на литий. От началото на 2019 г. насам EIT „Суровини“ финансира два проекта в тази област: „EuGeLi“ има за цел извличането на литий като страничен продукт от геотермални разсоли, които понастоящем се използват в производството на електроенергия; „LiRef“ цели да инсталира звено за преработка на литий от различни европейски източници .</w:t>
            </w:r>
          </w:p>
        </w:tc>
      </w:tr>
    </w:tbl>
    <w:p>
      <w:pPr>
        <w:rPr>
          <w:rFonts w:ascii="Times New Roman" w:hAnsi="Times New Roman" w:cs="Times New Roman"/>
          <w:b/>
          <w:noProof/>
          <w:sz w:val="24"/>
          <w:szCs w:val="24"/>
        </w:rPr>
      </w:pPr>
    </w:p>
    <w:p>
      <w:pPr>
        <w:pStyle w:val="Heading1"/>
      </w:pPr>
      <w:r>
        <w:t>ПОДКРЕПА ЗА ПРОЕКТИ, ОБХВАЩАЩИ РАЗЛИЧНИ СЕГМЕНТИ ОТ ВЕРИГАТА НА СТОЙНОСТТА В СЕКТОРА НА АКУМУЛАТОРНИТЕ БАТЕРИИ, ВКЛЮЧИТЕЛНО ПРОИЗВОДСТВОТО НА АКУМУЛАТОРНИ ЕЛЕМЕНТИ</w:t>
      </w:r>
    </w:p>
    <w:tbl>
      <w:tblPr>
        <w:tblStyle w:val="TableGrid"/>
        <w:tblW w:w="0" w:type="auto"/>
        <w:tblLayout w:type="fixed"/>
        <w:tblCellMar>
          <w:top w:w="85" w:type="dxa"/>
          <w:left w:w="85" w:type="dxa"/>
          <w:bottom w:w="85" w:type="dxa"/>
          <w:right w:w="85" w:type="dxa"/>
        </w:tblCellMar>
        <w:tblLook w:val="04A0" w:firstRow="1" w:lastRow="0" w:firstColumn="1" w:lastColumn="0" w:noHBand="0" w:noVBand="1"/>
      </w:tblPr>
      <w:tblGrid>
        <w:gridCol w:w="3579"/>
        <w:gridCol w:w="6275"/>
      </w:tblGrid>
      <w:tr>
        <w:tc>
          <w:tcPr>
            <w:tcW w:w="3579" w:type="dxa"/>
          </w:tcPr>
          <w:p>
            <w:pPr>
              <w:jc w:val="both"/>
              <w:rPr>
                <w:rFonts w:ascii="Times New Roman" w:hAnsi="Times New Roman" w:cs="Times New Roman"/>
                <w:i/>
                <w:noProof/>
                <w:szCs w:val="24"/>
              </w:rPr>
            </w:pPr>
            <w:r>
              <w:rPr>
                <w:rFonts w:ascii="Times New Roman" w:hAnsi="Times New Roman"/>
                <w:i/>
                <w:noProof/>
              </w:rPr>
              <w:t>Да продължи партньорската си работа със заинтересованите страни по цялата верига на стойността в сектора на акумулаторните батерии с цел да се насърчават и улесняват широкомащабни проекти, водещи до производството на следващото поколение батерии, и да се създаде иновативна, интегрирана, устойчива и конкурентоспособна верига на стойността в сектора на акумулаторните батерии в Европа.</w:t>
            </w:r>
          </w:p>
        </w:tc>
        <w:tc>
          <w:tcPr>
            <w:tcW w:w="6275" w:type="dxa"/>
          </w:tcPr>
          <w:p>
            <w:pPr>
              <w:spacing w:after="120"/>
              <w:jc w:val="both"/>
              <w:rPr>
                <w:rFonts w:ascii="Times New Roman" w:hAnsi="Times New Roman" w:cs="Times New Roman"/>
                <w:noProof/>
                <w:szCs w:val="24"/>
              </w:rPr>
            </w:pPr>
            <w:r>
              <w:rPr>
                <w:rFonts w:ascii="Times New Roman" w:hAnsi="Times New Roman"/>
                <w:noProof/>
              </w:rPr>
              <w:t>Редица проекти и инвестиции бяха обявени в рамките на Европейски алианс за акумулаторните батерии. Един вече започва изграждането на пилотна линия в Швеция с подкрепата на Европейската инвестиционна банка</w:t>
            </w:r>
            <w:r>
              <w:rPr>
                <w:rFonts w:ascii="Times New Roman" w:hAnsi="Times New Roman"/>
                <w:noProof/>
                <w:vertAlign w:val="superscript"/>
              </w:rPr>
              <w:footnoteReference w:id="4"/>
            </w:r>
            <w:r>
              <w:rPr>
                <w:rFonts w:ascii="Times New Roman" w:hAnsi="Times New Roman"/>
                <w:noProof/>
              </w:rPr>
              <w:t xml:space="preserve">, друг инвестира в разработването на по-евтини, по-ефективни акумулаторни батерии с твърд електролит, които могат да започнат производство до седем години, а групата за материали и рециклиране изгражда завод в Полша за производството на материали на катоди, ключови за акумулаторни батерии за електрически превозни средства, до 2020 г. Допълнителна информация относно проекти, свързани с акумулаторни батерии, можете да прочетете в съобщението за медиите: </w:t>
            </w:r>
            <w:hyperlink r:id="rId16">
              <w:r>
                <w:rPr>
                  <w:rStyle w:val="Hyperlink"/>
                  <w:rFonts w:ascii="Times New Roman" w:hAnsi="Times New Roman"/>
                  <w:noProof/>
                </w:rPr>
                <w:t>https://ec.europa.eu/growth/content/eu-battery-alliance-major-progress-establishing-battery-manufacturing-europe-only-one-year_en</w:t>
              </w:r>
            </w:hyperlink>
          </w:p>
          <w:p>
            <w:pPr>
              <w:spacing w:after="120"/>
              <w:jc w:val="both"/>
              <w:rPr>
                <w:rFonts w:ascii="Times New Roman" w:hAnsi="Times New Roman" w:cs="Times New Roman"/>
                <w:noProof/>
                <w:szCs w:val="24"/>
              </w:rPr>
            </w:pPr>
            <w:r>
              <w:rPr>
                <w:rFonts w:ascii="Times New Roman" w:hAnsi="Times New Roman"/>
                <w:noProof/>
              </w:rPr>
              <w:t>Две европейски дружества са взели значителни инвестиционни решения за инсталиране на две съоръжения за преработка на суровини във Финландия за производството на прекурсорни материали с чистота за производство на акумулаторни батерии до 2021 г.</w:t>
            </w:r>
          </w:p>
          <w:p>
            <w:pPr>
              <w:jc w:val="both"/>
              <w:rPr>
                <w:rFonts w:ascii="Times New Roman" w:hAnsi="Times New Roman" w:cs="Times New Roman"/>
                <w:noProof/>
                <w:szCs w:val="24"/>
              </w:rPr>
            </w:pPr>
            <w:r>
              <w:rPr>
                <w:rFonts w:ascii="Times New Roman" w:hAnsi="Times New Roman"/>
                <w:noProof/>
              </w:rPr>
              <w:t xml:space="preserve">На 15 октомври 2018 г. се проведе втората среща на високо равнище относно акумулаторните батерии с 13 държави членки и 18 висши представители на промишлеността. Беше отчетено, че е налице значителен напредък след стартирането на Алианса. Държавите членки и секторът се възползваха от възможността да акцентират върху планираните инвестиции. Беше изразена силна подкрепа за стратегическия план за действие на Комисията. Вж. съобщение за медиите на Европейската комисия: </w:t>
            </w:r>
            <w:hyperlink r:id="rId17">
              <w:r>
                <w:rPr>
                  <w:rFonts w:ascii="Times New Roman" w:hAnsi="Times New Roman"/>
                  <w:noProof/>
                </w:rPr>
                <w:t>http://europa.eu/rapid/press-release_IP-18-6114_en.htm</w:t>
              </w:r>
            </w:hyperlink>
            <w:r>
              <w:rPr>
                <w:rFonts w:ascii="Times New Roman" w:hAnsi="Times New Roman"/>
                <w:noProof/>
              </w:rPr>
              <w:t xml:space="preserve"> Този ангажимент ще продължи със следващата среща на високо равнище с държавите членки и сектора на 30 април 2019 г.</w:t>
            </w:r>
          </w:p>
          <w:p>
            <w:pPr>
              <w:jc w:val="both"/>
              <w:rPr>
                <w:rFonts w:cs="Times New Roman"/>
                <w:noProof/>
                <w:szCs w:val="24"/>
              </w:rPr>
            </w:pPr>
          </w:p>
          <w:p>
            <w:pPr>
              <w:jc w:val="both"/>
              <w:rPr>
                <w:rFonts w:ascii="Times New Roman" w:hAnsi="Times New Roman" w:cs="Times New Roman"/>
                <w:noProof/>
                <w:szCs w:val="24"/>
              </w:rPr>
            </w:pPr>
            <w:r>
              <w:rPr>
                <w:rFonts w:ascii="Times New Roman" w:hAnsi="Times New Roman"/>
                <w:noProof/>
              </w:rPr>
              <w:t xml:space="preserve"> InnoEnergy на EIT, която оказва съдействие на Комисията при мобилизиране на европейската промишлена екосистема за акумулаторни батерии, организира на 29 януари 2019 г. петото си заседание най-вече с цел улесняване на постигането на добро съответствие между промишлените инициативи и инвеститорите (публични/частни инвеститори). На заседанието присъстваха 220 души. Следващата стъпка е да се улеснят сделките между тези две групи от заинтересовани лица.</w:t>
            </w:r>
          </w:p>
        </w:tc>
      </w:tr>
    </w:tbl>
    <w:p>
      <w:pPr>
        <w:rPr>
          <w:rFonts w:ascii="Times New Roman" w:hAnsi="Times New Roman" w:cs="Times New Roman"/>
          <w:b/>
          <w:noProof/>
          <w:sz w:val="20"/>
          <w:szCs w:val="16"/>
        </w:rPr>
      </w:pPr>
    </w:p>
    <w:tbl>
      <w:tblPr>
        <w:tblStyle w:val="TableGrid"/>
        <w:tblW w:w="0" w:type="auto"/>
        <w:tblLayout w:type="fixed"/>
        <w:tblCellMar>
          <w:top w:w="85" w:type="dxa"/>
          <w:left w:w="85" w:type="dxa"/>
          <w:bottom w:w="85" w:type="dxa"/>
          <w:right w:w="85" w:type="dxa"/>
        </w:tblCellMar>
        <w:tblLook w:val="04A0" w:firstRow="1" w:lastRow="0" w:firstColumn="1" w:lastColumn="0" w:noHBand="0" w:noVBand="1"/>
      </w:tblPr>
      <w:tblGrid>
        <w:gridCol w:w="3629"/>
        <w:gridCol w:w="6225"/>
      </w:tblGrid>
      <w:tr>
        <w:tc>
          <w:tcPr>
            <w:tcW w:w="3629" w:type="dxa"/>
          </w:tcPr>
          <w:p>
            <w:pPr>
              <w:jc w:val="both"/>
              <w:rPr>
                <w:rFonts w:ascii="Times New Roman" w:hAnsi="Times New Roman" w:cs="Times New Roman"/>
                <w:i/>
                <w:noProof/>
                <w:szCs w:val="24"/>
              </w:rPr>
            </w:pPr>
            <w:r>
              <w:rPr>
                <w:rFonts w:ascii="Times New Roman" w:hAnsi="Times New Roman"/>
                <w:i/>
                <w:noProof/>
              </w:rPr>
              <w:t xml:space="preserve">Да се влезе в редовен диалог със съответните държави членки, за да се проучат ефикасни начини за съвместна подкрепа на иновативни проекти за производство, надскачащи пределите на съвременните достижения, като за целта ресурсите на ЕС и националните ресурси се обединят по най-добрия начин. Например, това би могло да бъде под формата на важен проект от общоевропейски интерес. </w:t>
            </w:r>
          </w:p>
        </w:tc>
        <w:tc>
          <w:tcPr>
            <w:tcW w:w="6225" w:type="dxa"/>
          </w:tcPr>
          <w:p>
            <w:pPr>
              <w:spacing w:after="120"/>
              <w:jc w:val="both"/>
              <w:rPr>
                <w:rFonts w:ascii="Times New Roman" w:hAnsi="Times New Roman" w:cs="Times New Roman"/>
                <w:noProof/>
                <w:szCs w:val="24"/>
              </w:rPr>
            </w:pPr>
            <w:r>
              <w:rPr>
                <w:rFonts w:ascii="Times New Roman" w:hAnsi="Times New Roman"/>
                <w:noProof/>
              </w:rPr>
              <w:t>Европейският алианс за акумулаторните батерии разглежда потенциала за иновационни проекти, свързани със стратегическата верига на стойността на акумулаторните батерии, включително по отношение на технологията за производство на акумулаторни елементи и свързаното първо промишлено внедряване за достъп до публично финансиране, които биха могли да бъдат съвместими с международните ангажименти на ЕС и с неговите правила за държавна помощ в рамката за важни проекти от общоевропейски интерес (ВПОИ).</w:t>
            </w:r>
            <w:r>
              <w:rPr>
                <w:rFonts w:ascii="Times New Roman" w:hAnsi="Times New Roman"/>
                <w:noProof/>
                <w:vertAlign w:val="superscript"/>
              </w:rPr>
              <w:footnoteReference w:id="5"/>
            </w:r>
            <w:r>
              <w:rPr>
                <w:rFonts w:ascii="Times New Roman" w:hAnsi="Times New Roman"/>
                <w:noProof/>
              </w:rPr>
              <w:t xml:space="preserve"> Окуражаващ е фактът, че някои държави — членки на ЕС, са започнали процедури за идентифициране на потенциални консорциуми и работят съвместно за разработване на един или повече ВПОИ в тази област.</w:t>
            </w:r>
            <w:r>
              <w:rPr>
                <w:rFonts w:ascii="Times New Roman" w:hAnsi="Times New Roman"/>
                <w:noProof/>
                <w:vertAlign w:val="superscript"/>
              </w:rPr>
              <w:footnoteReference w:id="6"/>
            </w:r>
            <w:r>
              <w:rPr>
                <w:rFonts w:ascii="Times New Roman" w:hAnsi="Times New Roman"/>
                <w:noProof/>
              </w:rPr>
              <w:t xml:space="preserve"> Те имат за цел да поискат одобрението от Комисията възможно най-скоро.</w:t>
            </w:r>
          </w:p>
          <w:p>
            <w:pPr>
              <w:jc w:val="both"/>
              <w:rPr>
                <w:rFonts w:ascii="Times New Roman" w:hAnsi="Times New Roman" w:cs="Times New Roman"/>
                <w:noProof/>
                <w:szCs w:val="24"/>
              </w:rPr>
            </w:pPr>
            <w:r>
              <w:rPr>
                <w:rFonts w:ascii="Times New Roman" w:hAnsi="Times New Roman"/>
                <w:noProof/>
              </w:rPr>
              <w:t xml:space="preserve">Стратегически форум за важни проекти от общоевропейски интерес (ВПОИ) е създаден през май 2018 г. и е определил девет ключови стратегически вериги на стойността от специално значение за промишлената конкурентоспособност и декарбонизацията. На три от тези установени вериги на стойността вече са отговорили важни инициативи на равнище ЕС, като сред тях е верига на стойността в сектора на акумулаторните батерии. </w:t>
            </w:r>
          </w:p>
          <w:p>
            <w:pPr>
              <w:jc w:val="both"/>
              <w:rPr>
                <w:rFonts w:ascii="Times New Roman" w:hAnsi="Times New Roman" w:cs="Times New Roman"/>
                <w:noProof/>
                <w:szCs w:val="24"/>
              </w:rPr>
            </w:pPr>
          </w:p>
          <w:p>
            <w:pPr>
              <w:jc w:val="both"/>
              <w:rPr>
                <w:rFonts w:ascii="Times New Roman" w:hAnsi="Times New Roman" w:cs="Times New Roman"/>
                <w:noProof/>
                <w:szCs w:val="24"/>
              </w:rPr>
            </w:pPr>
            <w:r>
              <w:rPr>
                <w:rFonts w:ascii="Times New Roman" w:hAnsi="Times New Roman"/>
                <w:noProof/>
              </w:rPr>
              <w:t>За останалите шест ключови стратегически вериги на стойността Стратегическият форум ще изготви препоръки за координирани или съвместни инвестиции и действия в няколко държави членки до юни 2019 г. Две от тези вериги на стойността са от значение за акумулаторните батерии и мобилността: свързани, чисти и автоматизирани превозни средства и водородни технологии. В рамките на инициативата за Стратегически форум Комисията улеснява сътрудничеството между държавите членки и сектора за насърчаване на широкомащабни инвестиции в иновации и внедряване в промишлеността.</w:t>
            </w:r>
          </w:p>
        </w:tc>
      </w:tr>
    </w:tbl>
    <w:p>
      <w:pPr>
        <w:rPr>
          <w:rFonts w:ascii="Times New Roman" w:hAnsi="Times New Roman" w:cs="Times New Roman"/>
          <w:b/>
          <w:noProof/>
          <w:sz w:val="20"/>
          <w:szCs w:val="16"/>
        </w:rPr>
      </w:pPr>
    </w:p>
    <w:tbl>
      <w:tblPr>
        <w:tblStyle w:val="TableGrid1"/>
        <w:tblW w:w="9889" w:type="dxa"/>
        <w:tblLayout w:type="fixed"/>
        <w:tblCellMar>
          <w:top w:w="85" w:type="dxa"/>
          <w:left w:w="85" w:type="dxa"/>
          <w:bottom w:w="85" w:type="dxa"/>
          <w:right w:w="85" w:type="dxa"/>
        </w:tblCellMar>
        <w:tblLook w:val="04A0" w:firstRow="1" w:lastRow="0" w:firstColumn="1" w:lastColumn="0" w:noHBand="0" w:noVBand="1"/>
      </w:tblPr>
      <w:tblGrid>
        <w:gridCol w:w="3629"/>
        <w:gridCol w:w="6260"/>
      </w:tblGrid>
      <w:tr>
        <w:tc>
          <w:tcPr>
            <w:tcW w:w="3629" w:type="dxa"/>
          </w:tcPr>
          <w:p>
            <w:pPr>
              <w:jc w:val="both"/>
              <w:rPr>
                <w:rFonts w:ascii="Times New Roman" w:hAnsi="Times New Roman" w:cs="Times New Roman"/>
                <w:i/>
                <w:noProof/>
                <w:szCs w:val="24"/>
              </w:rPr>
            </w:pPr>
            <w:r>
              <w:rPr>
                <w:rFonts w:ascii="Times New Roman" w:hAnsi="Times New Roman"/>
                <w:i/>
                <w:noProof/>
              </w:rPr>
              <w:t xml:space="preserve">По искане на заинтересованите региони и в сътрудничество със съответните държави членки да улеснява развитието на „междурегионално партньорство в сектора на акумулаторните батерии“ в рамките на съществуващите тематични платформи за интелигентна специализация в сферата на енергетиката или модернизирането на промишлеността. </w:t>
            </w:r>
          </w:p>
        </w:tc>
        <w:tc>
          <w:tcPr>
            <w:tcW w:w="6260" w:type="dxa"/>
          </w:tcPr>
          <w:p>
            <w:pPr>
              <w:jc w:val="both"/>
              <w:rPr>
                <w:rFonts w:ascii="Times New Roman" w:hAnsi="Times New Roman" w:cs="Times New Roman"/>
                <w:noProof/>
                <w:szCs w:val="24"/>
              </w:rPr>
            </w:pPr>
            <w:r>
              <w:rPr>
                <w:rFonts w:ascii="Times New Roman" w:hAnsi="Times New Roman"/>
                <w:noProof/>
              </w:rPr>
              <w:t>През септември 2018 г. Словения предложи да оглави ново междурегионално партньорство за „авангардни материали за акумулаторни батерии за електромобилност и стационарно акумулиране на енергия“, заедно с Кастиля и Леон, Андалусия, Страната на баските, Оверн Рона Алпи, Айндховен и Нова Аквитания.</w:t>
            </w:r>
            <w:r>
              <w:rPr>
                <w:rFonts w:ascii="Times New Roman" w:hAnsi="Times New Roman" w:cs="Times New Roman"/>
                <w:noProof/>
                <w:szCs w:val="24"/>
              </w:rPr>
              <w:br/>
            </w:r>
            <w:r>
              <w:rPr>
                <w:rFonts w:ascii="Times New Roman" w:hAnsi="Times New Roman"/>
                <w:noProof/>
              </w:rPr>
              <w:t> </w:t>
            </w:r>
          </w:p>
          <w:p>
            <w:pPr>
              <w:jc w:val="both"/>
              <w:rPr>
                <w:rFonts w:ascii="Times New Roman" w:hAnsi="Times New Roman" w:cs="Times New Roman"/>
                <w:noProof/>
                <w:szCs w:val="24"/>
              </w:rPr>
            </w:pPr>
            <w:r>
              <w:rPr>
                <w:rFonts w:ascii="Times New Roman" w:hAnsi="Times New Roman"/>
                <w:noProof/>
              </w:rPr>
              <w:t>С подкрепата на Европейската комисия това ново партньорство стартира успешно на работна среща, организирана от Комисията на 8 октомври 2018 г. На работната среща се събраха над 25 региона, заинтересовани от обединяване на силите в междурегионални партньорства за научни изследвания и иновации в областта на акумулаторните батерии в рамките на стратегиите за интелигентно специализиране на държавите членки (тематична платформа за модернизиране на промишлеността). Други заинтересовани региони в цяла Европа бяха поканени да се присъединят към инициативата. От началото на 2019 г. партньорството е нараснало до 22 европейски региона.</w:t>
            </w:r>
          </w:p>
          <w:p>
            <w:pPr>
              <w:jc w:val="both"/>
              <w:rPr>
                <w:rFonts w:ascii="Times New Roman" w:hAnsi="Times New Roman" w:cs="Times New Roman"/>
                <w:noProof/>
                <w:szCs w:val="24"/>
              </w:rPr>
            </w:pPr>
          </w:p>
          <w:p>
            <w:pPr>
              <w:jc w:val="both"/>
              <w:rPr>
                <w:rFonts w:ascii="Times New Roman" w:hAnsi="Times New Roman" w:cs="Times New Roman"/>
                <w:noProof/>
                <w:szCs w:val="24"/>
              </w:rPr>
            </w:pPr>
            <w:r>
              <w:rPr>
                <w:rFonts w:ascii="Times New Roman" w:hAnsi="Times New Roman"/>
                <w:noProof/>
              </w:rPr>
              <w:t>Мисията на това партньорство е да ускори серийното производство и внедряването на авангардни материали и акумулаторни елементи, като се използват устойчиви и конкурентоспособни технологии за мобилност и стационарни акумулаторни батерии в цяла Европа в периода до 2025 г. За тази цел то ще генерира набор от бизнес инвестиционни проекти, като разчита на съществуващите регионални активи за привличане на допълнителни активи, налични в рамките на партньорството. То ще установи и разгледа ключови липсващи елементи в регионалната екосистема и индустриалната верига на стойността за достигане до крайния потребител. Партньорството има амбицията да представлява регионалното измерение на заинтересованите страни от Европейския алианс за акумулаторните батерии. </w:t>
            </w:r>
          </w:p>
          <w:p>
            <w:pPr>
              <w:jc w:val="both"/>
              <w:rPr>
                <w:rFonts w:ascii="Times New Roman" w:hAnsi="Times New Roman" w:cs="Times New Roman"/>
                <w:noProof/>
                <w:szCs w:val="24"/>
              </w:rPr>
            </w:pPr>
          </w:p>
          <w:p>
            <w:pPr>
              <w:jc w:val="both"/>
              <w:rPr>
                <w:rFonts w:ascii="Times New Roman" w:hAnsi="Times New Roman" w:cs="Times New Roman"/>
                <w:noProof/>
                <w:szCs w:val="24"/>
              </w:rPr>
            </w:pPr>
            <w:r>
              <w:rPr>
                <w:rFonts w:ascii="Times New Roman" w:hAnsi="Times New Roman"/>
                <w:noProof/>
              </w:rPr>
              <w:t>Партньорството понастоящем осъществява подготвително проучване и набелязаните до момента общи области на интерес включват:</w:t>
            </w:r>
          </w:p>
          <w:p>
            <w:pPr>
              <w:jc w:val="both"/>
              <w:rPr>
                <w:rFonts w:ascii="Times New Roman" w:hAnsi="Times New Roman" w:cs="Times New Roman"/>
                <w:noProof/>
                <w:szCs w:val="24"/>
              </w:rPr>
            </w:pPr>
          </w:p>
          <w:p>
            <w:pPr>
              <w:pStyle w:val="ListParagraph"/>
              <w:numPr>
                <w:ilvl w:val="0"/>
                <w:numId w:val="4"/>
              </w:numPr>
              <w:spacing w:after="120"/>
              <w:ind w:left="357" w:hanging="357"/>
              <w:jc w:val="both"/>
              <w:rPr>
                <w:rFonts w:ascii="Times New Roman" w:hAnsi="Times New Roman" w:cs="Times New Roman"/>
                <w:noProof/>
                <w:szCs w:val="24"/>
              </w:rPr>
            </w:pPr>
            <w:r>
              <w:rPr>
                <w:rFonts w:ascii="Times New Roman" w:hAnsi="Times New Roman"/>
                <w:noProof/>
              </w:rPr>
              <w:t>Иновативно производство на елементи за поколение 4 (твърд електролит) - авангардни материали и производство и производство на акумулаторни елементи (водещ регион: Бавария) партньорски региони: Оверн Рона Алпи (FR)/ Н. Аквитания (FR)/ Фландрия (BE)/ Брюксел (BE)/ Страна на баските (ES)/ Валенсия (ES)/ Арагон (ES)/ Викен (NO)/ Баден-Вюртемберг (DE).</w:t>
            </w:r>
          </w:p>
          <w:p>
            <w:pPr>
              <w:pStyle w:val="Heading1"/>
              <w:numPr>
                <w:ilvl w:val="0"/>
                <w:numId w:val="4"/>
              </w:numPr>
              <w:spacing w:after="120"/>
              <w:ind w:left="357" w:hanging="357"/>
              <w:outlineLvl w:val="0"/>
              <w:rPr>
                <w:b w:val="0"/>
              </w:rPr>
            </w:pPr>
            <w:r>
              <w:rPr>
                <w:b w:val="0"/>
              </w:rPr>
              <w:t>Устойчив добив и преработка на суровини (водещ регион: Кастилия и Леон) партньорски региони: Нова Аквитания (FR), Финландия, Вестланд (NO), Валенсия (ES).</w:t>
            </w:r>
          </w:p>
          <w:p>
            <w:pPr>
              <w:pStyle w:val="ListParagraph"/>
              <w:numPr>
                <w:ilvl w:val="0"/>
                <w:numId w:val="4"/>
              </w:numPr>
              <w:spacing w:after="120"/>
              <w:ind w:left="357" w:hanging="357"/>
              <w:contextualSpacing w:val="0"/>
              <w:jc w:val="both"/>
              <w:rPr>
                <w:rFonts w:ascii="Times New Roman" w:hAnsi="Times New Roman" w:cs="Times New Roman"/>
                <w:noProof/>
                <w:szCs w:val="24"/>
              </w:rPr>
            </w:pPr>
            <w:r>
              <w:rPr>
                <w:rFonts w:ascii="Times New Roman" w:hAnsi="Times New Roman"/>
                <w:noProof/>
              </w:rPr>
              <w:t>Рециклиране на съществуващите литиево-йонни батерии (водещ регион: Бавария) партньорски региони: Фландрия (BE).</w:t>
            </w:r>
          </w:p>
          <w:p>
            <w:pPr>
              <w:pStyle w:val="ListParagraph"/>
              <w:numPr>
                <w:ilvl w:val="0"/>
                <w:numId w:val="4"/>
              </w:numPr>
              <w:spacing w:after="120"/>
              <w:ind w:left="357" w:hanging="357"/>
              <w:contextualSpacing w:val="0"/>
              <w:jc w:val="both"/>
              <w:rPr>
                <w:rFonts w:ascii="Times New Roman" w:hAnsi="Times New Roman" w:cs="Times New Roman"/>
                <w:noProof/>
                <w:szCs w:val="24"/>
              </w:rPr>
            </w:pPr>
            <w:r>
              <w:rPr>
                <w:rFonts w:ascii="Times New Roman" w:hAnsi="Times New Roman"/>
                <w:noProof/>
              </w:rPr>
              <w:t>Акумулаторни батерии, основани на течност (</w:t>
            </w:r>
            <w:r>
              <w:rPr>
                <w:rFonts w:ascii="Times New Roman" w:hAnsi="Times New Roman" w:cs="Times New Roman"/>
                <w:noProof/>
                <w:szCs w:val="24"/>
                <w:lang w:eastAsia="de-DE"/>
              </w:rPr>
              <w:t>Liquid based batteries)</w:t>
            </w:r>
            <w:r>
              <w:rPr>
                <w:rFonts w:ascii="Times New Roman" w:hAnsi="Times New Roman"/>
                <w:noProof/>
              </w:rPr>
              <w:t xml:space="preserve"> (стационарни) (водещи региони: Страна на баските/Валенсия) партньорски региони: Страна на баските (ES)/ Валенсия (ES)/ Арагон (ES)/ Словения, Финландия/ Бавария (DE).</w:t>
            </w:r>
          </w:p>
          <w:p>
            <w:pPr>
              <w:pStyle w:val="ListParagraph"/>
              <w:numPr>
                <w:ilvl w:val="0"/>
                <w:numId w:val="4"/>
              </w:numPr>
              <w:spacing w:after="120"/>
              <w:ind w:left="357" w:hanging="357"/>
              <w:contextualSpacing w:val="0"/>
              <w:jc w:val="both"/>
              <w:rPr>
                <w:rFonts w:ascii="Times New Roman" w:hAnsi="Times New Roman" w:cs="Times New Roman"/>
                <w:noProof/>
                <w:szCs w:val="24"/>
              </w:rPr>
            </w:pPr>
            <w:r>
              <w:rPr>
                <w:rFonts w:ascii="Times New Roman" w:hAnsi="Times New Roman"/>
                <w:noProof/>
              </w:rPr>
              <w:t>Мрежа от центрове за научни изследвания &amp;и изпитване (водещ регион: Словения) партньорски региони: Западна Словения (SL), Хордалан (NO), Викен (NO), Андалусия (ES).</w:t>
            </w:r>
          </w:p>
          <w:p>
            <w:pPr>
              <w:pStyle w:val="ListParagraph"/>
              <w:numPr>
                <w:ilvl w:val="0"/>
                <w:numId w:val="4"/>
              </w:numPr>
              <w:spacing w:after="120"/>
              <w:ind w:left="357" w:hanging="357"/>
              <w:contextualSpacing w:val="0"/>
              <w:jc w:val="both"/>
              <w:rPr>
                <w:rFonts w:ascii="Times New Roman" w:hAnsi="Times New Roman" w:cs="Times New Roman"/>
                <w:noProof/>
                <w:szCs w:val="24"/>
              </w:rPr>
            </w:pPr>
            <w:r>
              <w:rPr>
                <w:rFonts w:ascii="Times New Roman" w:hAnsi="Times New Roman"/>
                <w:noProof/>
              </w:rPr>
              <w:t>Подобрени литиевойонни батерии (Поколение 3б) — (водещ регион: Оверн Рона Алпи) партньорски региони: Оверн Рона Алпи (FR)/ Н. Аквитания (FR)/ Фландрия (BE)/ Брюксел (BE)/ Баден-Вюртемберг (DE).</w:t>
            </w:r>
          </w:p>
          <w:p>
            <w:pPr>
              <w:jc w:val="both"/>
              <w:rPr>
                <w:rFonts w:ascii="Times New Roman" w:hAnsi="Times New Roman" w:cs="Times New Roman"/>
                <w:noProof/>
                <w:szCs w:val="24"/>
              </w:rPr>
            </w:pPr>
          </w:p>
          <w:p>
            <w:pPr>
              <w:jc w:val="both"/>
              <w:rPr>
                <w:rFonts w:ascii="Times New Roman" w:eastAsia="Calibri" w:hAnsi="Times New Roman" w:cs="Times New Roman"/>
                <w:noProof/>
                <w:szCs w:val="24"/>
              </w:rPr>
            </w:pPr>
            <w:r>
              <w:rPr>
                <w:rFonts w:ascii="Times New Roman" w:hAnsi="Times New Roman"/>
                <w:noProof/>
              </w:rPr>
              <w:t>Целта е да се премине към конкретни съвместни иновационни инвестиции в посочените по-горе области (и евентуално допълнителни инвестиции). Партньорството е отворено за всички европейски региони, които са изразили интерес да станат членове.</w:t>
            </w:r>
          </w:p>
        </w:tc>
      </w:tr>
    </w:tbl>
    <w:p>
      <w:pPr>
        <w:rPr>
          <w:rFonts w:ascii="Times New Roman" w:hAnsi="Times New Roman" w:cs="Times New Roman"/>
          <w:b/>
          <w:noProof/>
          <w:sz w:val="24"/>
          <w:szCs w:val="24"/>
        </w:rPr>
      </w:pPr>
    </w:p>
    <w:p>
      <w:pPr>
        <w:pStyle w:val="Heading1"/>
      </w:pPr>
      <w:r>
        <w:t>НАСОЧВАНЕ НА НАУЧНИТЕ ИЗСЛЕДВАНИЯ И ИНОВАЦИИТЕ С ЦЕЛ ПОДКРЕПА НА КОНКУРЕНТОСПОСОБНА ВЕРИГА НА СТОЙНОСТТА В СЕКТОРА НА АКУМУЛАТОРНИТЕ БАТЕРИИ</w:t>
      </w:r>
    </w:p>
    <w:tbl>
      <w:tblPr>
        <w:tblStyle w:val="TableGrid2"/>
        <w:tblW w:w="0" w:type="auto"/>
        <w:tblLayout w:type="fixed"/>
        <w:tblCellMar>
          <w:top w:w="85" w:type="dxa"/>
          <w:left w:w="85" w:type="dxa"/>
          <w:bottom w:w="85" w:type="dxa"/>
          <w:right w:w="85" w:type="dxa"/>
        </w:tblCellMar>
        <w:tblLook w:val="04A0" w:firstRow="1" w:lastRow="0" w:firstColumn="1" w:lastColumn="0" w:noHBand="0" w:noVBand="1"/>
      </w:tblPr>
      <w:tblGrid>
        <w:gridCol w:w="3629"/>
        <w:gridCol w:w="6225"/>
      </w:tblGrid>
      <w:tr>
        <w:tc>
          <w:tcPr>
            <w:tcW w:w="3629" w:type="dxa"/>
          </w:tcPr>
          <w:p>
            <w:pPr>
              <w:jc w:val="both"/>
              <w:rPr>
                <w:rFonts w:ascii="Times New Roman" w:hAnsi="Times New Roman" w:cs="Times New Roman"/>
                <w:i/>
                <w:noProof/>
                <w:szCs w:val="24"/>
              </w:rPr>
            </w:pPr>
            <w:r>
              <w:rPr>
                <w:rFonts w:ascii="Times New Roman" w:hAnsi="Times New Roman"/>
                <w:i/>
                <w:noProof/>
              </w:rPr>
              <w:t>В сътрудничество с държавите членки да осигури финансови средства за научни изследвания и иновации („Хоризонт 2020“) за иновационни проекти, свързани с акумулаторните батерии, съгласно предварително определени краткосрочни и по-дългосрочни научноизследователски приоритети по цялата верига на стойността в сектора на батериите. Това следва да включва също така иновативни проекти по внедряване, включително пилотни линии за производството на акумулаторни батерии и преработката на първични/вторични суровини</w:t>
            </w:r>
          </w:p>
        </w:tc>
        <w:tc>
          <w:tcPr>
            <w:tcW w:w="6225" w:type="dxa"/>
          </w:tcPr>
          <w:p>
            <w:pPr>
              <w:rPr>
                <w:rFonts w:ascii="Times New Roman" w:hAnsi="Times New Roman" w:cs="Times New Roman"/>
                <w:noProof/>
                <w:szCs w:val="24"/>
              </w:rPr>
            </w:pPr>
            <w:r>
              <w:rPr>
                <w:rFonts w:ascii="Times New Roman" w:hAnsi="Times New Roman"/>
                <w:noProof/>
              </w:rPr>
              <w:t>Вж. по-долу за „Хоризонт 2020“ (Работна програма за 2018—2020 г.)</w:t>
            </w:r>
          </w:p>
          <w:p>
            <w:pPr>
              <w:rPr>
                <w:rFonts w:ascii="Times New Roman" w:hAnsi="Times New Roman" w:cs="Times New Roman"/>
                <w:noProof/>
                <w:szCs w:val="24"/>
              </w:rPr>
            </w:pPr>
          </w:p>
          <w:p>
            <w:pPr>
              <w:jc w:val="both"/>
              <w:rPr>
                <w:rFonts w:ascii="Times New Roman" w:hAnsi="Times New Roman" w:cs="Times New Roman"/>
                <w:noProof/>
                <w:szCs w:val="24"/>
              </w:rPr>
            </w:pPr>
            <w:r>
              <w:rPr>
                <w:rFonts w:ascii="Times New Roman" w:hAnsi="Times New Roman"/>
                <w:noProof/>
              </w:rPr>
              <w:t>От законодателния пакет, предложен от Комисията за „Хоризонт Европа“, са определени ясни възможности за акумулиране на енергия (както електромобилността, която представлява 90 % от пазара и стационарни приложения) в клъстер 4 (климат, енергетика, мобилност), така и в клъстер 3 (промишленост). Следващата стъпка ще бъде проект за стратегическо планиране, който ще бъде приет в края на годината (Работен документ на службите на Комисията).</w:t>
            </w:r>
          </w:p>
          <w:p>
            <w:pPr>
              <w:jc w:val="both"/>
              <w:rPr>
                <w:rFonts w:ascii="Times New Roman" w:hAnsi="Times New Roman" w:cs="Times New Roman"/>
                <w:noProof/>
                <w:szCs w:val="24"/>
              </w:rPr>
            </w:pPr>
          </w:p>
          <w:p>
            <w:pPr>
              <w:jc w:val="both"/>
              <w:rPr>
                <w:rFonts w:ascii="Times New Roman" w:hAnsi="Times New Roman" w:cs="Times New Roman"/>
                <w:noProof/>
                <w:szCs w:val="24"/>
              </w:rPr>
            </w:pPr>
            <w:r>
              <w:rPr>
                <w:rFonts w:ascii="Times New Roman" w:hAnsi="Times New Roman"/>
                <w:noProof/>
              </w:rPr>
              <w:t xml:space="preserve">„Суровини“ на EIT стартира специална първа по рода си програма за иновации, озаглавена „Устойчиви материали за бъдеща мобилност“. Програмата включва годишна проява за започване на дейност, търгове за насърчаване на новосъздадени предприятия, образователни семинари и финансиране за иновации и образователни проекти. </w:t>
            </w:r>
          </w:p>
          <w:p>
            <w:pPr>
              <w:jc w:val="both"/>
              <w:rPr>
                <w:rFonts w:ascii="Times New Roman" w:hAnsi="Times New Roman" w:cs="Times New Roman"/>
                <w:noProof/>
                <w:szCs w:val="24"/>
              </w:rPr>
            </w:pPr>
          </w:p>
          <w:p>
            <w:pPr>
              <w:jc w:val="both"/>
              <w:rPr>
                <w:rFonts w:ascii="Times New Roman" w:hAnsi="Times New Roman" w:cs="Times New Roman"/>
                <w:noProof/>
                <w:szCs w:val="24"/>
              </w:rPr>
            </w:pPr>
            <w:r>
              <w:rPr>
                <w:rFonts w:ascii="Times New Roman" w:hAnsi="Times New Roman"/>
                <w:noProof/>
              </w:rPr>
              <w:t>През септември 2018 г. InnoEnergy на EIT отправи специална покана за представяне на предложения относно „акумулиране на електроенергия“, която събра повече от 220 заявления. Окончателният подбор ще се проведе в Амстердам на 21 март 2019 г. (</w:t>
            </w:r>
            <w:hyperlink r:id="rId18">
              <w:r>
                <w:rPr>
                  <w:rFonts w:ascii="Times New Roman" w:hAnsi="Times New Roman"/>
                  <w:noProof/>
                </w:rPr>
                <w:t>https://eit.europa.eu/newsroom/eit-innoenergy-call-electrical-storage-start-ups</w:t>
              </w:r>
            </w:hyperlink>
            <w:r>
              <w:rPr>
                <w:rFonts w:ascii="Times New Roman" w:hAnsi="Times New Roman"/>
                <w:noProof/>
              </w:rPr>
              <w:t>).</w:t>
            </w:r>
          </w:p>
        </w:tc>
      </w:tr>
      <w:tr>
        <w:tc>
          <w:tcPr>
            <w:tcW w:w="3629" w:type="dxa"/>
          </w:tcPr>
          <w:p>
            <w:pPr>
              <w:jc w:val="both"/>
              <w:rPr>
                <w:rFonts w:ascii="Times New Roman" w:hAnsi="Times New Roman" w:cs="Times New Roman"/>
                <w:i/>
                <w:noProof/>
                <w:szCs w:val="24"/>
              </w:rPr>
            </w:pPr>
            <w:r>
              <w:rPr>
                <w:rFonts w:ascii="Times New Roman" w:hAnsi="Times New Roman"/>
                <w:i/>
                <w:noProof/>
              </w:rPr>
              <w:t xml:space="preserve">Да обяви през 2019 г. и 2020 г. покани за представяне на предложения за допълнителна сума от общо 110 милиона евро за научноизследователски и иновационни проекти в сектора на акумулаторните батерии (в допълнение към 250-те милиона евро, вече разпределени за сектора на батериите по линия на програмата „Хоризонт 2020“; още 270 милиона евро, обявени в пакета „Чиста енергия за всички европейци“, следва да бъдат разпределени за подкрепа на проекти за интелигентни мрежи и акумулиране на енергия. </w:t>
            </w:r>
          </w:p>
        </w:tc>
        <w:tc>
          <w:tcPr>
            <w:tcW w:w="6225" w:type="dxa"/>
          </w:tcPr>
          <w:p>
            <w:pPr>
              <w:jc w:val="both"/>
              <w:rPr>
                <w:rFonts w:ascii="Times New Roman" w:hAnsi="Times New Roman" w:cs="Times New Roman"/>
                <w:noProof/>
                <w:szCs w:val="24"/>
              </w:rPr>
            </w:pPr>
            <w:r>
              <w:rPr>
                <w:rFonts w:ascii="Times New Roman" w:hAnsi="Times New Roman"/>
                <w:noProof/>
              </w:rPr>
              <w:t xml:space="preserve">Нова специална обща покана за представяне на предложения „Изграждане на нисковъглеродно и устойчиво на изменението на климата бъдеще: батерии от следващо поколение” беше включена в преразгледаната работна програма „Хоризонт 2020“ за 2019 г. (приложение 20), публикувана през юли 2018 г. </w:t>
            </w:r>
          </w:p>
          <w:p>
            <w:pPr>
              <w:jc w:val="both"/>
              <w:rPr>
                <w:rFonts w:ascii="Times New Roman" w:hAnsi="Times New Roman" w:cs="Times New Roman"/>
                <w:noProof/>
                <w:szCs w:val="24"/>
              </w:rPr>
            </w:pPr>
          </w:p>
          <w:p>
            <w:pPr>
              <w:jc w:val="both"/>
              <w:rPr>
                <w:rFonts w:ascii="Times New Roman" w:hAnsi="Times New Roman" w:cs="Times New Roman"/>
                <w:noProof/>
                <w:szCs w:val="24"/>
              </w:rPr>
            </w:pPr>
            <w:r>
              <w:rPr>
                <w:rFonts w:ascii="Times New Roman" w:hAnsi="Times New Roman"/>
                <w:noProof/>
              </w:rPr>
              <w:t>През 2019 г. 7 теми с бюджет от 114 милиона евро ще бъдат публикувани. Началната дата за заявления е 24 януари 2019 г. с краен срок на 25 април 2019 г. Проектите се очаква да започнат през януари 2020 г.</w:t>
            </w:r>
          </w:p>
          <w:p>
            <w:pPr>
              <w:jc w:val="both"/>
              <w:rPr>
                <w:rFonts w:ascii="Times New Roman" w:hAnsi="Times New Roman" w:cs="Times New Roman"/>
                <w:noProof/>
                <w:szCs w:val="24"/>
              </w:rPr>
            </w:pPr>
          </w:p>
          <w:p>
            <w:pPr>
              <w:jc w:val="both"/>
              <w:rPr>
                <w:rFonts w:ascii="Times New Roman" w:hAnsi="Times New Roman" w:cs="Times New Roman"/>
                <w:noProof/>
                <w:szCs w:val="24"/>
              </w:rPr>
            </w:pPr>
            <w:r>
              <w:rPr>
                <w:rFonts w:ascii="Times New Roman" w:hAnsi="Times New Roman"/>
                <w:noProof/>
              </w:rPr>
              <w:t>Новият търг за акумулаторни батерии през 2020 г. ще се състои от две части: първо, публикувани са четири теми в областта на акумулаторните батерии за транспорта и енергетиката (90 милиона евро), второ, четири теми на обща стойност 42 милиона евро също са предвидени за подготовката на широкомащабнa и дългосрочнa научноизследователска инициатива относно бъдещите технологии за акумулаторни батерии (вж. по-долу). Работната програма за 2020 г. за обявяване на тези теми ще бъде публикувана през юни 2019 г.</w:t>
            </w:r>
          </w:p>
        </w:tc>
      </w:tr>
      <w:tr>
        <w:tc>
          <w:tcPr>
            <w:tcW w:w="3629" w:type="dxa"/>
          </w:tcPr>
          <w:p>
            <w:pPr>
              <w:jc w:val="both"/>
              <w:rPr>
                <w:rFonts w:ascii="Times New Roman" w:hAnsi="Times New Roman" w:cs="Times New Roman"/>
                <w:i/>
                <w:noProof/>
                <w:szCs w:val="24"/>
              </w:rPr>
            </w:pPr>
            <w:r>
              <w:rPr>
                <w:rFonts w:ascii="Times New Roman" w:hAnsi="Times New Roman"/>
                <w:i/>
                <w:noProof/>
              </w:rPr>
              <w:t xml:space="preserve">Да окаже подкрепа за създаването на нова европейска технологично-иновационна платформа с цел напредък по приоритетите на научните изследвания в областта на акумулаторните батерии, да определи дългосрочни визии, да изработи стратегическа програма и пътни карти за научните изследвания. Водещата роля в европейската технологично-иновационна платформа ще бъде поета от заинтересованите страни в сектора, научноизследователската общност и държавите членки, а службите на Комисията ще оказват подкрепа в процеса на създаване на платформата и съдействие в своите съответни области на отговорност. </w:t>
            </w:r>
          </w:p>
        </w:tc>
        <w:tc>
          <w:tcPr>
            <w:tcW w:w="6225" w:type="dxa"/>
          </w:tcPr>
          <w:p>
            <w:pPr>
              <w:jc w:val="both"/>
              <w:rPr>
                <w:rFonts w:ascii="Times New Roman" w:hAnsi="Times New Roman" w:cs="Times New Roman"/>
                <w:noProof/>
                <w:szCs w:val="24"/>
              </w:rPr>
            </w:pPr>
            <w:r>
              <w:rPr>
                <w:rFonts w:ascii="Times New Roman" w:hAnsi="Times New Roman"/>
                <w:noProof/>
              </w:rPr>
              <w:t xml:space="preserve">Преходът от работната група на Европейския стратегически план за енергийните технологии относно акумулаторни батерии към ЕПТИ (платформа за научни изследвания и иновации на Европейския алианс за акумулаторните батерии) беше проведен през януари 2019 г. и официално започна по време на дните на промишлеността </w:t>
            </w:r>
            <w:hyperlink r:id="rId19">
              <w:r>
                <w:rPr>
                  <w:rFonts w:ascii="Times New Roman" w:hAnsi="Times New Roman"/>
                  <w:noProof/>
                </w:rPr>
                <w:t>https://ec.europa.eu/info/news/consolidating-industrial-basis-batteries-europe-launch-european-technology-and-innovation-platform-batteries-2019-feb-05_en</w:t>
              </w:r>
            </w:hyperlink>
            <w:r>
              <w:rPr>
                <w:rFonts w:ascii="Times New Roman" w:hAnsi="Times New Roman"/>
                <w:noProof/>
              </w:rPr>
              <w:t xml:space="preserve"> . Комисията финансира секретариата на новата ЕПТИ чрез договор за предоставяне на услуги.</w:t>
            </w:r>
          </w:p>
          <w:p>
            <w:pPr>
              <w:jc w:val="both"/>
              <w:rPr>
                <w:rFonts w:ascii="Times New Roman" w:hAnsi="Times New Roman" w:cs="Times New Roman"/>
                <w:noProof/>
                <w:szCs w:val="24"/>
              </w:rPr>
            </w:pPr>
          </w:p>
          <w:p>
            <w:pPr>
              <w:jc w:val="both"/>
              <w:rPr>
                <w:rFonts w:ascii="Times New Roman" w:hAnsi="Times New Roman" w:cs="Times New Roman"/>
                <w:noProof/>
                <w:szCs w:val="24"/>
              </w:rPr>
            </w:pPr>
            <w:r>
              <w:rPr>
                <w:rFonts w:ascii="Times New Roman" w:hAnsi="Times New Roman"/>
                <w:noProof/>
              </w:rPr>
              <w:t>Новата ЕПТИ доразвива постиженията на Европейския стратегически план за енергийните технологии и има за цел обединяване на всички значими работни направления, включително направлението за акумулаторни батерии на „STRIA“ (стратегическата програма за изследвания и иновации в областта на транспорта), водеща инициатива в областта на бъдещи и нововъзникващи технологии (БНТ) за акумулаторни батерии, и междурегионално партньорство в сектора на авангардните материали за акумулаторни батерии. ЕПТИ ще разработи стратегически план за научни изследвания и технологични пътни карти. Новите участници са ангажирани по-специално с укрепване на представителството на заинтересованите страни от промишлеността. Прякото участие на други заинтересовани страни ще бъде последвано от открита покана за изразяване на интерес. Държавите членки и регионалните представители ще бъдат поканени да се включат в националната група на заинтересованите страни на ЕПТИ за гарантиране на по-добра координация на националните и регионалните научноизследователски и иновационни инициативи. Понастоящем временните лидери за техническите работни групи на ЕПТИ са идентифицирани и включват няколко експерти от предишната работна група на Европейския стратегически план за енергийните технологии, което ще способства за гарантиране на приемственост. Планирано е голямо събитие за поставяне на начало за юни 2019 г., когато членството на ЕПТИ ще бъде постигнато.</w:t>
            </w:r>
          </w:p>
        </w:tc>
      </w:tr>
    </w:tbl>
    <w:p>
      <w:pPr>
        <w:rPr>
          <w:rFonts w:ascii="Times New Roman" w:eastAsia="Calibri" w:hAnsi="Times New Roman" w:cs="Times New Roman"/>
          <w:b/>
          <w:noProof/>
          <w:sz w:val="20"/>
          <w:szCs w:val="16"/>
        </w:rPr>
      </w:pPr>
    </w:p>
    <w:tbl>
      <w:tblPr>
        <w:tblStyle w:val="TableGrid2"/>
        <w:tblW w:w="0" w:type="auto"/>
        <w:tblLayout w:type="fixed"/>
        <w:tblCellMar>
          <w:top w:w="85" w:type="dxa"/>
          <w:left w:w="85" w:type="dxa"/>
          <w:bottom w:w="85" w:type="dxa"/>
          <w:right w:w="85" w:type="dxa"/>
        </w:tblCellMar>
        <w:tblLook w:val="04A0" w:firstRow="1" w:lastRow="0" w:firstColumn="1" w:lastColumn="0" w:noHBand="0" w:noVBand="1"/>
      </w:tblPr>
      <w:tblGrid>
        <w:gridCol w:w="3629"/>
        <w:gridCol w:w="6225"/>
      </w:tblGrid>
      <w:tr>
        <w:tc>
          <w:tcPr>
            <w:tcW w:w="3629" w:type="dxa"/>
          </w:tcPr>
          <w:p>
            <w:pPr>
              <w:rPr>
                <w:rFonts w:ascii="Times New Roman" w:hAnsi="Times New Roman" w:cs="Times New Roman"/>
                <w:i/>
                <w:noProof/>
                <w:szCs w:val="24"/>
              </w:rPr>
            </w:pPr>
            <w:r>
              <w:rPr>
                <w:rFonts w:ascii="Times New Roman" w:hAnsi="Times New Roman"/>
                <w:i/>
                <w:noProof/>
              </w:rPr>
              <w:t>Да подготви предприемането на широкомащабна водеща научноизследователска инициатива в сферата на бъдещите и нововъзникващите технологии, чрез която би могло да се окаже подкрепа за дългосрочни научни изследвания в областта на авангардните технологии в сектора на акумулаторните батерии в периода след 2025 г. Обикновено тези водещи инициативи в сферата на бъдещите и нововъзникващите технологии продължават 10 години и разполагат с обща подкрепа от около 1 милиард евро, които се съфинансират от бюджета на ЕС</w:t>
            </w:r>
          </w:p>
          <w:p>
            <w:pPr>
              <w:jc w:val="both"/>
              <w:rPr>
                <w:rFonts w:ascii="Times New Roman" w:hAnsi="Times New Roman" w:cs="Times New Roman"/>
                <w:i/>
                <w:noProof/>
                <w:szCs w:val="24"/>
              </w:rPr>
            </w:pPr>
          </w:p>
        </w:tc>
        <w:tc>
          <w:tcPr>
            <w:tcW w:w="6225" w:type="dxa"/>
          </w:tcPr>
          <w:p>
            <w:pPr>
              <w:jc w:val="both"/>
              <w:rPr>
                <w:rFonts w:ascii="Times New Roman" w:hAnsi="Times New Roman" w:cs="Times New Roman"/>
                <w:noProof/>
                <w:szCs w:val="24"/>
              </w:rPr>
            </w:pPr>
            <w:r>
              <w:rPr>
                <w:rFonts w:ascii="Times New Roman" w:hAnsi="Times New Roman"/>
                <w:noProof/>
              </w:rPr>
              <w:t>Първият етап от подготовката е приключил с публикуването през декември 2018 г. на „Манифест за акумулаторната батерия 2030 +”, който очертава визията, обосновката, целите и приоритетите на тази широкомащабна и дългосрочна научноизследователска инициатива относно бъдещите технологии за акумулаторни батерии. „Манифест за акумулаторната батерия 2030 г.” е публикуван на уебсайта</w:t>
            </w:r>
            <w:hyperlink r:id="rId20">
              <w:r>
                <w:rPr>
                  <w:rFonts w:ascii="Times New Roman" w:hAnsi="Times New Roman"/>
                  <w:noProof/>
                </w:rPr>
                <w:t>http://battery2030.eu/</w:t>
              </w:r>
            </w:hyperlink>
            <w:r>
              <w:rPr>
                <w:rFonts w:ascii="Times New Roman" w:hAnsi="Times New Roman"/>
                <w:noProof/>
              </w:rPr>
              <w:t>). Това е резултат от редица семинари и срещи, проведени през 2018 г. с участието на академични и промишлени научни заинтересовани страни.</w:t>
            </w:r>
          </w:p>
          <w:p>
            <w:pPr>
              <w:jc w:val="both"/>
              <w:rPr>
                <w:rFonts w:ascii="Times New Roman" w:hAnsi="Times New Roman" w:cs="Times New Roman"/>
                <w:noProof/>
                <w:szCs w:val="24"/>
              </w:rPr>
            </w:pPr>
          </w:p>
          <w:p>
            <w:pPr>
              <w:jc w:val="both"/>
              <w:rPr>
                <w:rFonts w:ascii="Times New Roman" w:hAnsi="Times New Roman" w:cs="Times New Roman"/>
                <w:noProof/>
                <w:szCs w:val="24"/>
              </w:rPr>
            </w:pPr>
            <w:r>
              <w:rPr>
                <w:rFonts w:ascii="Times New Roman" w:hAnsi="Times New Roman"/>
                <w:noProof/>
              </w:rPr>
              <w:t>Покана за представяне на предложение за координационна и спомагателна дейност (КСД) беше публикувана през юли 2018 г. в рамките на работна програма „Бъдещи и нововъзникващи технологии“ (БНТ) за 2019 г. (0,5 милиона евро). Тази едногодишна дейност започна през март 2019 г. и ще изготви подробна пътна карта за научни изследвания за инициативата „Акумулаторна батерия 2030 г.“ и допълнително ще мобилизира академичната и промишлената изследователска общност. Предвидено е финансиране съгласно работна програма за 2020 г. „Хоризонт 2020“ за започване на инициативата и предоставяне на подкрепа за приоритетите за научните изследвания и иновации, набелязани в „Манифест за акумулаторната батерия 2030 +”. Предложен е бюджет в размер на 42 милиона евро като част от актуализирана междусекторна покана за представяне на предложения за 2020 г. относно „Батерии от следващо поколение“. Допълнителна финансова подкрепа от ЕНП-NET е също в процес на обсъждане (5 милиона евро). Допълнителната подкрепа ще се счита за част от дискусията относно „Хоризонт Европа“.</w:t>
            </w:r>
          </w:p>
        </w:tc>
      </w:tr>
      <w:tr>
        <w:tc>
          <w:tcPr>
            <w:tcW w:w="3629" w:type="dxa"/>
          </w:tcPr>
          <w:p>
            <w:pPr>
              <w:jc w:val="both"/>
              <w:rPr>
                <w:rFonts w:ascii="Times New Roman" w:hAnsi="Times New Roman" w:cs="Times New Roman"/>
                <w:i/>
                <w:noProof/>
                <w:szCs w:val="24"/>
              </w:rPr>
            </w:pPr>
            <w:r>
              <w:rPr>
                <w:rFonts w:ascii="Times New Roman" w:hAnsi="Times New Roman"/>
                <w:i/>
                <w:noProof/>
              </w:rPr>
              <w:t>Да подкрепя авангардните иновации, създаващи пазари, в области като тази на акумулаторните батерии, чрез пилотния проект на Европейския съвет за иновации. За периода 2018 — 2020 г. е осигурен бюджет от 2,7 милиарда евро в подкрепа за 1000 потенциални авангардни проекта и 3000 договора за възлагане на поръчки за осъществимост. Тази пилотна схема може да бъде от полза за авангардните технологии в сектора на акумулаторните батерии (които се очаква да бъдат част от проекти за приложения в транспорта, енергийната система, производството и др.)</w:t>
            </w:r>
          </w:p>
        </w:tc>
        <w:tc>
          <w:tcPr>
            <w:tcW w:w="6225" w:type="dxa"/>
          </w:tcPr>
          <w:p>
            <w:pPr>
              <w:jc w:val="both"/>
              <w:rPr>
                <w:rFonts w:ascii="Times New Roman" w:hAnsi="Times New Roman" w:cs="Times New Roman"/>
                <w:noProof/>
                <w:szCs w:val="24"/>
              </w:rPr>
            </w:pPr>
            <w:r>
              <w:rPr>
                <w:rFonts w:ascii="Times New Roman" w:hAnsi="Times New Roman"/>
                <w:noProof/>
              </w:rPr>
              <w:t>Като част от Пилотен проект на Европейския съвет по иновациите наградата „Хоризонт” на стойност 10 милиона евро на тема „Иновативни акумулаторни батерии за електромобили“ е публикувана с краен срок декември 2020 г.</w:t>
            </w:r>
          </w:p>
        </w:tc>
      </w:tr>
    </w:tbl>
    <w:p>
      <w:pPr>
        <w:rPr>
          <w:rFonts w:ascii="Times New Roman" w:eastAsia="Calibri" w:hAnsi="Times New Roman" w:cs="Times New Roman"/>
          <w:b/>
          <w:noProof/>
          <w:sz w:val="20"/>
          <w:szCs w:val="16"/>
        </w:rPr>
      </w:pPr>
    </w:p>
    <w:tbl>
      <w:tblPr>
        <w:tblStyle w:val="TableGrid3"/>
        <w:tblW w:w="9889" w:type="dxa"/>
        <w:tblLayout w:type="fixed"/>
        <w:tblCellMar>
          <w:top w:w="85" w:type="dxa"/>
          <w:left w:w="85" w:type="dxa"/>
          <w:bottom w:w="85" w:type="dxa"/>
          <w:right w:w="85" w:type="dxa"/>
        </w:tblCellMar>
        <w:tblLook w:val="04A0" w:firstRow="1" w:lastRow="0" w:firstColumn="1" w:lastColumn="0" w:noHBand="0" w:noVBand="1"/>
      </w:tblPr>
      <w:tblGrid>
        <w:gridCol w:w="3629"/>
        <w:gridCol w:w="6260"/>
      </w:tblGrid>
      <w:tr>
        <w:trPr>
          <w:cantSplit/>
        </w:trPr>
        <w:tc>
          <w:tcPr>
            <w:tcW w:w="3629" w:type="dxa"/>
          </w:tcPr>
          <w:p>
            <w:pPr>
              <w:jc w:val="both"/>
              <w:rPr>
                <w:rFonts w:ascii="Times New Roman" w:hAnsi="Times New Roman" w:cs="Times New Roman"/>
                <w:i/>
                <w:noProof/>
                <w:szCs w:val="24"/>
              </w:rPr>
            </w:pPr>
            <w:r>
              <w:rPr>
                <w:rFonts w:ascii="Times New Roman" w:hAnsi="Times New Roman"/>
                <w:i/>
                <w:noProof/>
              </w:rPr>
              <w:t xml:space="preserve">Да надгражда върху опита със съвместните технологични инициативи и на Европейския институт за технологии/общностите на знание и иновации, за да се проучи осъществимостта и пригодността на различните форми на публично-частни партньорства, включително за разработването на акумулаторни батерии. </w:t>
            </w:r>
          </w:p>
        </w:tc>
        <w:tc>
          <w:tcPr>
            <w:tcW w:w="6260" w:type="dxa"/>
          </w:tcPr>
          <w:p>
            <w:pPr>
              <w:jc w:val="both"/>
              <w:rPr>
                <w:rFonts w:ascii="Times New Roman" w:hAnsi="Times New Roman" w:cs="Times New Roman"/>
                <w:noProof/>
                <w:szCs w:val="24"/>
              </w:rPr>
            </w:pPr>
            <w:r>
              <w:rPr>
                <w:rFonts w:ascii="Times New Roman" w:hAnsi="Times New Roman"/>
                <w:noProof/>
              </w:rPr>
              <w:t>Понастоящем предложението за съвместно програмирано партньорство за научни изследвания в сектора на акумулаторните батерии по линия на „Хоризонт Европа“ е в процес на обсъждане на равнище ЕС. Планирана е специална информационна сесия относно съдружия и европейски научни изследвания и иновации в областта на акумулаторните батерии в рамките на дните на научните изследвания и иновации на 24—26 септември 2019 г. в Брюксел.</w:t>
            </w:r>
          </w:p>
        </w:tc>
      </w:tr>
    </w:tbl>
    <w:p>
      <w:pPr>
        <w:rPr>
          <w:rFonts w:ascii="Times New Roman" w:eastAsia="Calibri" w:hAnsi="Times New Roman" w:cs="Times New Roman"/>
          <w:b/>
          <w:noProof/>
          <w:sz w:val="20"/>
          <w:szCs w:val="16"/>
        </w:rPr>
      </w:pPr>
    </w:p>
    <w:p>
      <w:pPr>
        <w:pStyle w:val="Heading1"/>
      </w:pPr>
      <w:r>
        <w:t>РАЗВИВАНЕ И УКРЕПВАНЕ НА ВИСОКОКВАЛИФИЦИРАНА РАБОТНА СИЛА ПО ВСИЧКИ ЗВЕНА ОТ ВЕРИГАТА НА СТОЙНОСТТА</w:t>
      </w:r>
    </w:p>
    <w:tbl>
      <w:tblPr>
        <w:tblStyle w:val="TableGrid4"/>
        <w:tblW w:w="0" w:type="auto"/>
        <w:tblLayout w:type="fixed"/>
        <w:tblCellMar>
          <w:top w:w="85" w:type="dxa"/>
          <w:left w:w="85" w:type="dxa"/>
          <w:bottom w:w="85" w:type="dxa"/>
          <w:right w:w="85" w:type="dxa"/>
        </w:tblCellMar>
        <w:tblLook w:val="04A0" w:firstRow="1" w:lastRow="0" w:firstColumn="1" w:lastColumn="0" w:noHBand="0" w:noVBand="1"/>
      </w:tblPr>
      <w:tblGrid>
        <w:gridCol w:w="3629"/>
        <w:gridCol w:w="6225"/>
      </w:tblGrid>
      <w:tr>
        <w:tc>
          <w:tcPr>
            <w:tcW w:w="3629" w:type="dxa"/>
          </w:tcPr>
          <w:p>
            <w:pPr>
              <w:jc w:val="both"/>
              <w:rPr>
                <w:rFonts w:ascii="Times New Roman" w:hAnsi="Times New Roman" w:cs="Times New Roman"/>
                <w:i/>
                <w:noProof/>
                <w:szCs w:val="24"/>
              </w:rPr>
            </w:pPr>
            <w:r>
              <w:rPr>
                <w:rFonts w:ascii="Times New Roman" w:hAnsi="Times New Roman"/>
                <w:i/>
                <w:noProof/>
              </w:rPr>
              <w:t>Да отвори достъпа до лабораториите на ЕС за изпитване на акумулаторни батерии, помещаващи се в Съвместния изследователски център на Комисията, с цел изграждане на умения и капацитет. Други научноизследователски центрове ще бъдат насърчавани да последват примера</w:t>
            </w:r>
          </w:p>
        </w:tc>
        <w:tc>
          <w:tcPr>
            <w:tcW w:w="6225" w:type="dxa"/>
          </w:tcPr>
          <w:p>
            <w:pPr>
              <w:jc w:val="both"/>
              <w:rPr>
                <w:rFonts w:ascii="Times New Roman" w:hAnsi="Times New Roman" w:cs="Times New Roman"/>
                <w:noProof/>
                <w:szCs w:val="24"/>
              </w:rPr>
            </w:pPr>
            <w:r>
              <w:rPr>
                <w:rFonts w:ascii="Times New Roman" w:hAnsi="Times New Roman"/>
                <w:noProof/>
              </w:rPr>
              <w:t xml:space="preserve">Беше отправена поканата за представяне на предложение за свободен достъп до научноизследователска инфраструктура на акумулаторната батерия на СИЦ в Петен (Нидерландия) - </w:t>
            </w:r>
            <w:hyperlink r:id="rId21">
              <w:r>
                <w:rPr>
                  <w:rFonts w:ascii="Times New Roman" w:hAnsi="Times New Roman"/>
                  <w:noProof/>
                </w:rPr>
                <w:t>https://ec.europa.eu/jrc/en/research-facility/open-access/calls/relevance/2018-1-RD-BESTEST</w:t>
              </w:r>
            </w:hyperlink>
            <w:r>
              <w:rPr>
                <w:rFonts w:ascii="Times New Roman" w:hAnsi="Times New Roman"/>
                <w:noProof/>
              </w:rPr>
              <w:t>. Крайният срок на първата покана за представяне на предложение е 29 март 2019 г. и ще последва съобщаване на оценката на предложенията.</w:t>
            </w:r>
          </w:p>
        </w:tc>
      </w:tr>
    </w:tbl>
    <w:p>
      <w:pPr>
        <w:rPr>
          <w:rFonts w:ascii="Times New Roman" w:eastAsia="Calibri" w:hAnsi="Times New Roman" w:cs="Times New Roman"/>
          <w:b/>
          <w:noProof/>
          <w:sz w:val="20"/>
          <w:szCs w:val="16"/>
        </w:rPr>
      </w:pPr>
    </w:p>
    <w:tbl>
      <w:tblPr>
        <w:tblStyle w:val="TableGrid4"/>
        <w:tblW w:w="0" w:type="auto"/>
        <w:tblLayout w:type="fixed"/>
        <w:tblCellMar>
          <w:top w:w="85" w:type="dxa"/>
          <w:left w:w="85" w:type="dxa"/>
          <w:bottom w:w="85" w:type="dxa"/>
          <w:right w:w="85" w:type="dxa"/>
        </w:tblCellMar>
        <w:tblLook w:val="04A0" w:firstRow="1" w:lastRow="0" w:firstColumn="1" w:lastColumn="0" w:noHBand="0" w:noVBand="1"/>
      </w:tblPr>
      <w:tblGrid>
        <w:gridCol w:w="3629"/>
        <w:gridCol w:w="6225"/>
      </w:tblGrid>
      <w:tr>
        <w:tc>
          <w:tcPr>
            <w:tcW w:w="3629" w:type="dxa"/>
          </w:tcPr>
          <w:p>
            <w:pPr>
              <w:jc w:val="both"/>
              <w:rPr>
                <w:rFonts w:ascii="Times New Roman" w:hAnsi="Times New Roman" w:cs="Times New Roman"/>
                <w:i/>
                <w:noProof/>
                <w:szCs w:val="24"/>
              </w:rPr>
            </w:pPr>
            <w:r>
              <w:rPr>
                <w:rFonts w:ascii="Times New Roman" w:hAnsi="Times New Roman"/>
                <w:i/>
                <w:noProof/>
              </w:rPr>
              <w:t xml:space="preserve">Да предложи акумулаторните батерии като ключова тема за финансиране в рамките на Подробния план за действие за секторно сътрудничество във връзка с уменията с цел да се търсят решения за краткосрочните и средносрочните нужди от умения по цялата верига на стойността в сектора на акумулаторните батерии. </w:t>
            </w:r>
          </w:p>
        </w:tc>
        <w:tc>
          <w:tcPr>
            <w:tcW w:w="6225" w:type="dxa"/>
          </w:tcPr>
          <w:p>
            <w:pPr>
              <w:jc w:val="both"/>
              <w:rPr>
                <w:rFonts w:ascii="Times New Roman" w:hAnsi="Times New Roman" w:cs="Times New Roman"/>
                <w:noProof/>
                <w:szCs w:val="24"/>
              </w:rPr>
            </w:pPr>
            <w:r>
              <w:rPr>
                <w:rFonts w:ascii="Times New Roman" w:hAnsi="Times New Roman"/>
                <w:noProof/>
              </w:rPr>
              <w:t>След постигнатото съгласие, че акумулаторните батерии ще бъдат включени в третата вълна на изпълнението на подробния план по линия на Еразъм + поканата беше публикувана на 24</w:t>
            </w:r>
            <w:r>
              <w:rPr>
                <w:rFonts w:ascii="Times New Roman" w:hAnsi="Times New Roman"/>
                <w:noProof/>
                <w:vertAlign w:val="superscript"/>
              </w:rPr>
              <w:t xml:space="preserve"> </w:t>
            </w:r>
            <w:r>
              <w:rPr>
                <w:rFonts w:ascii="Times New Roman" w:hAnsi="Times New Roman"/>
                <w:noProof/>
              </w:rPr>
              <w:t>октомври 2018 г. с краен срок 28 февруари 2019 г. Оценка на получените предложения е в ход и успешният проект се очаква да бъде избран през лятото на 2019 г., като 4-годишният проект трябва да започне до края на 2019 г. Този проект също така ще работи в тясно сътрудничество със съществуващия проект за подробен план относно автомобилните умения „DRIVES“ и започналия неотдавна проект „COSME“ по установяването на най-добри практики в подкрепа на МСП в автомобилната промишленост и техните потребности от повишаване на уменията.</w:t>
            </w:r>
          </w:p>
          <w:p>
            <w:pPr>
              <w:rPr>
                <w:rFonts w:ascii="Times New Roman" w:eastAsia="Calibri" w:hAnsi="Times New Roman" w:cs="Times New Roman"/>
                <w:noProof/>
                <w:szCs w:val="24"/>
              </w:rPr>
            </w:pPr>
          </w:p>
          <w:p>
            <w:pPr>
              <w:jc w:val="both"/>
              <w:rPr>
                <w:rFonts w:ascii="Times New Roman" w:eastAsia="Calibri" w:hAnsi="Times New Roman" w:cs="Times New Roman"/>
                <w:noProof/>
                <w:szCs w:val="24"/>
              </w:rPr>
            </w:pPr>
            <w:r>
              <w:rPr>
                <w:rFonts w:ascii="Times New Roman" w:hAnsi="Times New Roman"/>
                <w:noProof/>
              </w:rPr>
              <w:t xml:space="preserve"> InnoEnergy на EIT организира на 5 ноември 2018 г. семинар на тема „Създаване на работна сила в сектора на акумулаторните батерии“: </w:t>
            </w:r>
            <w:hyperlink r:id="rId22">
              <w:r>
                <w:rPr>
                  <w:rFonts w:ascii="Times New Roman" w:hAnsi="Times New Roman"/>
                  <w:noProof/>
                </w:rPr>
                <w:t>http://www.innoenergy.com/event/eba-skills-brokerage-event/</w:t>
              </w:r>
            </w:hyperlink>
            <w:r>
              <w:rPr>
                <w:rFonts w:ascii="Times New Roman" w:hAnsi="Times New Roman"/>
                <w:noProof/>
              </w:rPr>
              <w:t>. Квалификациите в тази област вече са ясен приоритет за InnoEnergy, извършено е картографиране на нуждите по веригата на стойността и са разработени програми за обучение.</w:t>
            </w:r>
          </w:p>
        </w:tc>
      </w:tr>
    </w:tbl>
    <w:p>
      <w:pPr>
        <w:rPr>
          <w:noProof/>
        </w:rPr>
      </w:pPr>
    </w:p>
    <w:p>
      <w:pPr>
        <w:pStyle w:val="Heading1"/>
      </w:pPr>
      <w:r>
        <w:t>ПРЕВРЪЩАНЕ НА ЕВРОПА В СВЕТОВЕН ЛИДЕР В БЕЗОПАСНИТЕ И УСТОЙЧИВИТЕ ТЕХНОЛОГИИ ЗА ПРОИЗВОДСТВО НА АКУМУЛАТОРНИ БАТЕРИИ И ОПРЕДЕЛЯНЕ НА ПЪТЯ ЗА УСТОЙЧИВИ АКУМУЛАТОРНИ БАТЕРИИ В КРЪГОВАТА ИКОНОМИКА</w:t>
      </w:r>
    </w:p>
    <w:tbl>
      <w:tblPr>
        <w:tblStyle w:val="TableGrid5"/>
        <w:tblW w:w="9854" w:type="dxa"/>
        <w:tblLayout w:type="fixed"/>
        <w:tblCellMar>
          <w:top w:w="85" w:type="dxa"/>
          <w:left w:w="85" w:type="dxa"/>
          <w:bottom w:w="85" w:type="dxa"/>
          <w:right w:w="85" w:type="dxa"/>
        </w:tblCellMar>
        <w:tblLook w:val="04A0" w:firstRow="1" w:lastRow="0" w:firstColumn="1" w:lastColumn="0" w:noHBand="0" w:noVBand="1"/>
      </w:tblPr>
      <w:tblGrid>
        <w:gridCol w:w="3629"/>
        <w:gridCol w:w="6225"/>
      </w:tblGrid>
      <w:tr>
        <w:tc>
          <w:tcPr>
            <w:tcW w:w="3629" w:type="dxa"/>
          </w:tcPr>
          <w:p>
            <w:pPr>
              <w:jc w:val="both"/>
              <w:rPr>
                <w:rFonts w:ascii="Times New Roman" w:hAnsi="Times New Roman" w:cs="Times New Roman"/>
                <w:i/>
                <w:noProof/>
                <w:szCs w:val="24"/>
              </w:rPr>
            </w:pPr>
            <w:r>
              <w:rPr>
                <w:rFonts w:ascii="Times New Roman" w:hAnsi="Times New Roman"/>
                <w:i/>
                <w:noProof/>
              </w:rPr>
              <w:t xml:space="preserve">Да предприеме проучване относно основните решаващи фактори за производството на безопасни и устойчиво развивани („зелени“) акумулаторни батерии. </w:t>
            </w:r>
          </w:p>
        </w:tc>
        <w:tc>
          <w:tcPr>
            <w:tcW w:w="6225" w:type="dxa"/>
          </w:tcPr>
          <w:p>
            <w:pPr>
              <w:jc w:val="both"/>
              <w:rPr>
                <w:rFonts w:ascii="Times New Roman" w:eastAsia="Calibri" w:hAnsi="Times New Roman" w:cs="Times New Roman"/>
                <w:noProof/>
                <w:szCs w:val="24"/>
              </w:rPr>
            </w:pPr>
            <w:r>
              <w:rPr>
                <w:rFonts w:ascii="Times New Roman" w:hAnsi="Times New Roman"/>
                <w:noProof/>
              </w:rPr>
              <w:t>Комисията започна подготвително проучване и проучване за оценка на въздействието през септември 2018 г. с продължителност от 10 месеца.</w:t>
            </w:r>
          </w:p>
        </w:tc>
      </w:tr>
      <w:tr>
        <w:tc>
          <w:tcPr>
            <w:tcW w:w="3629" w:type="dxa"/>
          </w:tcPr>
          <w:p>
            <w:pPr>
              <w:jc w:val="both"/>
              <w:rPr>
                <w:rFonts w:ascii="Times New Roman" w:hAnsi="Times New Roman" w:cs="Times New Roman"/>
                <w:i/>
                <w:noProof/>
                <w:szCs w:val="24"/>
              </w:rPr>
            </w:pPr>
            <w:r>
              <w:rPr>
                <w:rFonts w:ascii="Times New Roman" w:hAnsi="Times New Roman"/>
                <w:i/>
                <w:noProof/>
              </w:rPr>
              <w:t>Да предложи изисквания за устойчивост „при проектиране и употреба“ на акумулаторните батерии, така че всички батерии, пуснати на пазара в ЕС, да отговарят на тях (това включва оценка и пригодност на различните регулаторни инструменти като Директивата относно екопроектирането, Регламента относно енергийното етикетиране и Директивата на ЕС относно батериите).</w:t>
            </w:r>
          </w:p>
        </w:tc>
        <w:tc>
          <w:tcPr>
            <w:tcW w:w="6225" w:type="dxa"/>
          </w:tcPr>
          <w:p>
            <w:pPr>
              <w:jc w:val="both"/>
              <w:rPr>
                <w:rFonts w:ascii="Times New Roman" w:eastAsia="Calibri" w:hAnsi="Times New Roman" w:cs="Times New Roman"/>
                <w:noProof/>
                <w:szCs w:val="24"/>
              </w:rPr>
            </w:pPr>
            <w:r>
              <w:rPr>
                <w:rFonts w:ascii="Times New Roman" w:hAnsi="Times New Roman"/>
                <w:noProof/>
              </w:rPr>
              <w:t>Предварителното проучване на Комисията е в ход и неговите заключения ще послужат като основа за разработване на европейски хармонизирани и други стандарти за подпомагане на изпълнението на нова законодателна рамка. Ще бъде направено искане за стандартизация до европейските организации за стандартизация, след като Комисията определи обхвата на своето законодателно предложение.</w:t>
            </w:r>
          </w:p>
          <w:p>
            <w:pPr>
              <w:rPr>
                <w:rFonts w:ascii="Times New Roman" w:eastAsia="Calibri" w:hAnsi="Times New Roman" w:cs="Times New Roman"/>
                <w:noProof/>
                <w:szCs w:val="24"/>
              </w:rPr>
            </w:pPr>
          </w:p>
          <w:p>
            <w:pPr>
              <w:jc w:val="both"/>
              <w:rPr>
                <w:rFonts w:ascii="Times New Roman" w:eastAsia="Calibri" w:hAnsi="Times New Roman" w:cs="Times New Roman"/>
                <w:noProof/>
                <w:szCs w:val="24"/>
              </w:rPr>
            </w:pPr>
            <w:r>
              <w:rPr>
                <w:rFonts w:ascii="Times New Roman" w:hAnsi="Times New Roman"/>
                <w:noProof/>
              </w:rPr>
              <w:t>Тo ще вземе също предвид техническия доклад на Съвместния изследователски център на Комисията от октомври 2018 г., в който са описани съществуващите стандарти и разработваните стандарти, свързани с ефективността, влошаването на състоянието и срока на експлоатация на акумулаторните батерии на електрически моторни превозни средства . В него се посочват също така методи за измерване и изпитване, които могат да се използват в оценката на съответствието на акумулаторните батерии за електромобили, за да се отговори на потенциалните изисквания. Освен това, се установяват пропуски и нужди, които не са обхванати от съществуващите стандарти. Стандарти както на европейско, така и на международно равнище бяха анализирани с цел оценка на приложимостта на законодателството на ЕС, включително специфични изисквания за тази продуктова група.</w:t>
            </w:r>
          </w:p>
          <w:p>
            <w:pPr>
              <w:jc w:val="both"/>
              <w:rPr>
                <w:rFonts w:ascii="Times New Roman" w:eastAsia="Calibri" w:hAnsi="Times New Roman" w:cs="Times New Roman"/>
                <w:noProof/>
                <w:szCs w:val="24"/>
              </w:rPr>
            </w:pPr>
          </w:p>
          <w:p>
            <w:pPr>
              <w:jc w:val="both"/>
              <w:rPr>
                <w:rFonts w:ascii="Times New Roman" w:eastAsia="Calibri" w:hAnsi="Times New Roman" w:cs="Times New Roman"/>
                <w:noProof/>
                <w:szCs w:val="24"/>
              </w:rPr>
            </w:pPr>
            <w:r>
              <w:rPr>
                <w:rFonts w:ascii="Times New Roman" w:hAnsi="Times New Roman"/>
                <w:noProof/>
              </w:rPr>
              <w:t>Проект „CERA”, финансиран от „Суровини“ на EIT, разработва схеми за сертифициране на суровини, като се използват три гледни точки: Стандарти за готовност, стандарти за ефективност, и стандарти за система за надзор. Системата ще даде възможност за сертифициране на пълната верига за възстановяване на минералните ресурси.</w:t>
            </w:r>
          </w:p>
        </w:tc>
      </w:tr>
      <w:tr>
        <w:tc>
          <w:tcPr>
            <w:tcW w:w="3629" w:type="dxa"/>
          </w:tcPr>
          <w:p>
            <w:pPr>
              <w:jc w:val="both"/>
              <w:rPr>
                <w:rFonts w:ascii="Times New Roman" w:hAnsi="Times New Roman" w:cs="Times New Roman"/>
                <w:i/>
                <w:noProof/>
                <w:szCs w:val="24"/>
              </w:rPr>
            </w:pPr>
            <w:r>
              <w:rPr>
                <w:rFonts w:ascii="Times New Roman" w:hAnsi="Times New Roman"/>
                <w:i/>
                <w:noProof/>
              </w:rPr>
              <w:t>Да благоприятства взаимодействието със заинтересованите страни и европейските организации по стандартизация, за да се разработят европейски стандарти с цел позволяване на безопасно и устойчиво производство, използване (вкл. повторно) и рециклиране на акумулаторните батерии, наред с другото чрез използването на преднормативни изследвания.</w:t>
            </w:r>
          </w:p>
        </w:tc>
        <w:tc>
          <w:tcPr>
            <w:tcW w:w="6225" w:type="dxa"/>
          </w:tcPr>
          <w:p>
            <w:pPr>
              <w:jc w:val="both"/>
              <w:rPr>
                <w:rFonts w:ascii="Times New Roman" w:eastAsia="Calibri" w:hAnsi="Times New Roman" w:cs="Times New Roman"/>
                <w:noProof/>
                <w:szCs w:val="24"/>
              </w:rPr>
            </w:pPr>
            <w:r>
              <w:rPr>
                <w:rFonts w:ascii="Times New Roman" w:hAnsi="Times New Roman"/>
                <w:noProof/>
              </w:rPr>
              <w:t>През юли 2018 г. Комисията и Европейският комитет за стандартизация/Европейският комитет за стандартизация в електротехниката постигнаха съгласие за нуждата от разработване на подходящи стандарти в подкрепа на целите на Стратегическия план за действие в сектора на акумулаторните батерии за създаване на стабилна конкурентоспособна и устойчива верига на стойността на акумулаторните батерии в Европа. Като част от този процес беше договорено, че Съвместният изследователски център (СИЦ) и Европейският комитет за стандартизация/Европейският комитет за стандартизация в електротехниката следва да извършат проверка на вече наличните стандарти (на равнище ЕС или на международно равнище). СИЦ публикува своето проучване на 15 октомври 2018 г., а Форумът за управление на енергията в сектора при Европейския комитет за стандартизация/Европейския комитет за стандартизация в електротехниката се очаква да представи пълния си доклад в най-скоро време. Това беше последвано от работна среща с Европейския комитет за стандартизация/Европейския комитет за стандартизация в електротехниката, СИЦ и InnoEnergy на EIT в областта на стандартизацията.</w:t>
            </w:r>
          </w:p>
          <w:p>
            <w:pPr>
              <w:jc w:val="both"/>
              <w:rPr>
                <w:rFonts w:ascii="Times New Roman" w:eastAsia="Calibri" w:hAnsi="Times New Roman" w:cs="Times New Roman"/>
                <w:noProof/>
                <w:szCs w:val="24"/>
              </w:rPr>
            </w:pPr>
          </w:p>
          <w:p>
            <w:pPr>
              <w:jc w:val="both"/>
              <w:rPr>
                <w:rFonts w:ascii="Times New Roman" w:eastAsia="Calibri" w:hAnsi="Times New Roman" w:cs="Times New Roman"/>
                <w:noProof/>
                <w:szCs w:val="24"/>
              </w:rPr>
            </w:pPr>
            <w:r>
              <w:rPr>
                <w:rFonts w:ascii="Times New Roman" w:hAnsi="Times New Roman"/>
                <w:noProof/>
              </w:rPr>
              <w:t>Следващата стъпка от решаващо значение ще бъде предложения от проучването на Комисията относно нуждите от стандартизация за акумулаторни батерии. Това ще бъде основата за изготвяне на искане за стандартизация до Европейския комитет за стандартизация/Европейския комитет за стандартизация в електротехниката за всички нови установени изисквания за стандарти.</w:t>
            </w:r>
          </w:p>
          <w:p>
            <w:pPr>
              <w:jc w:val="both"/>
              <w:rPr>
                <w:rFonts w:ascii="Times New Roman" w:eastAsia="Calibri" w:hAnsi="Times New Roman" w:cs="Times New Roman"/>
                <w:noProof/>
                <w:szCs w:val="24"/>
              </w:rPr>
            </w:pPr>
          </w:p>
          <w:p>
            <w:pPr>
              <w:pStyle w:val="CommentText"/>
              <w:jc w:val="both"/>
              <w:rPr>
                <w:rFonts w:ascii="Times New Roman" w:eastAsia="Calibri" w:hAnsi="Times New Roman" w:cs="Times New Roman"/>
                <w:noProof/>
                <w:sz w:val="22"/>
                <w:szCs w:val="24"/>
              </w:rPr>
            </w:pPr>
            <w:r>
              <w:rPr>
                <w:rFonts w:ascii="Times New Roman" w:hAnsi="Times New Roman"/>
                <w:noProof/>
                <w:sz w:val="22"/>
              </w:rPr>
              <w:t>Групата за координация за електронна мобилност на Европейския комитет за стандартизация/Европейския комитет за стандартизация в електротехниката създаде работна група относно „Прилагане на науката за електромобилността в стандарти“. Тази група има за цел да определи „кой какво и  кога прави” за отстраняване на пропуските в областта на стандартизацията на акумулаторните батерии и в изследвания в преднормативната фаза. Тя обхваща 4 области — ефективност на акумулаторните батерии, безопасност, повторно използване и рециклиране.</w:t>
            </w:r>
          </w:p>
          <w:p>
            <w:pPr>
              <w:pStyle w:val="CommentText"/>
              <w:jc w:val="both"/>
              <w:rPr>
                <w:rFonts w:ascii="Times New Roman" w:eastAsia="Calibri" w:hAnsi="Times New Roman" w:cs="Times New Roman"/>
                <w:noProof/>
                <w:sz w:val="22"/>
                <w:szCs w:val="24"/>
              </w:rPr>
            </w:pPr>
          </w:p>
          <w:p>
            <w:pPr>
              <w:jc w:val="both"/>
              <w:rPr>
                <w:rFonts w:ascii="Times New Roman" w:eastAsia="Calibri" w:hAnsi="Times New Roman" w:cs="Times New Roman"/>
                <w:noProof/>
                <w:szCs w:val="24"/>
              </w:rPr>
            </w:pPr>
            <w:r>
              <w:rPr>
                <w:rFonts w:ascii="Times New Roman" w:hAnsi="Times New Roman"/>
                <w:noProof/>
              </w:rPr>
              <w:t>Освен това, Комисията поиска от европейските организации по стандартизация да разработят европейски стандарти за ефективно по отношение на материалите рециклиране на отпадъците от батерии и електронните отпадъци, с цел увеличаване на висококачественото рециклиране на суровини от изключителна важност. Това е съвместна дейност с плана за действие за кръгова икономика.</w:t>
            </w:r>
          </w:p>
        </w:tc>
      </w:tr>
      <w:tr>
        <w:tc>
          <w:tcPr>
            <w:tcW w:w="3629" w:type="dxa"/>
          </w:tcPr>
          <w:p>
            <w:pPr>
              <w:jc w:val="both"/>
              <w:rPr>
                <w:rFonts w:ascii="Times New Roman" w:hAnsi="Times New Roman" w:cs="Times New Roman"/>
                <w:i/>
                <w:noProof/>
                <w:szCs w:val="24"/>
              </w:rPr>
            </w:pPr>
            <w:r>
              <w:rPr>
                <w:rFonts w:ascii="Times New Roman" w:hAnsi="Times New Roman"/>
                <w:i/>
                <w:noProof/>
              </w:rPr>
              <w:t xml:space="preserve">Да анализира по какъв начин е най-добре да се насърчи повторната употреба на авангардни акумулаторни батерии и използването на батерии с възможност за двупосочен обмен на енергия с мрежата. </w:t>
            </w:r>
          </w:p>
        </w:tc>
        <w:tc>
          <w:tcPr>
            <w:tcW w:w="6225" w:type="dxa"/>
          </w:tcPr>
          <w:p>
            <w:pPr>
              <w:jc w:val="both"/>
              <w:rPr>
                <w:rFonts w:ascii="Times New Roman" w:eastAsia="Calibri" w:hAnsi="Times New Roman" w:cs="Times New Roman"/>
                <w:noProof/>
                <w:szCs w:val="24"/>
              </w:rPr>
            </w:pPr>
            <w:r>
              <w:rPr>
                <w:rFonts w:ascii="Times New Roman" w:hAnsi="Times New Roman"/>
                <w:noProof/>
              </w:rPr>
              <w:t>Част от оценката на Директивата относно батериите и евентуалните последващи проучвания. Комисията ще публикува своя доклад за оценка през април 2019 г.</w:t>
            </w:r>
          </w:p>
          <w:p>
            <w:pPr>
              <w:rPr>
                <w:rFonts w:ascii="Times New Roman" w:eastAsia="Calibri" w:hAnsi="Times New Roman" w:cs="Times New Roman"/>
                <w:noProof/>
                <w:szCs w:val="24"/>
              </w:rPr>
            </w:pPr>
          </w:p>
          <w:p>
            <w:pPr>
              <w:jc w:val="both"/>
              <w:rPr>
                <w:rFonts w:ascii="Times New Roman" w:eastAsia="Calibri" w:hAnsi="Times New Roman" w:cs="Times New Roman"/>
                <w:noProof/>
                <w:szCs w:val="24"/>
              </w:rPr>
            </w:pPr>
            <w:r>
              <w:rPr>
                <w:rFonts w:ascii="Times New Roman" w:hAnsi="Times New Roman"/>
                <w:noProof/>
              </w:rPr>
              <w:t>Съвместният изследователски център (СИЦ) е завършил проект за оценка на устойчивостта на повторната употреба на автомобилни акумулатори. Резултатите от това проучване бяха разпространени до съответните служби на Комисията по време на работна среща на 5</w:t>
            </w:r>
            <w:r>
              <w:rPr>
                <w:rFonts w:ascii="Times New Roman" w:hAnsi="Times New Roman"/>
                <w:noProof/>
                <w:vertAlign w:val="superscript"/>
              </w:rPr>
              <w:t xml:space="preserve"> </w:t>
            </w:r>
            <w:r>
              <w:rPr>
                <w:rFonts w:ascii="Times New Roman" w:hAnsi="Times New Roman"/>
                <w:noProof/>
              </w:rPr>
              <w:t>юни 2018 г. за разглеждането от тях на потенциалните последици за политиката.</w:t>
            </w:r>
          </w:p>
          <w:p>
            <w:pPr>
              <w:jc w:val="both"/>
              <w:rPr>
                <w:rFonts w:ascii="Times New Roman" w:eastAsia="Calibri" w:hAnsi="Times New Roman" w:cs="Times New Roman"/>
                <w:noProof/>
                <w:szCs w:val="24"/>
              </w:rPr>
            </w:pPr>
          </w:p>
          <w:p>
            <w:pPr>
              <w:jc w:val="both"/>
              <w:rPr>
                <w:rFonts w:ascii="Times New Roman" w:hAnsi="Times New Roman" w:cs="Times New Roman"/>
                <w:noProof/>
                <w:szCs w:val="24"/>
              </w:rPr>
            </w:pPr>
            <w:r>
              <w:rPr>
                <w:rFonts w:ascii="Times New Roman" w:hAnsi="Times New Roman"/>
                <w:noProof/>
              </w:rPr>
              <w:t>Чрез модела „Сделки за иновации“, съвместна декларация „От електроомобилност до рециклиране: благоприятният кръг на електрическото превозно средство“ беше подписана през март 2018 г. между Комисията и консорциуми (представлявани от национални органи и частни дружества) с цел установяване на регулаторни пречки, които могат да възпрепятстват повторната употреба на акумулаторните батерии. Ще бъдат разгледани регулаторните рамки за отпадъците и енергията на равнище ЕС и на национално равнище.</w:t>
            </w:r>
          </w:p>
        </w:tc>
      </w:tr>
    </w:tbl>
    <w:p>
      <w:pPr>
        <w:rPr>
          <w:rFonts w:ascii="Times New Roman" w:hAnsi="Times New Roman" w:cs="Times New Roman"/>
          <w:b/>
          <w:noProof/>
          <w:sz w:val="20"/>
          <w:szCs w:val="16"/>
        </w:rPr>
      </w:pPr>
    </w:p>
    <w:tbl>
      <w:tblPr>
        <w:tblStyle w:val="TableGrid5"/>
        <w:tblW w:w="9854" w:type="dxa"/>
        <w:tblLayout w:type="fixed"/>
        <w:tblCellMar>
          <w:top w:w="85" w:type="dxa"/>
          <w:left w:w="85" w:type="dxa"/>
          <w:bottom w:w="85" w:type="dxa"/>
          <w:right w:w="85" w:type="dxa"/>
        </w:tblCellMar>
        <w:tblLook w:val="04A0" w:firstRow="1" w:lastRow="0" w:firstColumn="1" w:lastColumn="0" w:noHBand="0" w:noVBand="1"/>
      </w:tblPr>
      <w:tblGrid>
        <w:gridCol w:w="3629"/>
        <w:gridCol w:w="6225"/>
      </w:tblGrid>
      <w:tr>
        <w:tc>
          <w:tcPr>
            <w:tcW w:w="3629" w:type="dxa"/>
          </w:tcPr>
          <w:p>
            <w:pPr>
              <w:jc w:val="both"/>
              <w:rPr>
                <w:rFonts w:ascii="Times New Roman" w:hAnsi="Times New Roman" w:cs="Times New Roman"/>
                <w:i/>
                <w:noProof/>
                <w:sz w:val="24"/>
                <w:szCs w:val="24"/>
              </w:rPr>
            </w:pPr>
            <w:r>
              <w:rPr>
                <w:rFonts w:ascii="Times New Roman" w:hAnsi="Times New Roman"/>
                <w:i/>
                <w:noProof/>
                <w:sz w:val="24"/>
              </w:rPr>
              <w:t>Да оцени текущите цели за събиране и рециклиране на акумулаторните батерии в края на тяхната експлоатация в контекста на прегледа на Директивата на ЕС относно батериите, в т.ч. оползотворяването на материалите.</w:t>
            </w:r>
          </w:p>
        </w:tc>
        <w:tc>
          <w:tcPr>
            <w:tcW w:w="6225" w:type="dxa"/>
          </w:tcPr>
          <w:p>
            <w:pPr>
              <w:jc w:val="both"/>
              <w:rPr>
                <w:rFonts w:ascii="Times New Roman" w:eastAsia="Calibri" w:hAnsi="Times New Roman" w:cs="Times New Roman"/>
                <w:noProof/>
                <w:sz w:val="24"/>
                <w:szCs w:val="24"/>
              </w:rPr>
            </w:pPr>
            <w:r>
              <w:rPr>
                <w:rFonts w:ascii="Times New Roman" w:hAnsi="Times New Roman"/>
                <w:noProof/>
                <w:sz w:val="24"/>
              </w:rPr>
              <w:t xml:space="preserve">Доклад за изпълнението на Директивата относно батериите, нейното въздействие върху околната среда и вътрешния пазар ще бъде приет от Комисията през април 2019 г. Резултатите от оценката на Комисията на директивата ще бъдат приложени към настоящия доклад.  Оценката на текущите цели по отношение на събирането и рециклирането, техните предимства и ограничения е съществена част от доклада за оценка. </w:t>
            </w:r>
          </w:p>
          <w:p>
            <w:pPr>
              <w:rPr>
                <w:rFonts w:ascii="Times New Roman" w:eastAsia="Calibri" w:hAnsi="Times New Roman" w:cs="Times New Roman"/>
                <w:noProof/>
                <w:sz w:val="24"/>
                <w:szCs w:val="24"/>
              </w:rPr>
            </w:pPr>
          </w:p>
          <w:p>
            <w:pPr>
              <w:jc w:val="both"/>
              <w:rPr>
                <w:rFonts w:ascii="Times New Roman" w:eastAsia="Calibri" w:hAnsi="Times New Roman" w:cs="Times New Roman"/>
                <w:noProof/>
                <w:sz w:val="24"/>
                <w:szCs w:val="24"/>
              </w:rPr>
            </w:pPr>
            <w:r>
              <w:rPr>
                <w:rFonts w:ascii="Times New Roman" w:hAnsi="Times New Roman"/>
                <w:noProof/>
                <w:sz w:val="24"/>
              </w:rPr>
              <w:t>Извършва се проучване за идентифициране и оценка на осъществимостта на мерките за засилване на въздействието на Директивата относно батериите (което следва да бъде завършено през първото тримесечие на 2020 г.).</w:t>
            </w:r>
          </w:p>
        </w:tc>
      </w:tr>
      <w:tr>
        <w:tc>
          <w:tcPr>
            <w:tcW w:w="3629" w:type="dxa"/>
          </w:tcPr>
          <w:p>
            <w:pPr>
              <w:jc w:val="both"/>
              <w:rPr>
                <w:rFonts w:ascii="Times New Roman" w:hAnsi="Times New Roman" w:cs="Times New Roman"/>
                <w:i/>
                <w:noProof/>
                <w:sz w:val="24"/>
                <w:szCs w:val="24"/>
              </w:rPr>
            </w:pPr>
            <w:r>
              <w:rPr>
                <w:rFonts w:ascii="Times New Roman" w:hAnsi="Times New Roman"/>
                <w:i/>
                <w:noProof/>
                <w:sz w:val="24"/>
              </w:rPr>
              <w:t>Да установи възможността за разработване на стандартизирана схема на ЕС за оценка на жизнения цикъл на акумулаторните батерии в тясно сътрудничество с промишлеността, най-вече като се вземат под внимание резултатите от пилотния проект „Продуктов отпечатък върху околната среда“.</w:t>
            </w:r>
          </w:p>
        </w:tc>
        <w:tc>
          <w:tcPr>
            <w:tcW w:w="6225" w:type="dxa"/>
          </w:tcPr>
          <w:p>
            <w:pPr>
              <w:jc w:val="both"/>
              <w:rPr>
                <w:rFonts w:ascii="Times New Roman" w:eastAsia="Calibri" w:hAnsi="Times New Roman" w:cs="Times New Roman"/>
                <w:noProof/>
                <w:sz w:val="24"/>
                <w:szCs w:val="24"/>
              </w:rPr>
            </w:pPr>
            <w:r>
              <w:rPr>
                <w:rFonts w:ascii="Times New Roman" w:hAnsi="Times New Roman"/>
                <w:noProof/>
                <w:sz w:val="24"/>
              </w:rPr>
              <w:t>Част от оценката на Директивата относно батериите и евентуалните последващи проучвания. Комисията ще публикува своя доклад за оценка през април 2019 г.</w:t>
            </w:r>
          </w:p>
          <w:p>
            <w:pPr>
              <w:rPr>
                <w:rFonts w:ascii="Times New Roman" w:eastAsia="Calibri" w:hAnsi="Times New Roman" w:cs="Times New Roman"/>
                <w:noProof/>
                <w:sz w:val="24"/>
                <w:szCs w:val="24"/>
              </w:rPr>
            </w:pPr>
          </w:p>
          <w:p>
            <w:pPr>
              <w:jc w:val="both"/>
              <w:rPr>
                <w:rFonts w:ascii="Times New Roman" w:eastAsia="Calibri" w:hAnsi="Times New Roman" w:cs="Times New Roman"/>
                <w:noProof/>
                <w:sz w:val="24"/>
                <w:szCs w:val="24"/>
              </w:rPr>
            </w:pPr>
            <w:r>
              <w:rPr>
                <w:rFonts w:ascii="Times New Roman" w:hAnsi="Times New Roman"/>
                <w:noProof/>
                <w:sz w:val="24"/>
              </w:rPr>
              <w:t>Проект „SUPRIM“, финансиран от „Суровини“ на EIT, има за цел да осигури метод (и) за оценка на въздействието през жизнения цикъл с акцент върху подобряването на наборите от данни за материални запаси по време на жизнения цикъл за производството на метал и схемите за събиране на данни от миннодобивни дружества. Проектът приключва през 2019 г.</w:t>
            </w:r>
          </w:p>
        </w:tc>
      </w:tr>
      <w:tr>
        <w:tc>
          <w:tcPr>
            <w:tcW w:w="3629" w:type="dxa"/>
            <w:shd w:val="clear" w:color="auto" w:fill="auto"/>
          </w:tcPr>
          <w:p>
            <w:pPr>
              <w:jc w:val="both"/>
              <w:rPr>
                <w:rFonts w:ascii="Times New Roman" w:eastAsia="Calibri" w:hAnsi="Times New Roman" w:cs="Times New Roman"/>
                <w:i/>
                <w:noProof/>
                <w:sz w:val="24"/>
                <w:szCs w:val="24"/>
              </w:rPr>
            </w:pPr>
            <w:r>
              <w:rPr>
                <w:rFonts w:ascii="Times New Roman" w:hAnsi="Times New Roman"/>
                <w:i/>
                <w:noProof/>
                <w:sz w:val="24"/>
              </w:rPr>
              <w:t>Да насърчава етичното набавяне на суровини за сектора на акумулаторните батерии.</w:t>
            </w:r>
          </w:p>
        </w:tc>
        <w:tc>
          <w:tcPr>
            <w:tcW w:w="6225" w:type="dxa"/>
            <w:shd w:val="clear" w:color="auto" w:fill="auto"/>
          </w:tcPr>
          <w:p>
            <w:pPr>
              <w:jc w:val="both"/>
              <w:rPr>
                <w:rFonts w:ascii="Times New Roman" w:eastAsia="Calibri" w:hAnsi="Times New Roman" w:cs="Times New Roman"/>
                <w:noProof/>
                <w:sz w:val="24"/>
                <w:szCs w:val="24"/>
              </w:rPr>
            </w:pPr>
            <w:r>
              <w:rPr>
                <w:rFonts w:ascii="Times New Roman" w:hAnsi="Times New Roman"/>
                <w:noProof/>
                <w:sz w:val="24"/>
              </w:rPr>
              <w:t>Комисията ще 1) направи преглед на практиките за устойчив добив в Европа и ще оцени възможностите за развитие на общ набор от принципи; 2) ще насърчи ангажиментите за устойчиво снабдяване, поети от европейските производители на акумулаторни батерии и 3) ще предостави информация относно устойчивото и отговорното снабдяване като елементи на Плана за действие за устойчиво финансиране; 4 ) ще предостави политически препоръки и мрежа чрез поканата за представяне на предложение „Хоризонт 2020” относно „Отговорно снабдяване със суровини в световните вериги на стойността“ (начало преди края на 2019 г.) и 5) ще осигури система за изграждане на капацитет за устойчивост във веригите за доставки за МСП чрез Системата за подкрепа на МСП при надлежната проверка за полезните изкопаеми от зони на конфликт (в началото на 2020 г.).</w:t>
            </w:r>
          </w:p>
        </w:tc>
      </w:tr>
    </w:tbl>
    <w:p>
      <w:pPr>
        <w:rPr>
          <w:rFonts w:ascii="Times New Roman" w:hAnsi="Times New Roman" w:cs="Times New Roman"/>
          <w:b/>
          <w:noProof/>
          <w:sz w:val="20"/>
          <w:szCs w:val="16"/>
        </w:rPr>
      </w:pPr>
    </w:p>
    <w:sectPr>
      <w:headerReference w:type="even" r:id="rId23"/>
      <w:headerReference w:type="default" r:id="rId24"/>
      <w:footerReference w:type="even" r:id="rId25"/>
      <w:footerReference w:type="default" r:id="rId26"/>
      <w:headerReference w:type="first" r:id="rId27"/>
      <w:footerReference w:type="first" r:id="rId28"/>
      <w:pgSz w:w="11906" w:h="16838" w:code="9"/>
      <w:pgMar w:top="1021" w:right="1021" w:bottom="851" w:left="102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774668343"/>
      <w:docPartObj>
        <w:docPartGallery w:val="Page Numbers (Bottom of Page)"/>
        <w:docPartUnique/>
      </w:docPartObj>
    </w:sdtPr>
    <w:sdtEndPr>
      <w:rPr>
        <w:noProof/>
      </w:rPr>
    </w:sdtEndPr>
    <w:sdtContent>
      <w:p>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noProof/>
            <w:sz w:val="20"/>
            <w:szCs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lang w:val="ru-RU"/>
        </w:rPr>
      </w:pPr>
      <w:r>
        <w:rPr>
          <w:rStyle w:val="FootnoteReference"/>
          <w:rFonts w:ascii="Times New Roman" w:hAnsi="Times New Roman"/>
        </w:rPr>
        <w:footnoteRef/>
      </w:r>
      <w:r>
        <w:rPr>
          <w:rFonts w:ascii="Times New Roman" w:hAnsi="Times New Roman"/>
        </w:rPr>
        <w:t xml:space="preserve"> Настоящото приложение предоставя актуална информация относно тези ключови действия в стратегическия план за действие, при които е постигнат значителен напредък.</w:t>
      </w:r>
    </w:p>
  </w:footnote>
  <w:footnote w:id="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SWD(2018) 245/2 final</w:t>
      </w:r>
    </w:p>
  </w:footnote>
  <w:footnote w:id="3">
    <w:p>
      <w:pPr>
        <w:pStyle w:val="FootnoteText"/>
      </w:pPr>
      <w:r>
        <w:rPr>
          <w:rStyle w:val="FootnoteReference"/>
          <w:rFonts w:ascii="Times New Roman" w:hAnsi="Times New Roman"/>
        </w:rPr>
        <w:footnoteRef/>
      </w:r>
      <w:r>
        <w:rPr>
          <w:rFonts w:ascii="Times New Roman" w:hAnsi="Times New Roman"/>
        </w:rPr>
        <w:t xml:space="preserve"> Alves Dias P., et., al., Cobalt: demand - supply balances in the transition to electric mobility, („Кобалт: баланс на търсенето и предлагането в прехода към електромобилност“), EUR 29381 EN, Служба за публикации на Европейския съюз, Люксембург, 2018 г.</w:t>
      </w:r>
    </w:p>
  </w:footnote>
  <w:footnote w:id="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Northvolt ETT - широкомащабен завод за акумулаторни батерии, съобщение за медиите на ЕИБ, 19/09/2018</w:t>
      </w:r>
    </w:p>
  </w:footnote>
  <w:footnote w:id="5">
    <w:p>
      <w:pPr>
        <w:pStyle w:val="FootnoteText"/>
        <w:jc w:val="both"/>
        <w:rPr>
          <w:rFonts w:ascii="Times New Roman" w:hAnsi="Times New Roman" w:cs="Times New Roman"/>
          <w:lang w:val="ru-RU"/>
        </w:rPr>
      </w:pPr>
      <w:r>
        <w:rPr>
          <w:rStyle w:val="FootnoteReference"/>
          <w:rFonts w:ascii="Times New Roman" w:hAnsi="Times New Roman"/>
        </w:rPr>
        <w:footnoteRef/>
      </w:r>
      <w:r>
        <w:rPr>
          <w:rFonts w:ascii="Times New Roman" w:hAnsi="Times New Roman"/>
        </w:rPr>
        <w:t xml:space="preserve"> Важните проекти от общоевропейски интерес са проекти с участието на повече от една държава членка, които допринасят за стратегическите цели на Съюза и произвеждат положителни ефекти на разпространение върху европейската икономика и европейското общество като цяло. В случая на научноизследователски, развойни и иновативни проекти те трябва да имат значителен иновационен характер и да надхвърлят съвременните достижения в съответния сектор — вж. Съобщение на Комисията 2014/C 188/02 от май 2014 г.</w:t>
      </w:r>
    </w:p>
  </w:footnote>
  <w:footnote w:id="6">
    <w:p>
      <w:pPr>
        <w:pStyle w:val="FootnoteText"/>
        <w:rPr>
          <w:rFonts w:ascii="Times New Roman" w:eastAsia="Times New Roman" w:hAnsi="Times New Roman" w:cs="Times New Roman"/>
        </w:rPr>
      </w:pPr>
      <w:r>
        <w:rPr>
          <w:rStyle w:val="FootnoteReference"/>
          <w:rFonts w:ascii="Times New Roman" w:hAnsi="Times New Roman"/>
        </w:rPr>
        <w:footnoteRef/>
      </w:r>
      <w:r>
        <w:rPr>
          <w:rFonts w:ascii="Times New Roman" w:hAnsi="Times New Roman"/>
        </w:rPr>
        <w:t xml:space="preserve"> Включително покани за заявяване на интерес, публикувани в Белгия, Франция, Германия и Италия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34773"/>
    <w:multiLevelType w:val="hybridMultilevel"/>
    <w:tmpl w:val="873CA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FD4867"/>
    <w:multiLevelType w:val="hybridMultilevel"/>
    <w:tmpl w:val="D428AD96"/>
    <w:lvl w:ilvl="0" w:tplc="BB6EECC4">
      <w:start w:val="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9EA3C47"/>
    <w:multiLevelType w:val="hybridMultilevel"/>
    <w:tmpl w:val="81D8AC74"/>
    <w:lvl w:ilvl="0" w:tplc="374849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1B36230"/>
    <w:multiLevelType w:val="hybridMultilevel"/>
    <w:tmpl w:val="C4A6D0D4"/>
    <w:lvl w:ilvl="0" w:tplc="3748499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5B30EA9"/>
    <w:multiLevelType w:val="hybridMultilevel"/>
    <w:tmpl w:val="3216051C"/>
    <w:lvl w:ilvl="0" w:tplc="374849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08C1CB3"/>
    <w:multiLevelType w:val="hybridMultilevel"/>
    <w:tmpl w:val="5D22767A"/>
    <w:lvl w:ilvl="0" w:tplc="9C6EB5A8">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3D57C36"/>
    <w:multiLevelType w:val="hybridMultilevel"/>
    <w:tmpl w:val="E980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1"/>
  </w:num>
  <w:num w:numId="6">
    <w:abstractNumId w:val="2"/>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MENOVA Liliya (SG)">
    <w15:presenceInfo w15:providerId="None" w15:userId="KAMENOVA Liliya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u1044?\u1086?\u1082?\u1083?\u1072?\u1076?\u1072? \u1085?\u1072? \u1050?\u1086?\u1084?\u1080?\u1089?\u1080?\u1103?\u1090?\u1072? \u1076?\u1086? \u1045?\u1074?\u1088?\u1086?\u1087?\u1077?\u1081?\u1089?\u1082?\u1080?\u1103? \u1087?\u1072?\u1088?\u1083?\u1072?\u1084?\u1077?\u1085?\u1090?, \u1057?\u1098?\u1074?\u1077?\u1090?\u1072?, \u1045?\u1074?\u1088?\u1086?\u1087?\u1077?\u1081?\u1089?\u1082?\u1080?\u1103? \u1080?\u1082?\u1086?\u1085?\u1086?\u1084?\u1080?\u1095?\u1077?\u1089?\u1082?\u1080? \u1080? \u1089?\u1086?\u1094?\u1080?\u1072?\u1083?\u1077?\u1085? \u1082?\u1086?\u1084?\u1080?\u1090?\u1077?\u1090?, \u1050?\u1086?\u1084?\u1080?\u1090?\u1077?\u1090?\u1072? \u1085?\u1072? \u1088?\u1077?\u1075?\u1080?\u1086?\u1085?\u1080?\u1090?\u1077? \u1080? \u1045?\u1074?\u1088?\u1086?\u1087?\u1077?\u1081?\u1089?\u1082?\u1072?\u1090?\u1072? \u1080?\u1085?\u1074?\u1077?\u1089?\u1090?\u1080?\u1094?\u1080?\u1086?\u1085?\u1085?\u1072? \u1073?\u1072?\u1085?\u1082?\u1072?"/>
    <w:docVar w:name="LW_ANNEX_NBR_FIRST" w:val="1"/>
    <w:docVar w:name="LW_ANNEX_NBR_LAST" w:val="1"/>
    <w:docVar w:name="LW_ANNEX_UNIQUE" w:val="1"/>
    <w:docVar w:name="LW_CORRIGENDUM" w:val="&lt;UNUSED&gt;"/>
    <w:docVar w:name="LW_COVERPAGE_EXISTS" w:val="True"/>
    <w:docVar w:name="LW_COVERPAGE_GUID" w:val="64C00520-DB18-4759-9CBC-DC90D1F8E7E2"/>
    <w:docVar w:name="LW_COVERPAGE_TYPE" w:val="1"/>
    <w:docVar w:name="LW_CROSSREFERENCE" w:val="&lt;UNUSED&gt;"/>
    <w:docVar w:name="LW_DocType" w:val="NORMAL"/>
    <w:docVar w:name="LW_EMISSION" w:val="9.4.2019"/>
    <w:docVar w:name="LW_EMISSION_ISODATE" w:val="2019-04-09"/>
    <w:docVar w:name="LW_EMISSION_LOCATION" w:val="BRX"/>
    <w:docVar w:name="LW_EMISSION_PREFIX" w:val="Брюксел, "/>
    <w:docVar w:name="LW_EMISSION_SUFFIX" w:val=" \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48?\u1079?\u1075?\u1088?\u1072?\u1078?\u1076?\u1072?\u1085?\u1077? \u1085?\u1072? \u1089?\u1090?\u1088?\u1072?\u1090?\u1077?\u1075?\u1080?\u1095?\u1077?\u1089?\u1082?\u1072? \u1074?\u1077?\u1088?\u1080?\u1075?\u1072? \u1079?\u1072? \u1089?\u1098?\u1079?\u1076?\u1072?\u1074?\u1072?\u1085?\u1077? \u1085?\u1072? \u1089?\u1090?\u1086?\u1081?\u1085?\u1086?\u1089?\u1090? \u1074? \u1089?\u1077?\u1082?\u1090?\u1086?\u1088?\u1072? \u1085?\u1072? \u1073?\u1072?\u1090?\u1077?\u1088?\u1080?\u1080?\u1090?\u1077? \u1074? \u1045?\u1074?\u1088?\u1086?\u1087?\u1072?"/>
    <w:docVar w:name="LW_PART_NBR" w:val="1"/>
    <w:docVar w:name="LW_PART_NBR_TOTAL" w:val="1"/>
    <w:docVar w:name="LW_REF.INST.NEW" w:val="COM"/>
    <w:docVar w:name="LW_REF.INST.NEW_ADOPTED" w:val="final"/>
    <w:docVar w:name="LW_REF.INST.NEW_TEXT" w:val="(2019) 1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pPr>
      <w:keepNext/>
      <w:numPr>
        <w:numId w:val="3"/>
      </w:numPr>
      <w:ind w:left="425" w:hanging="357"/>
      <w:outlineLvl w:val="0"/>
    </w:pPr>
    <w:rPr>
      <w:rFonts w:ascii="Times New Roman" w:hAnsi="Times New Roman" w:cs="Times New Roman"/>
      <w:b/>
      <w:noProo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chriftart: 9 pt,Schriftart: 10 pt,Schriftart: 8 pt,fn,Fußnote,Fotnotstext1,Footnote text,Footnote Text Char2,Footnote Text Char1 Char,Footnote Text Char Char Char,Footnote Text Char Char1,Footnote Text Char1 Char1,Footnote Text Char 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fn Char,Fußnote Char,Fotnotstext1 Char,Footnote text Char,Footnote Text Char2 Char,Footnote Text Char1 Char Char,Footnote Text Char Char Char Char"/>
    <w:basedOn w:val="DefaultParagraphFont"/>
    <w:link w:val="FootnoteText"/>
    <w:uiPriority w:val="99"/>
    <w:qFormat/>
    <w:rPr>
      <w:sz w:val="20"/>
      <w:szCs w:val="20"/>
    </w:rPr>
  </w:style>
  <w:style w:type="character" w:styleId="FootnoteReference">
    <w:name w:val="footnote reference"/>
    <w:aliases w:val="Footnote symbol,IT Fußnotenzeichen,Footnote symboFußnotenzeichen,Footnote sign,-E Fußnotenzeichen,ESPON Footnote No,Footnote call,Footnote Reference Superscript,Footnote reference number,Times 10 Point,Exposant 3 Point,Ref,note TESI"/>
    <w:basedOn w:val="DefaultParagraphFo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Hyperlink">
    <w:name w:val="Hyperlink"/>
    <w:basedOn w:val="DefaultParagraphFont"/>
    <w:uiPriority w:val="99"/>
    <w:unhideWhenUsed/>
    <w:rPr>
      <w:color w:val="0000FF"/>
      <w:u w:val="single"/>
    </w:rPr>
  </w:style>
  <w:style w:type="paragraph" w:customStyle="1" w:styleId="Footnotenumber">
    <w:name w:val="Footnote number"/>
    <w:aliases w:val="fr"/>
    <w:basedOn w:val="Normal"/>
    <w:pPr>
      <w:spacing w:after="160" w:line="240" w:lineRule="exact"/>
    </w:pPr>
    <w:rPr>
      <w:vertAlign w:val="superscript"/>
    </w:rPr>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Pr>
      <w:rFonts w:ascii="Times New Roman" w:hAnsi="Times New Roman" w:cs="Times New Roman"/>
      <w:b/>
      <w:noProof/>
      <w:sz w:val="24"/>
      <w:szCs w:val="24"/>
      <w:lang w:eastAsia="bg-BG"/>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pPr>
      <w:keepNext/>
      <w:numPr>
        <w:numId w:val="3"/>
      </w:numPr>
      <w:ind w:left="425" w:hanging="357"/>
      <w:outlineLvl w:val="0"/>
    </w:pPr>
    <w:rPr>
      <w:rFonts w:ascii="Times New Roman" w:hAnsi="Times New Roman" w:cs="Times New Roman"/>
      <w:b/>
      <w:noProo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chriftart: 9 pt,Schriftart: 10 pt,Schriftart: 8 pt,fn,Fußnote,Fotnotstext1,Footnote text,Footnote Text Char2,Footnote Text Char1 Char,Footnote Text Char Char Char,Footnote Text Char Char1,Footnote Text Char1 Char1,Footnote Text Char 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fn Char,Fußnote Char,Fotnotstext1 Char,Footnote text Char,Footnote Text Char2 Char,Footnote Text Char1 Char Char,Footnote Text Char Char Char Char"/>
    <w:basedOn w:val="DefaultParagraphFont"/>
    <w:link w:val="FootnoteText"/>
    <w:uiPriority w:val="99"/>
    <w:qFormat/>
    <w:rPr>
      <w:sz w:val="20"/>
      <w:szCs w:val="20"/>
    </w:rPr>
  </w:style>
  <w:style w:type="character" w:styleId="FootnoteReference">
    <w:name w:val="footnote reference"/>
    <w:aliases w:val="Footnote symbol,IT Fußnotenzeichen,Footnote symboFußnotenzeichen,Footnote sign,-E Fußnotenzeichen,ESPON Footnote No,Footnote call,Footnote Reference Superscript,Footnote reference number,Times 10 Point,Exposant 3 Point,Ref,note TESI"/>
    <w:basedOn w:val="DefaultParagraphFo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Hyperlink">
    <w:name w:val="Hyperlink"/>
    <w:basedOn w:val="DefaultParagraphFont"/>
    <w:uiPriority w:val="99"/>
    <w:unhideWhenUsed/>
    <w:rPr>
      <w:color w:val="0000FF"/>
      <w:u w:val="single"/>
    </w:rPr>
  </w:style>
  <w:style w:type="paragraph" w:customStyle="1" w:styleId="Footnotenumber">
    <w:name w:val="Footnote number"/>
    <w:aliases w:val="fr"/>
    <w:basedOn w:val="Normal"/>
    <w:pPr>
      <w:spacing w:after="160" w:line="240" w:lineRule="exact"/>
    </w:pPr>
    <w:rPr>
      <w:vertAlign w:val="superscript"/>
    </w:rPr>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Pr>
      <w:rFonts w:ascii="Times New Roman" w:hAnsi="Times New Roman" w:cs="Times New Roman"/>
      <w:b/>
      <w:noProof/>
      <w:sz w:val="24"/>
      <w:szCs w:val="24"/>
      <w:lang w:eastAsia="bg-BG"/>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79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it.europa.eu/newsroom/eit-innoenergy-call-electrical-storage-start-ups"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ec.europa.eu/jrc/en/research-facility/open-access/calls/relevance/2018-1-RD-BESTEST"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uropa.eu/rapid/press-release_IP-18-6114_en.htm"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ec.europa.eu/growth/content/eu-battery-alliance-major-progress-establishing-battery-manufacturing-europe-only-one-year_en" TargetMode="External"/><Relationship Id="rId20" Type="http://schemas.openxmlformats.org/officeDocument/2006/relationships/hyperlink" Target="http://battery2030.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s://ec.europa.eu/info/news/consolidating-industrial-basis-batteries-europe-launch-european-technology-and-innovation-platform-batteries-2019-feb-05_en"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www.innoenergy.com/event/eba-skills-brokerage-event/"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00FD887-BAA8-42BD-BCCB-A1D946454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4480</Words>
  <Characters>28141</Characters>
  <Application>Microsoft Office Word</Application>
  <DocSecurity>0</DocSecurity>
  <Lines>781</Lines>
  <Paragraphs>99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FENOULHET Timothy (SG)</dc:creator>
  <cp:lastModifiedBy>WES PDFC Administrator</cp:lastModifiedBy>
  <cp:revision>14</cp:revision>
  <cp:lastPrinted>2019-03-29T08:27:00Z</cp:lastPrinted>
  <dcterms:created xsi:type="dcterms:W3CDTF">2019-04-01T13:48:00Z</dcterms:created>
  <dcterms:modified xsi:type="dcterms:W3CDTF">2019-04-10T07:04:00Z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DocStatus">
    <vt:lpwstr>Green</vt:lpwstr>
  </property>
</Properties>
</file>