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57DD8A-89BA-46F6-B8E2-55728BEB5DCC" style="width:450.4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Въз основа на съответните указания за водене на преговори</w:t>
      </w:r>
      <w:r>
        <w:rPr>
          <w:rStyle w:val="FootnoteReference"/>
          <w:noProof/>
        </w:rPr>
        <w:footnoteReference w:id="1"/>
      </w:r>
      <w:r>
        <w:rPr>
          <w:noProof/>
        </w:rPr>
        <w:t xml:space="preserve"> Комисията проведе преговори с правителството на Република Гвинея Бисау (наричана по-долу „Гвинея Бисау“) с цел сключване на нов протокол към Споразумението за партньорство в областта на рибарството между Европейската общност и Република Гвинея Бисау</w:t>
      </w:r>
      <w:r>
        <w:rPr>
          <w:rStyle w:val="FootnoteReference"/>
          <w:noProof/>
        </w:rPr>
        <w:footnoteReference w:id="2"/>
      </w:r>
      <w:r>
        <w:rPr>
          <w:noProof/>
        </w:rPr>
        <w:t>. След приключването на тези преговори, на 15 ноември 2018 г. бе парафиран нов протокол. Протоколът обхваща период от пет години, считано от началната дата на временното му прилагане, т.е. датата на подписването му, както е посочено в член 16 от него.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В съответствие с приоритетите на реформата на политиката в областта на рибарството</w:t>
      </w:r>
      <w:r>
        <w:rPr>
          <w:rStyle w:val="FootnoteReference"/>
          <w:noProof/>
        </w:rPr>
        <w:footnoteReference w:id="3"/>
      </w:r>
      <w:r>
        <w:rPr>
          <w:noProof/>
        </w:rPr>
        <w:t xml:space="preserve"> новият протокол предоставя възможности за риболов на корабите на Съюза във водите на Гвинея Бисау въз основа на най-добрите налични научни становища и при спазване на препоръките на Международната комисия за опазване на рибата тон в Атлантическия океан (ICCAT). С новия протокол се вземат предвид резултатите от оценката на последния протокол (2014—2017 г.) и на прогнозна оценка на възможността да се сключи нов протокол. И двете оценки са извършени от външни експерти. Протоколът също така ще позволи на Европейския съюз и на Република Гвинея Бисау да работят в по-тясно сътрудничество, за да насърчават отговорното използване на рибните ресурси във водите на Гвинея Бисау и да подкрепят усилията на тази държава за развитието на нейната синя икономика в интерес и на двете страни. </w:t>
      </w:r>
    </w:p>
    <w:p>
      <w:pPr>
        <w:pBdr>
          <w:top w:val="nil"/>
          <w:left w:val="nil"/>
          <w:bottom w:val="nil"/>
          <w:right w:val="nil"/>
          <w:between w:val="nil"/>
          <w:bar w:val="nil"/>
        </w:pBdr>
        <w:spacing w:before="0" w:after="240"/>
        <w:rPr>
          <w:noProof/>
        </w:rPr>
      </w:pPr>
      <w:r>
        <w:rPr>
          <w:noProof/>
        </w:rPr>
        <w:t>Протоколът предвижда възможности за риболов в следните категории:</w:t>
      </w:r>
    </w:p>
    <w:p>
      <w:pPr>
        <w:pStyle w:val="Point0"/>
        <w:rPr>
          <w:noProof/>
        </w:rPr>
      </w:pPr>
      <w:r>
        <w:rPr>
          <w:noProof/>
        </w:rPr>
        <w:t>а)</w:t>
      </w:r>
      <w:r>
        <w:rPr>
          <w:noProof/>
        </w:rPr>
        <w:tab/>
        <w:t>траулери с оборудване за дълбоко замразяване за улов на скариди;</w:t>
      </w:r>
    </w:p>
    <w:p>
      <w:pPr>
        <w:pStyle w:val="Point0"/>
        <w:rPr>
          <w:noProof/>
        </w:rPr>
      </w:pPr>
      <w:r>
        <w:rPr>
          <w:noProof/>
        </w:rPr>
        <w:t>б)</w:t>
      </w:r>
      <w:r>
        <w:rPr>
          <w:noProof/>
        </w:rPr>
        <w:tab/>
        <w:t>траулери с оборудване за дълбоко замразяване за улов на риба и главоноги мекотели;</w:t>
      </w:r>
    </w:p>
    <w:p>
      <w:pPr>
        <w:pStyle w:val="Point0"/>
        <w:rPr>
          <w:noProof/>
        </w:rPr>
      </w:pPr>
      <w:r>
        <w:rPr>
          <w:noProof/>
        </w:rPr>
        <w:t>в)</w:t>
      </w:r>
      <w:r>
        <w:rPr>
          <w:noProof/>
        </w:rPr>
        <w:tab/>
        <w:t>траулери за улов на дребни пелагични видове;</w:t>
      </w:r>
    </w:p>
    <w:p>
      <w:pPr>
        <w:pStyle w:val="Point0"/>
        <w:rPr>
          <w:noProof/>
        </w:rPr>
      </w:pPr>
      <w:r>
        <w:rPr>
          <w:noProof/>
        </w:rPr>
        <w:t>г)</w:t>
      </w:r>
      <w:r>
        <w:rPr>
          <w:noProof/>
        </w:rPr>
        <w:tab/>
        <w:t>кораби с мрежи гъргър за улов на риба тон с оборудване за дълбоко замразяване и кораби с парагади;</w:t>
      </w:r>
    </w:p>
    <w:p>
      <w:pPr>
        <w:pStyle w:val="Point0"/>
        <w:rPr>
          <w:noProof/>
        </w:rPr>
      </w:pPr>
      <w:r>
        <w:rPr>
          <w:noProof/>
        </w:rPr>
        <w:t>д)</w:t>
      </w:r>
      <w:r>
        <w:rPr>
          <w:noProof/>
        </w:rPr>
        <w:tab/>
        <w:t>кораби за улов на риба тон с въдици.</w:t>
      </w:r>
    </w:p>
    <w:p>
      <w:pPr>
        <w:pBdr>
          <w:top w:val="nil"/>
          <w:left w:val="nil"/>
          <w:bottom w:val="nil"/>
          <w:right w:val="nil"/>
          <w:between w:val="nil"/>
          <w:bar w:val="nil"/>
        </w:pBdr>
        <w:spacing w:before="0" w:after="240"/>
        <w:rPr>
          <w:noProof/>
        </w:rPr>
      </w:pPr>
      <w:r>
        <w:rPr>
          <w:noProof/>
        </w:rPr>
        <w:t>При първите три категории възможностите за риболов се изразяват като риболовно усилие (БРТ) през първите две години и като ограничение на улова (ОДУ) през последните три години.</w:t>
      </w:r>
    </w:p>
    <w:p>
      <w:pPr>
        <w:pBdr>
          <w:top w:val="nil"/>
          <w:left w:val="nil"/>
          <w:bottom w:val="nil"/>
          <w:right w:val="nil"/>
          <w:between w:val="nil"/>
          <w:bar w:val="nil"/>
        </w:pBdr>
        <w:spacing w:before="0" w:after="240"/>
        <w:rPr>
          <w:noProof/>
        </w:rPr>
      </w:pPr>
      <w:r>
        <w:rPr>
          <w:noProof/>
        </w:rPr>
        <w:t>Следва да бъде определен принципът за разпределяне на тези възможности за риболов между държавите членки.</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before="0" w:after="240"/>
        <w:rPr>
          <w:noProof/>
        </w:rPr>
      </w:pPr>
      <w:r>
        <w:rPr>
          <w:noProof/>
        </w:rPr>
        <w:t xml:space="preserve">Избраното правно основание е Договорът за функционирането на Европейския съюз, където в член 43, параграф 3 се постановява, че мерките за разпределянето на възможностите за риболов се приемат от Съвета по предложение на Комисията. </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spacing w:before="0" w:after="240"/>
        <w:rPr>
          <w:noProof/>
        </w:rPr>
      </w:pPr>
      <w:r>
        <w:rPr>
          <w:noProof/>
        </w:rPr>
        <w:t xml:space="preserve">Областта на политиката попада в обхвата на изключителната компетентност на Европейския съюз.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Консултации със заинтересованите страни бяха проведени в рамките на последващите и предварителните оценки относно евентуален нов протокол между Европейския съюз и Република Гвинея Бисау. По време на техническите срещи бяха извършени консултации и с експерти от държавите членки и от сектора. Тези консултации доведоха до заключението, че за Европейския съюз и Република Гвинея Бисау би било от полза да сключат нов протокол към Споразумението за партньорство в областта на рибарството.</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представители на органа за управление на рибарството и на гражданското общество на Гвинея Бисау. Бяха проведени също така консултации в рамките на Консултативния съвет по далечно плаване.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rPr>
          <w:noProof/>
        </w:rPr>
        <w:t>4.</w:t>
      </w:r>
      <w:r>
        <w:rPr>
          <w:noProof/>
        </w:rPr>
        <w:tab/>
        <w:t>ОТРАЖЕНИЕ ВЪРХУ БЮДЖЕТА</w:t>
      </w:r>
    </w:p>
    <w:p>
      <w:pPr>
        <w:spacing w:before="0" w:after="240"/>
        <w:rPr>
          <w:noProof/>
        </w:rPr>
      </w:pPr>
      <w:r>
        <w:rPr>
          <w:noProof/>
        </w:rPr>
        <w:t>Проектът на регламент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spacing w:before="0" w:after="240"/>
        <w:rPr>
          <w:noProof/>
        </w:rPr>
      </w:pPr>
      <w:r>
        <w:rPr>
          <w:noProof/>
        </w:rPr>
        <w:t xml:space="preserve">Настоящата процедура се открива едновременно с процедурите, свързани с решението на Съвета относно подписването от името на Съюза на протокола към Споразумението за партньорство в областта на рибарството между Европейската общност и Република Гвинея Бисау, както и с решението на Съвета относно неговото сключване. Настоящият регламент следва да започне да се прилага, след като стане възможно извършването на риболовни дейности по силата на споразумението, тоест от датата на временно прилагане на протокола. </w:t>
      </w:r>
    </w:p>
    <w:p>
      <w:pPr>
        <w:pStyle w:val="ManualHeading2"/>
        <w:ind w:left="0" w:firstLine="0"/>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2019/0092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относно разпределянето на възможностите за риболов съгласно Протокола за прилагане на Споразумението за партньорство в областта на рибарството между Европейската общност и Република Гвинея Бисау (2019—2024 г.)</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43, </w:t>
      </w:r>
    </w:p>
    <w:p>
      <w:pPr>
        <w:rPr>
          <w:noProof/>
        </w:rPr>
      </w:pPr>
      <w:r>
        <w:rPr>
          <w:noProof/>
        </w:rPr>
        <w:t>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17 март 2008 г. Съветът прие Регламент (ЕО) № 241/2008</w:t>
      </w:r>
      <w:r>
        <w:rPr>
          <w:rStyle w:val="FootnoteReference"/>
          <w:noProof/>
        </w:rPr>
        <w:footnoteReference w:id="4"/>
      </w:r>
      <w:r>
        <w:rPr>
          <w:noProof/>
        </w:rPr>
        <w:t xml:space="preserve"> за сключване на Споразумението за партньорство в областта на рибарството между Европейската общност и Република Гвинея Бисау (наричано по-долу „споразумението“)</w:t>
      </w:r>
      <w:r>
        <w:rPr>
          <w:rStyle w:val="FootnoteReference"/>
          <w:noProof/>
        </w:rPr>
        <w:footnoteReference w:id="5"/>
      </w:r>
      <w:r>
        <w:rPr>
          <w:noProof/>
        </w:rPr>
        <w:t>, което влезе в сила на 15 април 2008 г., впоследствие бе подновено с мълчаливо съгласие и все още е в сила.</w:t>
      </w:r>
    </w:p>
    <w:p>
      <w:pPr>
        <w:pStyle w:val="ManualConsidrant"/>
        <w:rPr>
          <w:noProof/>
        </w:rPr>
      </w:pPr>
      <w:r>
        <w:t>(2)</w:t>
      </w:r>
      <w:r>
        <w:tab/>
      </w:r>
      <w:r>
        <w:rPr>
          <w:noProof/>
        </w:rPr>
        <w:t>Срокът на действие на последния протокол към споразумението изтече на 23 ноември 2017 г.</w:t>
      </w:r>
    </w:p>
    <w:p>
      <w:pPr>
        <w:pStyle w:val="ManualConsidrant"/>
        <w:rPr>
          <w:noProof/>
        </w:rPr>
      </w:pPr>
      <w:r>
        <w:t>(3)</w:t>
      </w:r>
      <w:r>
        <w:tab/>
      </w:r>
      <w:r>
        <w:rPr>
          <w:noProof/>
        </w:rPr>
        <w:t>Комисията проведе преговори от името на Европейския съюз за нов протокол за прилагане на споразумението (наричан по-долу „протоколът“). След приключването на преговорите протоколът беше парафиран на 15 ноември 2018 г.</w:t>
      </w:r>
    </w:p>
    <w:p>
      <w:pPr>
        <w:pStyle w:val="ManualConsidrant"/>
        <w:rPr>
          <w:noProof/>
        </w:rPr>
      </w:pPr>
      <w:r>
        <w:t>(4)</w:t>
      </w:r>
      <w:r>
        <w:tab/>
      </w:r>
      <w:r>
        <w:rPr>
          <w:noProof/>
        </w:rPr>
        <w:t>Съгласно Решение 2019/.../ЕС на Съвета</w:t>
      </w:r>
      <w:r>
        <w:rPr>
          <w:rStyle w:val="FootnoteReference"/>
          <w:noProof/>
        </w:rPr>
        <w:footnoteReference w:id="6"/>
      </w:r>
      <w:r>
        <w:rPr>
          <w:noProof/>
        </w:rPr>
        <w:t xml:space="preserve"> протоколът за прилагане на Споразумението в областта на рибарството между Европейската общност и Република Гвинея-Бисау беше подписан на [</w:t>
      </w:r>
      <w:r>
        <w:rPr>
          <w:i/>
          <w:noProof/>
        </w:rPr>
        <w:t>да се въведе датата на подписване</w:t>
      </w:r>
      <w:r>
        <w:rPr>
          <w:noProof/>
        </w:rPr>
        <w:t>].</w:t>
      </w:r>
    </w:p>
    <w:p>
      <w:pPr>
        <w:pStyle w:val="ManualConsidrant"/>
        <w:rPr>
          <w:noProof/>
        </w:rPr>
      </w:pPr>
      <w:r>
        <w:t>(5)</w:t>
      </w:r>
      <w:r>
        <w:tab/>
      </w:r>
      <w:r>
        <w:rPr>
          <w:noProof/>
        </w:rPr>
        <w:t>Предвидените в протокола възможности за риболов следва да се разпределят между държавите членки за периода на прилагане на протокола.</w:t>
      </w:r>
    </w:p>
    <w:p>
      <w:pPr>
        <w:pStyle w:val="ManualConsidrant"/>
        <w:rPr>
          <w:noProof/>
        </w:rPr>
      </w:pPr>
      <w:r>
        <w:t>(6)</w:t>
      </w:r>
      <w:r>
        <w:tab/>
      </w:r>
      <w:r>
        <w:rPr>
          <w:noProof/>
        </w:rPr>
        <w:t>Протоколът следва да се прилага временно от датата на подписването му, за да се осигури скорошно започване на риболовните дейности на корабите на Съюза. Поради това настоящият регламент следва да започне да се прилага от същата дата,</w:t>
      </w:r>
    </w:p>
    <w:p>
      <w:pPr>
        <w:rPr>
          <w:noProof/>
        </w:rPr>
      </w:pPr>
    </w:p>
    <w:p>
      <w:pPr>
        <w:pStyle w:val="Formuledadoption"/>
        <w:rPr>
          <w:noProof/>
        </w:rPr>
      </w:pPr>
      <w:r>
        <w:rPr>
          <w:noProof/>
        </w:rPr>
        <w:t>ПРИЕ НАСТОЯЩИЯ РЕГЛАМЕНТ:</w:t>
      </w:r>
    </w:p>
    <w:p>
      <w:pPr>
        <w:pStyle w:val="Titrearticle"/>
        <w:rPr>
          <w:noProof/>
        </w:rPr>
      </w:pPr>
      <w:r>
        <w:rPr>
          <w:noProof/>
        </w:rPr>
        <w:t>Член 1</w:t>
      </w:r>
    </w:p>
    <w:p>
      <w:pPr>
        <w:jc w:val="center"/>
        <w:rPr>
          <w:noProof/>
        </w:rPr>
      </w:pPr>
      <w:r>
        <w:rPr>
          <w:noProof/>
        </w:rPr>
        <w:t>Определения</w:t>
      </w:r>
    </w:p>
    <w:p>
      <w:pPr>
        <w:rPr>
          <w:noProof/>
        </w:rPr>
      </w:pPr>
      <w:r>
        <w:rPr>
          <w:noProof/>
        </w:rPr>
        <w:t xml:space="preserve">За целите на настоящия регламент „далекомигриращи видове“ означава видовете, изброени в приложение I към Конвенцията на ООН по морско право от 1982 г., с изключение на семейство </w:t>
      </w:r>
      <w:r>
        <w:rPr>
          <w:i/>
          <w:noProof/>
        </w:rPr>
        <w:t>Alopiidae</w:t>
      </w:r>
      <w:r>
        <w:rPr>
          <w:noProof/>
        </w:rPr>
        <w:t xml:space="preserve">, семейство </w:t>
      </w:r>
      <w:r>
        <w:rPr>
          <w:i/>
          <w:noProof/>
        </w:rPr>
        <w:t>Sphyrnidae</w:t>
      </w:r>
      <w:r>
        <w:rPr>
          <w:noProof/>
        </w:rPr>
        <w:t xml:space="preserve"> и следните видове: </w:t>
      </w:r>
      <w:r>
        <w:rPr>
          <w:i/>
          <w:noProof/>
        </w:rPr>
        <w:t>Cethorinus maximus, Rhincodon typus, Carcharodon carcharias, Carcharinus falciformis, Carcharinus longimanus</w:t>
      </w:r>
      <w:r>
        <w:rPr>
          <w:noProof/>
        </w:rPr>
        <w:t>.</w:t>
      </w:r>
    </w:p>
    <w:p>
      <w:pPr>
        <w:rPr>
          <w:noProof/>
        </w:rPr>
      </w:pPr>
    </w:p>
    <w:p>
      <w:pPr>
        <w:jc w:val="center"/>
        <w:rPr>
          <w:noProof/>
        </w:rPr>
      </w:pPr>
      <w:r>
        <w:rPr>
          <w:noProof/>
        </w:rPr>
        <w:t>Член 2</w:t>
      </w:r>
    </w:p>
    <w:p>
      <w:pPr>
        <w:jc w:val="center"/>
        <w:rPr>
          <w:noProof/>
        </w:rPr>
      </w:pPr>
      <w:r>
        <w:rPr>
          <w:noProof/>
        </w:rPr>
        <w:t>Възможности за риболов</w:t>
      </w:r>
    </w:p>
    <w:p>
      <w:pPr>
        <w:rPr>
          <w:noProof/>
        </w:rPr>
      </w:pPr>
      <w:r>
        <w:rPr>
          <w:noProof/>
        </w:rPr>
        <w:t>Възможностите за риболов, определени с Протокола за прилагане на Споразумението за партньорство в областта на рибарството между Европейската общност и Република Гвинея Бисау (2019—2024 г.) (наричан по-долу „протоколът“), се разпределят между държавите членки в съответствие с членове 3 и 4.</w:t>
      </w:r>
    </w:p>
    <w:p>
      <w:pPr>
        <w:rPr>
          <w:noProof/>
        </w:rPr>
      </w:pPr>
    </w:p>
    <w:p>
      <w:pPr>
        <w:jc w:val="center"/>
        <w:rPr>
          <w:noProof/>
        </w:rPr>
      </w:pPr>
      <w:r>
        <w:rPr>
          <w:noProof/>
        </w:rPr>
        <w:t>Член 3</w:t>
      </w:r>
    </w:p>
    <w:p>
      <w:pPr>
        <w:jc w:val="center"/>
        <w:rPr>
          <w:noProof/>
        </w:rPr>
      </w:pPr>
      <w:r>
        <w:rPr>
          <w:noProof/>
        </w:rPr>
        <w:t>Дънни видове и дребни пелагични видове</w:t>
      </w:r>
    </w:p>
    <w:p>
      <w:pPr>
        <w:rPr>
          <w:noProof/>
        </w:rPr>
      </w:pPr>
      <w:r>
        <w:rPr>
          <w:noProof/>
        </w:rPr>
        <w:t>Възможностите за риболов на дънни видове и дребни пелагични видове се разпределят между държавите членки, както следва:</w:t>
      </w:r>
    </w:p>
    <w:p>
      <w:pPr>
        <w:rPr>
          <w:noProof/>
        </w:rPr>
      </w:pPr>
    </w:p>
    <w:p>
      <w:pPr>
        <w:pStyle w:val="umPar1"/>
        <w:numPr>
          <w:ilvl w:val="0"/>
          <w:numId w:val="0"/>
        </w:numPr>
        <w:rPr>
          <w:noProof/>
        </w:rPr>
      </w:pPr>
      <w:r>
        <w:rPr>
          <w:noProof/>
        </w:rPr>
        <w:t>1) през първата и втората година на прилагане на протокола — въз основа на система на риболовно усилие (брутен регистриран тонаж — „БРТ“):</w:t>
      </w:r>
    </w:p>
    <w:p>
      <w:pPr>
        <w:pStyle w:val="Point1"/>
        <w:rPr>
          <w:noProof/>
        </w:rPr>
      </w:pPr>
      <w:r>
        <w:rPr>
          <w:noProof/>
        </w:rPr>
        <w:t>а) траулери с оборудване за дълбоко замразяване за улов на скариди:</w:t>
      </w:r>
    </w:p>
    <w:p>
      <w:pPr>
        <w:rPr>
          <w:noProof/>
        </w:rPr>
      </w:pPr>
      <w:r>
        <w:rPr>
          <w:noProof/>
        </w:rPr>
        <w:t>Испания</w:t>
      </w:r>
      <w:r>
        <w:rPr>
          <w:noProof/>
        </w:rPr>
        <w:tab/>
      </w:r>
      <w:r>
        <w:rPr>
          <w:noProof/>
        </w:rPr>
        <w:tab/>
        <w:t>2500 БРТ</w:t>
      </w:r>
    </w:p>
    <w:p>
      <w:pPr>
        <w:rPr>
          <w:noProof/>
        </w:rPr>
      </w:pPr>
      <w:r>
        <w:rPr>
          <w:noProof/>
        </w:rPr>
        <w:t>Гърция</w:t>
      </w:r>
      <w:r>
        <w:rPr>
          <w:noProof/>
        </w:rPr>
        <w:tab/>
      </w:r>
      <w:r>
        <w:rPr>
          <w:noProof/>
        </w:rPr>
        <w:tab/>
        <w:t>140 БРТ</w:t>
      </w:r>
    </w:p>
    <w:p>
      <w:pPr>
        <w:rPr>
          <w:noProof/>
        </w:rPr>
      </w:pPr>
      <w:r>
        <w:rPr>
          <w:noProof/>
        </w:rPr>
        <w:t>Португалия</w:t>
      </w:r>
      <w:r>
        <w:rPr>
          <w:noProof/>
        </w:rPr>
        <w:tab/>
      </w:r>
      <w:r>
        <w:rPr>
          <w:noProof/>
        </w:rPr>
        <w:tab/>
        <w:t>1060 БРТ</w:t>
      </w:r>
    </w:p>
    <w:p>
      <w:pPr>
        <w:rPr>
          <w:noProof/>
        </w:rPr>
      </w:pPr>
    </w:p>
    <w:p>
      <w:pPr>
        <w:pStyle w:val="Point1"/>
        <w:rPr>
          <w:noProof/>
        </w:rPr>
      </w:pPr>
      <w:r>
        <w:rPr>
          <w:noProof/>
        </w:rPr>
        <w:t>б) траулери с оборудване за дълбоко замразяване за улов на риба и главоноги мекотели:</w:t>
      </w:r>
    </w:p>
    <w:p>
      <w:pPr>
        <w:rPr>
          <w:noProof/>
        </w:rPr>
      </w:pPr>
      <w:r>
        <w:rPr>
          <w:noProof/>
        </w:rPr>
        <w:t>Испания</w:t>
      </w:r>
      <w:r>
        <w:rPr>
          <w:noProof/>
        </w:rPr>
        <w:tab/>
      </w:r>
      <w:r>
        <w:rPr>
          <w:noProof/>
        </w:rPr>
        <w:tab/>
        <w:t>2900 БРТ</w:t>
      </w:r>
    </w:p>
    <w:p>
      <w:pPr>
        <w:rPr>
          <w:noProof/>
        </w:rPr>
      </w:pPr>
      <w:r>
        <w:rPr>
          <w:noProof/>
        </w:rPr>
        <w:t>Гърция</w:t>
      </w:r>
      <w:r>
        <w:rPr>
          <w:noProof/>
        </w:rPr>
        <w:tab/>
      </w:r>
      <w:r>
        <w:rPr>
          <w:noProof/>
        </w:rPr>
        <w:tab/>
        <w:t>225 БРТ</w:t>
      </w:r>
    </w:p>
    <w:p>
      <w:pPr>
        <w:rPr>
          <w:noProof/>
        </w:rPr>
      </w:pPr>
      <w:r>
        <w:rPr>
          <w:noProof/>
        </w:rPr>
        <w:t>Италия</w:t>
      </w:r>
      <w:r>
        <w:rPr>
          <w:noProof/>
        </w:rPr>
        <w:tab/>
      </w:r>
      <w:r>
        <w:rPr>
          <w:noProof/>
        </w:rPr>
        <w:tab/>
        <w:t>375 БРТ</w:t>
      </w:r>
    </w:p>
    <w:p>
      <w:pPr>
        <w:pStyle w:val="Point1"/>
        <w:rPr>
          <w:noProof/>
        </w:rPr>
      </w:pPr>
      <w:r>
        <w:rPr>
          <w:noProof/>
        </w:rPr>
        <w:t>в) траулери за улов на дребни пелагични видове:</w:t>
      </w:r>
    </w:p>
    <w:p>
      <w:pPr>
        <w:rPr>
          <w:noProof/>
        </w:rPr>
      </w:pPr>
      <w:r>
        <w:rPr>
          <w:noProof/>
        </w:rPr>
        <w:t>Испания</w:t>
      </w:r>
      <w:r>
        <w:rPr>
          <w:noProof/>
        </w:rPr>
        <w:tab/>
      </w:r>
      <w:r>
        <w:rPr>
          <w:noProof/>
        </w:rPr>
        <w:tab/>
        <w:t>3500 БРТ</w:t>
      </w:r>
    </w:p>
    <w:p>
      <w:pPr>
        <w:rPr>
          <w:noProof/>
        </w:rPr>
      </w:pPr>
      <w:r>
        <w:rPr>
          <w:noProof/>
        </w:rPr>
        <w:t>Португалия</w:t>
      </w:r>
      <w:r>
        <w:rPr>
          <w:noProof/>
        </w:rPr>
        <w:tab/>
      </w:r>
      <w:r>
        <w:rPr>
          <w:noProof/>
        </w:rPr>
        <w:tab/>
        <w:t>500 БРТ</w:t>
      </w:r>
    </w:p>
    <w:p>
      <w:pPr>
        <w:rPr>
          <w:noProof/>
        </w:rPr>
      </w:pPr>
      <w:r>
        <w:rPr>
          <w:noProof/>
        </w:rPr>
        <w:t>Литва</w:t>
      </w:r>
      <w:r>
        <w:rPr>
          <w:noProof/>
        </w:rPr>
        <w:tab/>
      </w:r>
      <w:r>
        <w:rPr>
          <w:noProof/>
        </w:rPr>
        <w:tab/>
      </w:r>
      <w:r>
        <w:rPr>
          <w:noProof/>
        </w:rPr>
        <w:tab/>
        <w:t>5000 БРТ</w:t>
      </w:r>
    </w:p>
    <w:p>
      <w:pPr>
        <w:rPr>
          <w:noProof/>
        </w:rPr>
      </w:pPr>
      <w:r>
        <w:rPr>
          <w:noProof/>
        </w:rPr>
        <w:t>Латвия</w:t>
      </w:r>
      <w:r>
        <w:rPr>
          <w:noProof/>
        </w:rPr>
        <w:tab/>
      </w:r>
      <w:r>
        <w:rPr>
          <w:noProof/>
        </w:rPr>
        <w:tab/>
        <w:t>5000 БРТ</w:t>
      </w:r>
    </w:p>
    <w:p>
      <w:pPr>
        <w:rPr>
          <w:noProof/>
        </w:rPr>
      </w:pPr>
      <w:r>
        <w:rPr>
          <w:noProof/>
        </w:rPr>
        <w:t>Полша</w:t>
      </w:r>
      <w:r>
        <w:rPr>
          <w:noProof/>
        </w:rPr>
        <w:tab/>
      </w:r>
      <w:r>
        <w:rPr>
          <w:noProof/>
        </w:rPr>
        <w:tab/>
        <w:t>1000 БРТ</w:t>
      </w:r>
    </w:p>
    <w:p>
      <w:pPr>
        <w:rPr>
          <w:noProof/>
        </w:rPr>
      </w:pPr>
    </w:p>
    <w:p>
      <w:pPr>
        <w:pStyle w:val="Point0"/>
        <w:rPr>
          <w:noProof/>
        </w:rPr>
      </w:pPr>
      <w:r>
        <w:rPr>
          <w:noProof/>
        </w:rPr>
        <w:t>2) от третата година на прилагане на протокола — въз основа на система, определяща ограничения на улова по видове (ОДУ):</w:t>
      </w:r>
    </w:p>
    <w:p>
      <w:pPr>
        <w:pStyle w:val="Point1"/>
        <w:rPr>
          <w:noProof/>
        </w:rPr>
      </w:pPr>
      <w:r>
        <w:rPr>
          <w:noProof/>
        </w:rPr>
        <w:t>а) траулери с оборудване за дълбоко замразяване за улов на скариди:</w:t>
      </w:r>
    </w:p>
    <w:p>
      <w:pPr>
        <w:rPr>
          <w:noProof/>
        </w:rPr>
      </w:pPr>
      <w:r>
        <w:rPr>
          <w:noProof/>
        </w:rPr>
        <w:t>Испания</w:t>
      </w:r>
      <w:r>
        <w:rPr>
          <w:noProof/>
        </w:rPr>
        <w:tab/>
      </w:r>
      <w:r>
        <w:rPr>
          <w:noProof/>
        </w:rPr>
        <w:tab/>
        <w:t>1650 тона</w:t>
      </w:r>
    </w:p>
    <w:p>
      <w:pPr>
        <w:rPr>
          <w:noProof/>
        </w:rPr>
      </w:pPr>
      <w:r>
        <w:rPr>
          <w:noProof/>
        </w:rPr>
        <w:t>Гърция</w:t>
      </w:r>
      <w:r>
        <w:rPr>
          <w:noProof/>
        </w:rPr>
        <w:tab/>
      </w:r>
      <w:r>
        <w:rPr>
          <w:noProof/>
        </w:rPr>
        <w:tab/>
        <w:t>100 тона</w:t>
      </w:r>
    </w:p>
    <w:p>
      <w:pPr>
        <w:rPr>
          <w:noProof/>
        </w:rPr>
      </w:pPr>
      <w:r>
        <w:rPr>
          <w:noProof/>
        </w:rPr>
        <w:t>Португалия</w:t>
      </w:r>
      <w:r>
        <w:rPr>
          <w:noProof/>
        </w:rPr>
        <w:tab/>
      </w:r>
      <w:r>
        <w:rPr>
          <w:noProof/>
        </w:rPr>
        <w:tab/>
        <w:t>750 тона</w:t>
      </w:r>
    </w:p>
    <w:p>
      <w:pPr>
        <w:rPr>
          <w:noProof/>
        </w:rPr>
      </w:pPr>
    </w:p>
    <w:p>
      <w:pPr>
        <w:pStyle w:val="Point1"/>
        <w:rPr>
          <w:noProof/>
        </w:rPr>
      </w:pPr>
      <w:r>
        <w:rPr>
          <w:noProof/>
        </w:rPr>
        <w:t>б) траулери с оборудване за дълбоко замразяване за улов на риба:</w:t>
      </w:r>
    </w:p>
    <w:p>
      <w:pPr>
        <w:rPr>
          <w:noProof/>
        </w:rPr>
      </w:pPr>
      <w:r>
        <w:rPr>
          <w:noProof/>
        </w:rPr>
        <w:t>Испания</w:t>
      </w:r>
      <w:r>
        <w:rPr>
          <w:noProof/>
        </w:rPr>
        <w:tab/>
      </w:r>
      <w:r>
        <w:rPr>
          <w:noProof/>
        </w:rPr>
        <w:tab/>
        <w:t>9500 тона</w:t>
      </w:r>
    </w:p>
    <w:p>
      <w:pPr>
        <w:rPr>
          <w:noProof/>
        </w:rPr>
      </w:pPr>
      <w:r>
        <w:rPr>
          <w:noProof/>
        </w:rPr>
        <w:t>Гърция</w:t>
      </w:r>
      <w:r>
        <w:rPr>
          <w:noProof/>
        </w:rPr>
        <w:tab/>
      </w:r>
      <w:r>
        <w:rPr>
          <w:noProof/>
        </w:rPr>
        <w:tab/>
        <w:t>500 тона</w:t>
      </w:r>
    </w:p>
    <w:p>
      <w:pPr>
        <w:rPr>
          <w:noProof/>
        </w:rPr>
      </w:pPr>
      <w:r>
        <w:rPr>
          <w:noProof/>
        </w:rPr>
        <w:t>Италия</w:t>
      </w:r>
      <w:r>
        <w:rPr>
          <w:noProof/>
        </w:rPr>
        <w:tab/>
      </w:r>
      <w:r>
        <w:rPr>
          <w:noProof/>
        </w:rPr>
        <w:tab/>
        <w:t>1000 тона</w:t>
      </w:r>
    </w:p>
    <w:p>
      <w:pPr>
        <w:rPr>
          <w:noProof/>
        </w:rPr>
      </w:pPr>
    </w:p>
    <w:p>
      <w:pPr>
        <w:pStyle w:val="Point1"/>
        <w:rPr>
          <w:noProof/>
        </w:rPr>
      </w:pPr>
      <w:r>
        <w:rPr>
          <w:noProof/>
        </w:rPr>
        <w:t>в) траулери с оборудване за дълбоко замразяване за улов на главоноги мекотели:</w:t>
      </w:r>
    </w:p>
    <w:p>
      <w:pPr>
        <w:rPr>
          <w:noProof/>
        </w:rPr>
      </w:pPr>
      <w:r>
        <w:rPr>
          <w:noProof/>
        </w:rPr>
        <w:t>Испания</w:t>
      </w:r>
      <w:r>
        <w:rPr>
          <w:noProof/>
        </w:rPr>
        <w:tab/>
      </w:r>
      <w:r>
        <w:rPr>
          <w:noProof/>
        </w:rPr>
        <w:tab/>
        <w:t>1200 тона</w:t>
      </w:r>
    </w:p>
    <w:p>
      <w:pPr>
        <w:rPr>
          <w:noProof/>
        </w:rPr>
      </w:pPr>
      <w:r>
        <w:rPr>
          <w:noProof/>
        </w:rPr>
        <w:t>Гърция</w:t>
      </w:r>
      <w:r>
        <w:rPr>
          <w:noProof/>
        </w:rPr>
        <w:tab/>
      </w:r>
      <w:r>
        <w:rPr>
          <w:noProof/>
        </w:rPr>
        <w:tab/>
        <w:t>150 тона</w:t>
      </w:r>
    </w:p>
    <w:p>
      <w:pPr>
        <w:rPr>
          <w:noProof/>
        </w:rPr>
      </w:pPr>
      <w:r>
        <w:rPr>
          <w:noProof/>
        </w:rPr>
        <w:t>Италия</w:t>
      </w:r>
      <w:r>
        <w:rPr>
          <w:noProof/>
        </w:rPr>
        <w:tab/>
      </w:r>
      <w:r>
        <w:rPr>
          <w:noProof/>
        </w:rPr>
        <w:tab/>
        <w:t>150 тона</w:t>
      </w:r>
    </w:p>
    <w:p>
      <w:pPr>
        <w:rPr>
          <w:noProof/>
        </w:rPr>
      </w:pPr>
    </w:p>
    <w:p>
      <w:pPr>
        <w:pStyle w:val="Point1"/>
        <w:rPr>
          <w:noProof/>
        </w:rPr>
      </w:pPr>
      <w:r>
        <w:rPr>
          <w:noProof/>
        </w:rPr>
        <w:t>г) траулери за улов на дребни пелагични видове:</w:t>
      </w:r>
    </w:p>
    <w:p>
      <w:pPr>
        <w:rPr>
          <w:noProof/>
        </w:rPr>
      </w:pPr>
      <w:r>
        <w:rPr>
          <w:noProof/>
        </w:rPr>
        <w:t>Испания</w:t>
      </w:r>
      <w:r>
        <w:rPr>
          <w:noProof/>
        </w:rPr>
        <w:tab/>
      </w:r>
      <w:r>
        <w:rPr>
          <w:noProof/>
        </w:rPr>
        <w:tab/>
        <w:t>3900 тона</w:t>
      </w:r>
    </w:p>
    <w:p>
      <w:pPr>
        <w:rPr>
          <w:noProof/>
        </w:rPr>
      </w:pPr>
      <w:r>
        <w:rPr>
          <w:noProof/>
        </w:rPr>
        <w:t>Португалия</w:t>
      </w:r>
      <w:r>
        <w:rPr>
          <w:noProof/>
        </w:rPr>
        <w:tab/>
      </w:r>
      <w:r>
        <w:rPr>
          <w:noProof/>
        </w:rPr>
        <w:tab/>
        <w:t>700 тона</w:t>
      </w:r>
    </w:p>
    <w:p>
      <w:pPr>
        <w:rPr>
          <w:noProof/>
        </w:rPr>
      </w:pPr>
      <w:r>
        <w:rPr>
          <w:noProof/>
        </w:rPr>
        <w:t>Литва</w:t>
      </w:r>
      <w:r>
        <w:rPr>
          <w:noProof/>
        </w:rPr>
        <w:tab/>
      </w:r>
      <w:r>
        <w:rPr>
          <w:noProof/>
        </w:rPr>
        <w:tab/>
      </w:r>
      <w:r>
        <w:rPr>
          <w:noProof/>
        </w:rPr>
        <w:tab/>
        <w:t>6000 тона</w:t>
      </w:r>
    </w:p>
    <w:p>
      <w:pPr>
        <w:rPr>
          <w:noProof/>
        </w:rPr>
      </w:pPr>
      <w:r>
        <w:rPr>
          <w:noProof/>
        </w:rPr>
        <w:t>Латвия</w:t>
      </w:r>
      <w:r>
        <w:rPr>
          <w:noProof/>
        </w:rPr>
        <w:tab/>
      </w:r>
      <w:r>
        <w:rPr>
          <w:noProof/>
        </w:rPr>
        <w:tab/>
        <w:t>6000 тона</w:t>
      </w:r>
    </w:p>
    <w:p>
      <w:pPr>
        <w:rPr>
          <w:noProof/>
        </w:rPr>
      </w:pPr>
      <w:r>
        <w:rPr>
          <w:noProof/>
        </w:rPr>
        <w:t>Полша</w:t>
      </w:r>
      <w:r>
        <w:rPr>
          <w:noProof/>
        </w:rPr>
        <w:tab/>
      </w:r>
      <w:r>
        <w:rPr>
          <w:noProof/>
        </w:rPr>
        <w:tab/>
      </w:r>
      <w:r>
        <w:rPr>
          <w:noProof/>
        </w:rPr>
        <w:tab/>
        <w:t>1400 тона</w:t>
      </w:r>
    </w:p>
    <w:p>
      <w:pPr>
        <w:rPr>
          <w:noProof/>
        </w:rPr>
      </w:pPr>
    </w:p>
    <w:p>
      <w:pPr>
        <w:jc w:val="center"/>
        <w:rPr>
          <w:noProof/>
        </w:rPr>
      </w:pPr>
      <w:r>
        <w:rPr>
          <w:noProof/>
        </w:rPr>
        <w:t>Член 4</w:t>
      </w:r>
    </w:p>
    <w:p>
      <w:pPr>
        <w:jc w:val="center"/>
        <w:rPr>
          <w:noProof/>
        </w:rPr>
      </w:pPr>
      <w:r>
        <w:rPr>
          <w:noProof/>
        </w:rPr>
        <w:t>Далекомигриращи видове</w:t>
      </w:r>
    </w:p>
    <w:p>
      <w:pPr>
        <w:rPr>
          <w:noProof/>
        </w:rPr>
      </w:pPr>
    </w:p>
    <w:p>
      <w:pPr>
        <w:rPr>
          <w:noProof/>
        </w:rPr>
      </w:pPr>
      <w:r>
        <w:rPr>
          <w:noProof/>
        </w:rPr>
        <w:t>Възможностите за риболов на далекомигриращи видове се разпределят, както следва:</w:t>
      </w:r>
    </w:p>
    <w:p>
      <w:pPr>
        <w:rPr>
          <w:noProof/>
        </w:rPr>
      </w:pPr>
    </w:p>
    <w:p>
      <w:pPr>
        <w:pStyle w:val="Point1"/>
        <w:rPr>
          <w:noProof/>
        </w:rPr>
      </w:pPr>
      <w:r>
        <w:rPr>
          <w:noProof/>
        </w:rPr>
        <w:t>а) кораби с мрежи гъргър за улов на риба тон с оборудване за дълбоко замразяване и кораби с парагади за улов на повърхността:</w:t>
      </w:r>
    </w:p>
    <w:p>
      <w:pPr>
        <w:rPr>
          <w:noProof/>
        </w:rPr>
      </w:pPr>
      <w:r>
        <w:rPr>
          <w:noProof/>
        </w:rPr>
        <w:t>Испания:</w:t>
      </w:r>
      <w:r>
        <w:rPr>
          <w:noProof/>
        </w:rPr>
        <w:tab/>
      </w:r>
      <w:r>
        <w:rPr>
          <w:noProof/>
        </w:rPr>
        <w:tab/>
        <w:t>14</w:t>
      </w:r>
      <w:r>
        <w:rPr>
          <w:noProof/>
        </w:rPr>
        <w:tab/>
        <w:t>кораба</w:t>
      </w:r>
    </w:p>
    <w:p>
      <w:pPr>
        <w:rPr>
          <w:noProof/>
        </w:rPr>
      </w:pPr>
      <w:r>
        <w:rPr>
          <w:noProof/>
        </w:rPr>
        <w:t xml:space="preserve">Франция:   </w:t>
      </w:r>
      <w:r>
        <w:rPr>
          <w:noProof/>
        </w:rPr>
        <w:tab/>
      </w:r>
      <w:r>
        <w:rPr>
          <w:noProof/>
        </w:rPr>
        <w:tab/>
        <w:t>12</w:t>
      </w:r>
      <w:r>
        <w:rPr>
          <w:noProof/>
        </w:rPr>
        <w:tab/>
        <w:t>кораба</w:t>
      </w:r>
    </w:p>
    <w:p>
      <w:pPr>
        <w:rPr>
          <w:noProof/>
        </w:rPr>
      </w:pPr>
      <w:r>
        <w:rPr>
          <w:noProof/>
        </w:rPr>
        <w:t>Португалия:</w:t>
      </w:r>
      <w:r>
        <w:rPr>
          <w:noProof/>
        </w:rPr>
        <w:tab/>
      </w:r>
      <w:r>
        <w:rPr>
          <w:noProof/>
        </w:rPr>
        <w:tab/>
        <w:t>2</w:t>
      </w:r>
      <w:r>
        <w:rPr>
          <w:noProof/>
        </w:rPr>
        <w:tab/>
        <w:t>кораба</w:t>
      </w:r>
    </w:p>
    <w:p>
      <w:pPr>
        <w:rPr>
          <w:noProof/>
        </w:rPr>
      </w:pPr>
    </w:p>
    <w:p>
      <w:pPr>
        <w:pStyle w:val="Point1"/>
        <w:rPr>
          <w:noProof/>
        </w:rPr>
      </w:pPr>
      <w:r>
        <w:rPr>
          <w:noProof/>
        </w:rPr>
        <w:t>б) кораби за улов на риба тон с въдици:</w:t>
      </w:r>
    </w:p>
    <w:p>
      <w:pPr>
        <w:rPr>
          <w:noProof/>
        </w:rPr>
      </w:pPr>
      <w:r>
        <w:rPr>
          <w:noProof/>
        </w:rPr>
        <w:t>Испания</w:t>
      </w:r>
      <w:r>
        <w:rPr>
          <w:noProof/>
        </w:rPr>
        <w:tab/>
      </w:r>
      <w:r>
        <w:rPr>
          <w:noProof/>
        </w:rPr>
        <w:tab/>
        <w:t>10</w:t>
      </w:r>
      <w:r>
        <w:rPr>
          <w:noProof/>
        </w:rPr>
        <w:tab/>
        <w:t>кораба</w:t>
      </w:r>
    </w:p>
    <w:p>
      <w:pPr>
        <w:rPr>
          <w:noProof/>
        </w:rPr>
      </w:pPr>
      <w:r>
        <w:rPr>
          <w:noProof/>
        </w:rPr>
        <w:t xml:space="preserve">Франция </w:t>
      </w:r>
      <w:r>
        <w:rPr>
          <w:noProof/>
        </w:rPr>
        <w:tab/>
      </w:r>
      <w:r>
        <w:rPr>
          <w:noProof/>
        </w:rPr>
        <w:tab/>
        <w:t>3</w:t>
      </w:r>
      <w:r>
        <w:rPr>
          <w:noProof/>
        </w:rPr>
        <w:tab/>
        <w:t>кораба</w:t>
      </w:r>
    </w:p>
    <w:p>
      <w:pPr>
        <w:rPr>
          <w:noProof/>
        </w:rPr>
      </w:pPr>
    </w:p>
    <w:p>
      <w:pPr>
        <w:pStyle w:val="Titrearticle"/>
        <w:rPr>
          <w:noProof/>
        </w:rPr>
      </w:pPr>
      <w:r>
        <w:rPr>
          <w:noProof/>
        </w:rPr>
        <w:t>Член 5</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w:t>
      </w:r>
      <w:r>
        <w:rPr>
          <w:i/>
          <w:noProof/>
          <w:highlight w:val="yellow"/>
        </w:rPr>
        <w:t>да се въведе датата на подписване</w:t>
      </w:r>
      <w:r>
        <w:rPr>
          <w:i/>
          <w:noProof/>
        </w:rPr>
        <w:t xml:space="preserve"> </w:t>
      </w:r>
      <w:r>
        <w:rPr>
          <w:noProof/>
        </w:rPr>
        <w:t>на протокола].</w:t>
      </w:r>
    </w:p>
    <w:p>
      <w:pPr>
        <w:rPr>
          <w:noProof/>
        </w:rPr>
      </w:pPr>
    </w:p>
    <w:p>
      <w:pPr>
        <w:rPr>
          <w:noProof/>
        </w:rPr>
      </w:pPr>
      <w:r>
        <w:rPr>
          <w:noProof/>
        </w:rPr>
        <w:t>Настоящият регламент е задължителен в своята цялост и се прилага пряко във всички държави членки.</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Приети на заседанието на Съвета по околна среда, проведено на 28 февруари 2017 г.</w:t>
      </w:r>
    </w:p>
  </w:footnote>
  <w:footnote w:id="2">
    <w:p>
      <w:pPr>
        <w:pStyle w:val="FootnoteText"/>
        <w:rPr>
          <w:lang w:val="ru-RU"/>
        </w:rPr>
      </w:pPr>
      <w:r>
        <w:rPr>
          <w:rStyle w:val="FootnoteReference"/>
        </w:rPr>
        <w:footnoteRef/>
      </w:r>
      <w:r>
        <w:tab/>
        <w:t>ОВ L 342, 17.12.2007 г., стр. 5.</w:t>
      </w:r>
    </w:p>
  </w:footnote>
  <w:footnote w:id="3">
    <w:p>
      <w:pPr>
        <w:pStyle w:val="FootnoteText"/>
        <w:rPr>
          <w:lang w:val="ru-RU"/>
        </w:rPr>
      </w:pPr>
      <w:r>
        <w:rPr>
          <w:rStyle w:val="FootnoteReference"/>
        </w:rPr>
        <w:footnoteRef/>
      </w:r>
      <w:r>
        <w:tab/>
        <w:t>ОВ L 354, 28.12.2013 г., стр. 22.</w:t>
      </w:r>
    </w:p>
  </w:footnote>
  <w:footnote w:id="4">
    <w:p>
      <w:pPr>
        <w:pStyle w:val="FootnoteText"/>
        <w:ind w:left="0" w:firstLine="0"/>
        <w:rPr>
          <w:lang w:val="ru-RU"/>
        </w:rPr>
      </w:pPr>
      <w:r>
        <w:rPr>
          <w:rStyle w:val="FootnoteReference"/>
        </w:rPr>
        <w:footnoteRef/>
      </w:r>
      <w:r>
        <w:tab/>
        <w:t>Регламент (ЕО) № 241/2008 на Съвета от 17 март 2008 г. за сключване на Споразумението за партньорство в областта на рибарството между Европейската общност и Република Гвинея Бисау (ОВ L 75, 18.3.2008 г., стр. 49).</w:t>
      </w:r>
    </w:p>
  </w:footnote>
  <w:footnote w:id="5">
    <w:p>
      <w:pPr>
        <w:pStyle w:val="FootnoteText"/>
        <w:rPr>
          <w:lang w:val="ru-RU"/>
        </w:rPr>
      </w:pPr>
      <w:r>
        <w:rPr>
          <w:rStyle w:val="FootnoteReference"/>
        </w:rPr>
        <w:footnoteRef/>
      </w:r>
      <w:r>
        <w:tab/>
        <w:t>ОВ L 342, 27.12.2007 г., стр. 5.</w:t>
      </w:r>
    </w:p>
  </w:footnote>
  <w:footnote w:id="6">
    <w:p>
      <w:pPr>
        <w:pStyle w:val="FootnoteText"/>
        <w:ind w:left="0" w:firstLine="0"/>
        <w:rPr>
          <w:lang w:val="nb-NO"/>
        </w:rPr>
      </w:pPr>
      <w:r>
        <w:rPr>
          <w:rStyle w:val="FootnoteReference"/>
        </w:rPr>
        <w:footnoteRef/>
      </w:r>
      <w:r>
        <w:tab/>
        <w:t>Решение … (ОВ L ..., ... г.,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A5E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680D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0A00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4049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EC92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768E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68EBEA"/>
    <w:lvl w:ilvl="0">
      <w:start w:val="1"/>
      <w:numFmt w:val="decimal"/>
      <w:pStyle w:val="ListNumber"/>
      <w:lvlText w:val="%1."/>
      <w:lvlJc w:val="left"/>
      <w:pPr>
        <w:tabs>
          <w:tab w:val="num" w:pos="360"/>
        </w:tabs>
        <w:ind w:left="360" w:hanging="360"/>
      </w:pPr>
    </w:lvl>
  </w:abstractNum>
  <w:abstractNum w:abstractNumId="7">
    <w:nsid w:val="FFFFFF89"/>
    <w:multiLevelType w:val="singleLevel"/>
    <w:tmpl w:val="0BBC8B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4 09:24: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057DD8A-89BA-46F6-B8E2-55728BEB5DCC"/>
    <w:docVar w:name="LW_COVERPAGE_TYPE" w:val="1"/>
    <w:docVar w:name="LW_CROSSREFERENCE" w:val="&lt;UNUSED&gt;"/>
    <w:docVar w:name="LW_DocType" w:val="COM"/>
    <w:docVar w:name="LW_EMISSION" w:val="10.4.2019"/>
    <w:docVar w:name="LW_EMISSION_ISODATE" w:val="2019-04-10"/>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2"/>
    <w:docVar w:name="LW_REF.II.NEW.CP_YEAR" w:val="2019"/>
    <w:docVar w:name="LW_REF.INST.NEW" w:val="COM"/>
    <w:docVar w:name="LW_REF.INST.NEW_ADOPTED" w:val="final"/>
    <w:docVar w:name="LW_REF.INST.NEW_TEXT" w:val="(2019)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8?\u1072?\u1079?\u1087?\u1088?\u1077?\u1076?\u1077?\u1083?\u1103?\u1085?\u1077?\u1090?\u1086? \u1085?\u1072? \u1074?\u1098?\u1079?\u1084?\u1086?\u1078?\u1085?\u1086?\u1089?\u1090?\u1080?\u1090?\u1077? \u1079?\u1072? \u1088?\u1080?\u1073?\u1086?\u1083?\u1086?\u1074? \u1089?\u1098?\u1075?\u1083?\u1072?\u1089?\u1085?\u1086?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56?\u1077?\u1087?\u1091?\u1073?\u1083?\u1080?\u1082?\u1072? \u1043?\u1074?\u1080?\u1085?\u1077?\u1103? \u1041?\u1080?\u1089?\u1072?\u1091? (2019\u8212?2024 \u1075?.)"/>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umPar1">
    <w:name w:val="umPar 1"/>
    <w:basedOn w:val="NumPar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umPar1">
    <w:name w:val="umPar 1"/>
    <w:basedOn w:val="NumPar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931443-81D0-4973-AE5D-431FFE09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1378</Words>
  <Characters>7870</Characters>
  <Application>Microsoft Office Word</Application>
  <DocSecurity>0</DocSecurity>
  <Lines>212</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2019-02-19T18:10:00Z</cp:lastPrinted>
  <dcterms:created xsi:type="dcterms:W3CDTF">2019-04-02T13:29:00Z</dcterms:created>
  <dcterms:modified xsi:type="dcterms:W3CDTF">2019-04-04T07:24:00Z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