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9C0D2D-AD9C-499B-9962-C5D8C4454422" style="width:450.45pt;height:365.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lang w:val="fr-BE"/>
        </w:rPr>
      </w:pPr>
      <w:bookmarkStart w:id="0" w:name="_GoBack"/>
      <w:bookmarkEnd w:id="0"/>
      <w:r>
        <w:rPr>
          <w:noProof/>
          <w:lang w:val="fr-BE"/>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rFonts w:eastAsia="Arial Unicode MS"/>
          <w:noProof/>
          <w:color w:val="000000"/>
          <w:u w:color="000000"/>
          <w:bdr w:val="nil"/>
          <w:lang w:eastAsia="en-GB"/>
        </w:rPr>
        <w:t>•</w:t>
      </w:r>
      <w:r>
        <w:rPr>
          <w:rFonts w:eastAsia="Arial Unicode MS"/>
          <w:noProof/>
          <w:color w:val="000000"/>
          <w:u w:color="000000"/>
          <w:bdr w:val="nil"/>
          <w:lang w:eastAsia="en-GB"/>
        </w:rPr>
        <w:tab/>
        <w:t>Justification et objectifs de la proposition</w:t>
      </w:r>
    </w:p>
    <w:p>
      <w:pPr>
        <w:pBdr>
          <w:top w:val="nil"/>
          <w:left w:val="nil"/>
          <w:bottom w:val="nil"/>
          <w:right w:val="nil"/>
          <w:between w:val="nil"/>
          <w:bar w:val="nil"/>
        </w:pBdr>
        <w:spacing w:before="0" w:after="240"/>
        <w:rPr>
          <w:rFonts w:eastAsia="Arial Unicode MS"/>
          <w:noProof/>
          <w:lang w:val="fr-BE"/>
        </w:rPr>
      </w:pPr>
      <w:r>
        <w:rPr>
          <w:rFonts w:eastAsia="Arial Unicode MS"/>
          <w:noProof/>
          <w:lang w:val="fr-BE"/>
        </w:rPr>
        <w:t xml:space="preserve">L’accord de partenariat dans le secteur de la pêche entre la Communauté européenne et la République de </w:t>
      </w:r>
      <w:r>
        <w:rPr>
          <w:noProof/>
          <w:lang w:val="fr-BE"/>
        </w:rPr>
        <w:t xml:space="preserve">Guinée Bissau </w:t>
      </w:r>
      <w:r>
        <w:rPr>
          <w:rFonts w:eastAsia="Arial Unicode MS"/>
          <w:noProof/>
          <w:lang w:val="fr-BE"/>
        </w:rPr>
        <w:t xml:space="preserve">est entré en vigueur le 15 avril 2008. Le dernier protocole à l'accord est entré en vigueur le 24 novembre 2014 et est arrivé à expiration le 23 novembre 2017. </w:t>
      </w:r>
    </w:p>
    <w:p>
      <w:pPr>
        <w:pBdr>
          <w:top w:val="nil"/>
          <w:left w:val="nil"/>
          <w:bottom w:val="nil"/>
          <w:right w:val="nil"/>
          <w:between w:val="nil"/>
          <w:bar w:val="nil"/>
        </w:pBdr>
        <w:spacing w:before="0" w:after="240"/>
        <w:rPr>
          <w:rFonts w:eastAsia="Arial Unicode MS"/>
          <w:noProof/>
        </w:rPr>
      </w:pPr>
      <w:r>
        <w:rPr>
          <w:rFonts w:eastAsia="Arial Unicode MS"/>
          <w:noProof/>
          <w:lang w:val="fr-BE"/>
        </w:rPr>
        <w:t>Sur la base des directives de négociation pertinentes</w:t>
      </w:r>
      <w:r>
        <w:rPr>
          <w:rStyle w:val="FootnoteReference"/>
          <w:rFonts w:eastAsia="Arial Unicode MS"/>
          <w:noProof/>
          <w:lang w:val="fr-BE"/>
        </w:rPr>
        <w:footnoteReference w:id="1"/>
      </w:r>
      <w:r>
        <w:rPr>
          <w:rFonts w:eastAsia="Arial Unicode MS"/>
          <w:noProof/>
          <w:lang w:val="fr-BE"/>
        </w:rPr>
        <w:t xml:space="preserve">, la Commission a mené des négociations avec le gouvernement de la République de </w:t>
      </w:r>
      <w:r>
        <w:rPr>
          <w:noProof/>
          <w:lang w:val="fr-BE"/>
        </w:rPr>
        <w:t xml:space="preserve">Guinée Bissau </w:t>
      </w:r>
      <w:r>
        <w:rPr>
          <w:rFonts w:eastAsia="Arial Unicode MS"/>
          <w:noProof/>
          <w:lang w:val="fr-BE"/>
        </w:rPr>
        <w:t xml:space="preserve">en vue de la conclusion d’un nouveau protocole à l’accord de partenariat dans le secteur de la pêche entre la Communauté européenne et la République de </w:t>
      </w:r>
      <w:r>
        <w:rPr>
          <w:noProof/>
          <w:lang w:val="fr-BE"/>
        </w:rPr>
        <w:t>Guinée Bissau</w:t>
      </w:r>
      <w:r>
        <w:rPr>
          <w:rStyle w:val="FootnoteReference"/>
          <w:rFonts w:eastAsia="Arial Unicode MS"/>
          <w:noProof/>
          <w:lang w:val="fr-BE"/>
        </w:rPr>
        <w:footnoteReference w:id="2"/>
      </w:r>
      <w:r>
        <w:rPr>
          <w:rFonts w:eastAsia="Arial Unicode MS"/>
          <w:noProof/>
          <w:lang w:val="fr-BE"/>
        </w:rPr>
        <w:t>. À l'issue de ces négociations, un nouveau protocole a été paraphé le 15 novembre 2018. Le protocole couvre une période de cinq ans à compter de la date de son entrée en application provisoire, c’est-à-dire à partir de la date de sa signature, comme l’indique son article 16.</w:t>
      </w:r>
    </w:p>
    <w:p>
      <w:pPr>
        <w:pStyle w:val="ManualHeading2"/>
        <w:rPr>
          <w:rFonts w:eastAsia="Arial Unicode MS"/>
          <w:noProof/>
          <w:color w:val="000000"/>
          <w:u w:color="000000"/>
          <w:bdr w:val="nil"/>
          <w:lang w:eastAsia="en-GB"/>
        </w:rPr>
      </w:pPr>
      <w:r>
        <w:rPr>
          <w:rFonts w:eastAsia="Arial Unicode MS"/>
          <w:noProof/>
          <w:color w:val="000000"/>
          <w:u w:color="000000"/>
          <w:bdr w:val="nil"/>
          <w:lang w:eastAsia="en-GB"/>
        </w:rPr>
        <w:t>•</w:t>
      </w:r>
      <w:r>
        <w:rPr>
          <w:rFonts w:eastAsia="Arial Unicode MS"/>
          <w:noProof/>
          <w:color w:val="000000"/>
          <w:u w:color="000000"/>
          <w:bdr w:val="nil"/>
          <w:lang w:eastAsia="en-GB"/>
        </w:rPr>
        <w:tab/>
        <w:t>Cohérence avec les dispositions existantes dans le domaine d'action</w:t>
      </w:r>
    </w:p>
    <w:p>
      <w:pPr>
        <w:pBdr>
          <w:top w:val="nil"/>
          <w:left w:val="nil"/>
          <w:bottom w:val="nil"/>
          <w:right w:val="nil"/>
          <w:between w:val="nil"/>
          <w:bar w:val="nil"/>
        </w:pBdr>
        <w:spacing w:before="0" w:after="240"/>
        <w:rPr>
          <w:noProof/>
        </w:rPr>
      </w:pPr>
      <w:r>
        <w:rPr>
          <w:noProof/>
        </w:rPr>
        <w:t>En accord avec les priorités de la réforme de la politique de la pêche</w:t>
      </w:r>
      <w:r>
        <w:rPr>
          <w:rStyle w:val="FootnoteReference"/>
          <w:noProof/>
        </w:rPr>
        <w:footnoteReference w:id="3"/>
      </w:r>
      <w:r>
        <w:rPr>
          <w:noProof/>
        </w:rPr>
        <w:t xml:space="preserve">, le nouveau protocole offre des possibilités de pêche pour les navires de l'Union dans les eaux de </w:t>
      </w:r>
      <w:r>
        <w:rPr>
          <w:noProof/>
          <w:lang w:val="fr-BE"/>
        </w:rPr>
        <w:t>Guinée Bissau</w:t>
      </w:r>
      <w:r>
        <w:rPr>
          <w:noProof/>
        </w:rPr>
        <w:t xml:space="preserve">, sur la base des meilleurs avis scientifiques disponibles et dans le respect des recommandations de la Commission internationale pour la conservation des thonidés de l'atlantique (CICTA). Ce nouveau protocole tient compte des résultats d’une évaluation du dernier protocole (2014-2018) et d’une évaluation prospective de l’opportunité de conclure un nouveau protocole. Ces deux évaluations ont été effectuées par des experts externes. Le protocole permettra également à l’Union européenne et à la République de </w:t>
      </w:r>
      <w:r>
        <w:rPr>
          <w:noProof/>
          <w:lang w:val="fr-BE"/>
        </w:rPr>
        <w:t xml:space="preserve">Guinée Bissau </w:t>
      </w:r>
      <w:r>
        <w:rPr>
          <w:noProof/>
        </w:rPr>
        <w:t xml:space="preserve">de collaborer plus étroitement afin de promouvoir l’exploitation responsable des ressources halieutiques dans les eaux de </w:t>
      </w:r>
      <w:r>
        <w:rPr>
          <w:noProof/>
          <w:lang w:val="fr-BE"/>
        </w:rPr>
        <w:t xml:space="preserve">Guinée Bissau </w:t>
      </w:r>
      <w:r>
        <w:rPr>
          <w:noProof/>
        </w:rPr>
        <w:t xml:space="preserve">et de soutenir les efforts de </w:t>
      </w:r>
      <w:r>
        <w:rPr>
          <w:noProof/>
          <w:lang w:val="fr-BE"/>
        </w:rPr>
        <w:t xml:space="preserve">Guinée Bissau </w:t>
      </w:r>
      <w:r>
        <w:rPr>
          <w:noProof/>
        </w:rPr>
        <w:t xml:space="preserve">visant à développer son économie bleue, dans l’intérêt des deux parties. </w:t>
      </w:r>
    </w:p>
    <w:p>
      <w:pPr>
        <w:spacing w:before="0" w:after="240"/>
        <w:rPr>
          <w:noProof/>
        </w:rPr>
      </w:pPr>
      <w:r>
        <w:rPr>
          <w:noProof/>
        </w:rPr>
        <w:t>Le protocole prévoit des possibilités de pêche dans les catégories suivantes:</w:t>
      </w:r>
    </w:p>
    <w:p>
      <w:pPr>
        <w:pStyle w:val="Point0number"/>
        <w:numPr>
          <w:ilvl w:val="0"/>
          <w:numId w:val="18"/>
        </w:numPr>
        <w:spacing w:before="0"/>
        <w:rPr>
          <w:noProof/>
        </w:rPr>
      </w:pPr>
      <w:r>
        <w:rPr>
          <w:noProof/>
        </w:rPr>
        <w:t>chalutiers crevettiers congélateurs ;</w:t>
      </w:r>
    </w:p>
    <w:p>
      <w:pPr>
        <w:pStyle w:val="Point0number"/>
        <w:numPr>
          <w:ilvl w:val="0"/>
          <w:numId w:val="18"/>
        </w:numPr>
        <w:rPr>
          <w:noProof/>
        </w:rPr>
      </w:pPr>
      <w:r>
        <w:rPr>
          <w:noProof/>
        </w:rPr>
        <w:t>chalutiers congélateurs poissonniers et céphalopodiers ;</w:t>
      </w:r>
    </w:p>
    <w:p>
      <w:pPr>
        <w:pStyle w:val="Point0number"/>
        <w:rPr>
          <w:noProof/>
        </w:rPr>
      </w:pPr>
      <w:r>
        <w:rPr>
          <w:noProof/>
        </w:rPr>
        <w:t>chalutiers pour petits pélagiques ;</w:t>
      </w:r>
    </w:p>
    <w:p>
      <w:pPr>
        <w:pStyle w:val="Point0number"/>
        <w:rPr>
          <w:noProof/>
        </w:rPr>
      </w:pPr>
      <w:r>
        <w:rPr>
          <w:noProof/>
        </w:rPr>
        <w:t>thoniers senneurs congélateurs et palangriers ;</w:t>
      </w:r>
    </w:p>
    <w:p>
      <w:pPr>
        <w:pStyle w:val="Point0number"/>
        <w:rPr>
          <w:noProof/>
        </w:rPr>
      </w:pPr>
      <w:r>
        <w:rPr>
          <w:noProof/>
        </w:rPr>
        <w:t>thoniers</w:t>
      </w:r>
      <w:r>
        <w:rPr>
          <w:noProof/>
          <w:lang w:val="fr-BE"/>
        </w:rPr>
        <w:t xml:space="preserve"> canneurs.</w:t>
      </w:r>
    </w:p>
    <w:p>
      <w:pPr>
        <w:spacing w:before="0" w:after="240"/>
        <w:rPr>
          <w:noProof/>
          <w:lang w:val="fr-BE"/>
        </w:rPr>
      </w:pPr>
      <w:r>
        <w:rPr>
          <w:noProof/>
          <w:lang w:val="fr-BE"/>
        </w:rPr>
        <w:t>Pour les premières trois catégories, les possibilités de pêche sont exprimées en efforts de pêche (TJB) pour les deux premières années, et en limite de captures (TAC) pour les trois dernières années.</w:t>
      </w:r>
    </w:p>
    <w:p>
      <w:pPr>
        <w:pStyle w:val="ManualHeading2"/>
        <w:rPr>
          <w:rFonts w:eastAsia="Arial Unicode MS"/>
          <w:noProof/>
        </w:rPr>
      </w:pPr>
      <w:r>
        <w:rPr>
          <w:rFonts w:eastAsia="Arial Unicode MS"/>
          <w:noProof/>
          <w:color w:val="000000"/>
          <w:u w:color="000000"/>
          <w:bdr w:val="nil"/>
          <w:lang w:eastAsia="en-GB"/>
        </w:rPr>
        <w:lastRenderedPageBreak/>
        <w:t>•</w:t>
      </w:r>
      <w:r>
        <w:rPr>
          <w:rFonts w:eastAsia="Arial Unicode MS"/>
          <w:noProof/>
          <w:color w:val="000000"/>
          <w:u w:color="000000"/>
          <w:bdr w:val="nil"/>
          <w:lang w:eastAsia="en-GB"/>
        </w:rPr>
        <w:tab/>
        <w:t>Cohérence avec les autres politiques de l'Union</w:t>
      </w:r>
    </w:p>
    <w:p>
      <w:pPr>
        <w:pBdr>
          <w:top w:val="nil"/>
          <w:left w:val="nil"/>
          <w:bottom w:val="nil"/>
          <w:right w:val="nil"/>
          <w:between w:val="nil"/>
          <w:bar w:val="nil"/>
        </w:pBdr>
        <w:spacing w:before="0" w:after="240"/>
        <w:rPr>
          <w:noProof/>
        </w:rPr>
      </w:pPr>
      <w:r>
        <w:rPr>
          <w:noProof/>
        </w:rPr>
        <w:t xml:space="preserve">La négociation d'un nouveau protocole à l’accord de partenariat dans le secteur de la pêche avec </w:t>
      </w:r>
      <w:r>
        <w:rPr>
          <w:noProof/>
          <w:lang w:val="fr-BE"/>
        </w:rPr>
        <w:t xml:space="preserve">Guinée Bissau </w:t>
      </w:r>
      <w:r>
        <w:rPr>
          <w:noProof/>
        </w:rPr>
        <w:t>s'inscrit dans le cadre de l'action extérieure de l'UE envers les pays ACP, et tient compte en particulier des objectifs de l'Union en matière de respect des principes démocratiques et des droits de l'homme.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Base juridique</w:t>
      </w:r>
    </w:p>
    <w:p>
      <w:pPr>
        <w:keepNext/>
        <w:rPr>
          <w:noProof/>
          <w:sz w:val="22"/>
        </w:rPr>
      </w:pPr>
      <w:r>
        <w:rPr>
          <w:noProof/>
        </w:rPr>
        <w:t xml:space="preserve">La base légale choisie est le Traité sur le fonctionnement de l'Union européenne, dont l'article 43(2) établit la politique commune de la pêche et l'article 218(5) établit l'étape concernée de la procédure de négociation et de conclusion d'accords entre l'Union et les pays tiers.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Subsidiarité (en cas de compétence non exclusive)</w:t>
      </w:r>
    </w:p>
    <w:p>
      <w:pPr>
        <w:keepNext/>
        <w:rPr>
          <w:noProof/>
          <w:sz w:val="22"/>
        </w:rPr>
      </w:pPr>
      <w:r>
        <w:rPr>
          <w:noProof/>
        </w:rPr>
        <w:t>La proposition relève de la compétence exclusive de l'Union européenne.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Proportionnalité</w:t>
      </w:r>
    </w:p>
    <w:p>
      <w:pPr>
        <w:keepNext/>
        <w:rPr>
          <w:noProof/>
          <w:sz w:val="22"/>
        </w:rPr>
      </w:pPr>
      <w:r>
        <w:rPr>
          <w:noProof/>
        </w:rPr>
        <w:t xml:space="preserve">La proposition est proportionnée à l'objectif d'établir un cadre de gouvernance juridique, environnementale, économique et sociale pour les activités de pêche menées par les navires de l'Union dans les eaux de pays tiers, fixé par l'article 31 du règlement établissant la politique commune de la pêche. Elle se conforme à ces dispositions ainsi qu'à celles relatives à l'aide financière au pays tiers fixées à l'article 32 de ce même règlement. </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Évaluations ex post/bilans de qualité de la législation existante</w:t>
      </w:r>
    </w:p>
    <w:p>
      <w:pPr>
        <w:rPr>
          <w:noProof/>
        </w:rPr>
      </w:pPr>
      <w:r>
        <w:rPr>
          <w:noProof/>
        </w:rPr>
        <w:t xml:space="preserve">La Commission a réalisé en 2016 une évaluation ex-post du protocole actuel à l’accord de partenariat dans le secteur de la pêche entre l'Union européenne et </w:t>
      </w:r>
      <w:r>
        <w:rPr>
          <w:noProof/>
          <w:lang w:val="fr-BE"/>
        </w:rPr>
        <w:t>Guinée Bissau</w:t>
      </w:r>
      <w:r>
        <w:rPr>
          <w:noProof/>
        </w:rPr>
        <w:t>, ainsi qu'une évaluation ex-ante d'un éventuel renouvellement du protocole. Les conclusions de l'évaluation sont exposées dans un document de travail distinct</w:t>
      </w:r>
      <w:r>
        <w:rPr>
          <w:rStyle w:val="FootnoteReference"/>
          <w:rFonts w:eastAsia="Arial Unicode MS"/>
          <w:noProof/>
          <w:lang w:val="fr-BE"/>
        </w:rPr>
        <w:footnoteReference w:id="4"/>
      </w:r>
      <w:r>
        <w:rPr>
          <w:noProof/>
        </w:rPr>
        <w:t>.</w:t>
      </w:r>
    </w:p>
    <w:p>
      <w:pPr>
        <w:rPr>
          <w:noProof/>
        </w:rPr>
      </w:pPr>
      <w:r>
        <w:rPr>
          <w:noProof/>
        </w:rPr>
        <w:t xml:space="preserve">L'évaluation a conclu que le secteur de la pêche thonière de l'UE est fortement intéressé par la pêche à </w:t>
      </w:r>
      <w:r>
        <w:rPr>
          <w:noProof/>
          <w:lang w:val="fr-BE"/>
        </w:rPr>
        <w:t xml:space="preserve">Guinée Bissau </w:t>
      </w:r>
      <w:r>
        <w:rPr>
          <w:noProof/>
        </w:rPr>
        <w:t xml:space="preserve">et qu'un renouvellement du protocole contribuerait à renforcer le suivi, le contrôle et la surveillance et à améliorer la gouvernance des pêches dans la région. </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Consultation des parties intéressées</w:t>
      </w:r>
    </w:p>
    <w:p>
      <w:pPr>
        <w:pBdr>
          <w:top w:val="nil"/>
          <w:left w:val="nil"/>
          <w:bottom w:val="nil"/>
          <w:right w:val="nil"/>
          <w:between w:val="nil"/>
          <w:bar w:val="nil"/>
        </w:pBdr>
        <w:spacing w:before="0" w:after="240"/>
        <w:rPr>
          <w:rFonts w:eastAsia="Arial Unicode MS"/>
          <w:noProof/>
          <w:lang w:val="fr-BE"/>
        </w:rPr>
      </w:pPr>
      <w:r>
        <w:rPr>
          <w:noProof/>
        </w:rPr>
        <w:t xml:space="preserve">Les États membres, des représentants du secteur, des organisations internationales de la société civile ainsi que l'administration des pêches et des représentants de la société civile de </w:t>
      </w:r>
      <w:r>
        <w:rPr>
          <w:noProof/>
          <w:lang w:val="fr-BE"/>
        </w:rPr>
        <w:t xml:space="preserve">Guinée Bissau </w:t>
      </w:r>
      <w:r>
        <w:rPr>
          <w:noProof/>
        </w:rPr>
        <w:t>ont été consultés dans le cadre de l'évaluation. Des consultations ont également eu lieu dans le cadre du Conseil consultatif pour la pêche lointaine.</w:t>
      </w:r>
    </w:p>
    <w:p>
      <w:pPr>
        <w:pStyle w:val="ManualHeading2"/>
        <w:rPr>
          <w:rFonts w:eastAsia="Arial Unicode MS"/>
          <w:noProof/>
          <w:u w:color="000000"/>
          <w:bdr w:val="nil"/>
          <w:lang w:val="fr-BE" w:eastAsia="en-GB"/>
        </w:rPr>
      </w:pPr>
      <w:r>
        <w:rPr>
          <w:rFonts w:eastAsia="Arial Unicode MS"/>
          <w:noProof/>
          <w:u w:color="000000"/>
          <w:bdr w:val="nil"/>
          <w:lang w:val="fr-BE" w:eastAsia="en-GB"/>
        </w:rPr>
        <w:t>•</w:t>
      </w:r>
      <w:r>
        <w:rPr>
          <w:rFonts w:eastAsia="Arial Unicode MS"/>
          <w:noProof/>
          <w:u w:color="000000"/>
          <w:bdr w:val="nil"/>
          <w:lang w:val="fr-BE" w:eastAsia="en-GB"/>
        </w:rPr>
        <w:tab/>
        <w:t>Obtention et utilisation d'expertise</w:t>
      </w:r>
    </w:p>
    <w:p>
      <w:pPr>
        <w:spacing w:before="0" w:after="240"/>
        <w:rPr>
          <w:noProof/>
        </w:rPr>
      </w:pPr>
      <w:r>
        <w:rPr>
          <w:noProof/>
        </w:rPr>
        <w:t xml:space="preserve">La Commission a fait appel à un consultant indépendant pour les évaluations ex post et ex ante, en conformité avec les dispositions de l'article 31 paragraphe 10 du règlement établissant la politique commune de la pêche. </w:t>
      </w:r>
    </w:p>
    <w:p>
      <w:pPr>
        <w:pStyle w:val="ManualHeading1"/>
        <w:rPr>
          <w:noProof/>
          <w:lang w:val="fr-BE"/>
        </w:rPr>
      </w:pPr>
      <w:r>
        <w:rPr>
          <w:noProof/>
          <w:lang w:val="fr-BE"/>
        </w:rPr>
        <w:lastRenderedPageBreak/>
        <w:t>4.</w:t>
      </w:r>
      <w:r>
        <w:rPr>
          <w:noProof/>
          <w:lang w:val="fr-BE"/>
        </w:rPr>
        <w:tab/>
        <w:t>INCIDENCE BUDGÉTAIRE</w:t>
      </w:r>
    </w:p>
    <w:p>
      <w:pPr>
        <w:rPr>
          <w:noProof/>
        </w:rPr>
      </w:pPr>
      <w:r>
        <w:rPr>
          <w:noProof/>
        </w:rPr>
        <w:t>La contrepartie financière annuelle de l’Union européenne s’élève à 15600 000 EUR, sur la base :</w:t>
      </w:r>
    </w:p>
    <w:p>
      <w:pPr>
        <w:rPr>
          <w:noProof/>
        </w:rPr>
      </w:pPr>
      <w:r>
        <w:rPr>
          <w:noProof/>
        </w:rPr>
        <w:t>a) d’un montant annuel pour l’accès aux ressources halieutiques, pour les catégories prévues dans le protocole, fixé à 11600 000 EUR par an pour toute la durée du protocole.</w:t>
      </w:r>
    </w:p>
    <w:p>
      <w:pPr>
        <w:rPr>
          <w:noProof/>
        </w:rPr>
      </w:pPr>
      <w:r>
        <w:rPr>
          <w:noProof/>
        </w:rPr>
        <w:t xml:space="preserve">b) d’un appui au développement de la politique sectorielle de la pêche et l'économie bleu de </w:t>
      </w:r>
      <w:r>
        <w:rPr>
          <w:noProof/>
          <w:lang w:val="fr-BE"/>
        </w:rPr>
        <w:t xml:space="preserve">Guinée Bissau </w:t>
      </w:r>
      <w:r>
        <w:rPr>
          <w:noProof/>
        </w:rPr>
        <w:t>pour un montant de 4000 000 EUR par an pour toute la durée du protocole. Cet appui répond aux objectifs de la politique nationale en matière de gestion durable des ressources halieutiques continentales et maritimes de pour toute la durée du protocole.</w:t>
      </w:r>
    </w:p>
    <w:p>
      <w:pPr>
        <w:rPr>
          <w:noProof/>
          <w:lang w:val="fr-BE"/>
        </w:rPr>
      </w:pPr>
      <w:r>
        <w:rPr>
          <w:noProof/>
          <w:lang w:val="fr-BE"/>
        </w:rPr>
        <w:t>Le montant annuel pour les crédits d'engagement et paiement est établi lors de la procédure budgétaire annuelle, y compris pour la ligne de la réserve pour les protocoles n'étant pas encore entrés en vigueur au début de l'année</w:t>
      </w:r>
      <w:r>
        <w:rPr>
          <w:rStyle w:val="FootnoteReference"/>
          <w:noProof/>
          <w:lang w:val="fr-BE"/>
        </w:rPr>
        <w:footnoteReference w:id="5"/>
      </w:r>
      <w:r>
        <w:rPr>
          <w:noProof/>
          <w:lang w:val="fr-BE"/>
        </w:rPr>
        <w:t>.</w:t>
      </w:r>
    </w:p>
    <w:p>
      <w:pPr>
        <w:pStyle w:val="ManualHeading1"/>
        <w:rPr>
          <w:noProof/>
        </w:rPr>
      </w:pPr>
      <w:r>
        <w:rPr>
          <w:noProof/>
        </w:rPr>
        <w:t>5.</w:t>
      </w:r>
      <w:r>
        <w:rPr>
          <w:noProof/>
        </w:rPr>
        <w:tab/>
        <w:t>AUTRES ÉLÉMENTS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Plans de mise en œuvre et modalités de suivi, d'évaluation et d'information</w:t>
      </w:r>
    </w:p>
    <w:p>
      <w:pPr>
        <w:rPr>
          <w:noProof/>
        </w:rPr>
      </w:pPr>
      <w:r>
        <w:rPr>
          <w:noProof/>
        </w:rPr>
        <w:t>Les modalités de suivi sont prévues dans le Protocole.</w:t>
      </w:r>
    </w:p>
    <w:p>
      <w:pPr>
        <w:rPr>
          <w:noProof/>
          <w:lang w:val="fr-BE"/>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2019/0091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et à l'application provisoire du protocole relatif à la mise en œuvre de l'accord de partenariat dans le secteur de la pêche entre la Communauté européenne et la République de Guinée Bissau (2019-2024) </w:t>
      </w:r>
    </w:p>
    <w:p>
      <w:pPr>
        <w:pStyle w:val="Institutionquiagit"/>
        <w:rPr>
          <w:noProof/>
        </w:rPr>
      </w:pPr>
      <w:r>
        <w:rPr>
          <w:noProof/>
        </w:rPr>
        <w:t>LE CONSEIL DE L’UNION EUROPÉENNE,</w:t>
      </w:r>
    </w:p>
    <w:p>
      <w:pPr>
        <w:rPr>
          <w:noProof/>
        </w:rPr>
      </w:pPr>
      <w:r>
        <w:rPr>
          <w:noProof/>
        </w:rPr>
        <w:t>vu le traité sur le fonctionnement de l’Union européenne, et notamment son article 43 paragraphe 2,</w:t>
      </w:r>
      <w:r>
        <w:rPr>
          <w:noProof/>
          <w:lang w:val="fr-BE"/>
        </w:rPr>
        <w:t xml:space="preserve"> </w:t>
      </w:r>
      <w:r>
        <w:rPr>
          <w:noProof/>
        </w:rPr>
        <w:t>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17 mars 2008, le Conseil a adopté le Règlement (CE) n° 241/2008</w:t>
      </w:r>
      <w:r>
        <w:rPr>
          <w:rStyle w:val="FootnoteReference"/>
          <w:noProof/>
        </w:rPr>
        <w:footnoteReference w:id="6"/>
      </w:r>
      <w:r>
        <w:rPr>
          <w:noProof/>
        </w:rPr>
        <w:t xml:space="preserve"> relatif à la conclusion de l’accord de partenariat dans le secteur de la pêche entre la Communauté européenne et la République de Guinée-Bissau (ci-après dénommé l’«accord»)</w:t>
      </w:r>
      <w:r>
        <w:rPr>
          <w:rStyle w:val="FootnoteReference"/>
          <w:noProof/>
        </w:rPr>
        <w:footnoteReference w:id="7"/>
      </w:r>
      <w:r>
        <w:rPr>
          <w:noProof/>
        </w:rPr>
        <w:t>, accord entré en vigueur le 15 avril 2008, ensuite tacitement renouvelé et toujours en vigueur,</w:t>
      </w:r>
    </w:p>
    <w:p>
      <w:pPr>
        <w:pStyle w:val="ManualConsidrant"/>
        <w:rPr>
          <w:noProof/>
        </w:rPr>
      </w:pPr>
      <w:r>
        <w:t>(2)</w:t>
      </w:r>
      <w:r>
        <w:tab/>
      </w:r>
      <w:r>
        <w:rPr>
          <w:noProof/>
        </w:rPr>
        <w:t>Le dernier protocole à l’accord a expiré le 23 novembre 2017,</w:t>
      </w:r>
    </w:p>
    <w:p>
      <w:pPr>
        <w:pStyle w:val="ManualConsidrant"/>
        <w:rPr>
          <w:noProof/>
        </w:rPr>
      </w:pPr>
      <w:r>
        <w:t>(3)</w:t>
      </w:r>
      <w:r>
        <w:tab/>
      </w:r>
      <w:r>
        <w:rPr>
          <w:noProof/>
        </w:rPr>
        <w:t>La Commission a négocié, au nom de l’Union européenne, un nouveau protocole relatif à la mise en œuvre de l’accord (ci-après dénommé le « protocole »). À l'issue des négociations, le protocole a été paraphé le 15 novembre 2018,</w:t>
      </w:r>
    </w:p>
    <w:p>
      <w:pPr>
        <w:pStyle w:val="ManualConsidrant"/>
        <w:rPr>
          <w:noProof/>
        </w:rPr>
      </w:pPr>
      <w:r>
        <w:t>(4)</w:t>
      </w:r>
      <w:r>
        <w:tab/>
      </w:r>
      <w:r>
        <w:rPr>
          <w:noProof/>
        </w:rPr>
        <w:t xml:space="preserve">L'objectif du protocole est de permettre à l'Union européenne et la République de </w:t>
      </w:r>
      <w:r>
        <w:rPr>
          <w:noProof/>
          <w:lang w:val="fr-BE"/>
        </w:rPr>
        <w:t xml:space="preserve">Guinée Bissau </w:t>
      </w:r>
      <w:r>
        <w:rPr>
          <w:noProof/>
        </w:rPr>
        <w:t xml:space="preserve">de collaborer plus étroitement afin de promouvoir une politique de pêche durable, l'exploitation responsable des ressources halieutiques dans les eaux de </w:t>
      </w:r>
      <w:r>
        <w:rPr>
          <w:noProof/>
          <w:lang w:val="fr-BE"/>
        </w:rPr>
        <w:t xml:space="preserve">Guinée Bissau </w:t>
      </w:r>
      <w:r>
        <w:rPr>
          <w:noProof/>
        </w:rPr>
        <w:t xml:space="preserve">et les efforts de </w:t>
      </w:r>
      <w:r>
        <w:rPr>
          <w:noProof/>
          <w:lang w:val="fr-BE"/>
        </w:rPr>
        <w:t xml:space="preserve">Guinée Bissau </w:t>
      </w:r>
      <w:r>
        <w:rPr>
          <w:noProof/>
        </w:rPr>
        <w:t>visant à développer une économie bleue,</w:t>
      </w:r>
    </w:p>
    <w:p>
      <w:pPr>
        <w:pStyle w:val="ManualConsidrant"/>
        <w:rPr>
          <w:noProof/>
        </w:rPr>
      </w:pPr>
      <w:r>
        <w:t>(5)</w:t>
      </w:r>
      <w:r>
        <w:tab/>
      </w:r>
      <w:r>
        <w:rPr>
          <w:noProof/>
        </w:rPr>
        <w:t xml:space="preserve">Il convient d'approuver le protocole au nom de l'Union, sous réserve de sa conclusion à une date ultérieure,  </w:t>
      </w:r>
    </w:p>
    <w:p>
      <w:pPr>
        <w:pStyle w:val="ManualConsidrant"/>
        <w:rPr>
          <w:noProof/>
        </w:rPr>
      </w:pPr>
      <w:r>
        <w:t>(6)</w:t>
      </w:r>
      <w:r>
        <w:tab/>
      </w:r>
      <w:r>
        <w:rPr>
          <w:noProof/>
        </w:rPr>
        <w:t>Afin d’assurer le début rapide des activités de pêche des navires de l’Union, le protocole devrait être appliqué à titre provisoire dès sa signature, dans l’attente de son entrée en vigueur,</w:t>
      </w:r>
    </w:p>
    <w:p>
      <w:pPr>
        <w:pStyle w:val="Formuledadoption"/>
        <w:rPr>
          <w:noProof/>
        </w:rPr>
      </w:pPr>
      <w:r>
        <w:rPr>
          <w:noProof/>
        </w:rPr>
        <w:t>A ADOPTÉ LA PRÉSENTE DÉCISION:</w:t>
      </w:r>
    </w:p>
    <w:p>
      <w:pPr>
        <w:pStyle w:val="Titrearticle"/>
        <w:rPr>
          <w:noProof/>
        </w:rPr>
      </w:pPr>
      <w:r>
        <w:rPr>
          <w:noProof/>
        </w:rPr>
        <w:t>Article premier</w:t>
      </w:r>
    </w:p>
    <w:p>
      <w:pPr>
        <w:rPr>
          <w:noProof/>
        </w:rPr>
      </w:pPr>
      <w:r>
        <w:rPr>
          <w:noProof/>
        </w:rPr>
        <w:t>La signature du protocole relatif à la mise en œuvre de l'accord de partenariat dans le secteur de la pêche entre la Communauté européenne et la République de Guinée Bissau (2019-2024)</w:t>
      </w:r>
      <w:r>
        <w:rPr>
          <w:noProof/>
          <w:lang w:val="fr-BE"/>
        </w:rPr>
        <w:t xml:space="preserve"> </w:t>
      </w:r>
      <w:r>
        <w:rPr>
          <w:noProof/>
          <w:lang w:val="fr-BE"/>
        </w:rPr>
        <w:lastRenderedPageBreak/>
        <w:t xml:space="preserve">(ci-après dénommé le « protocole ») </w:t>
      </w:r>
      <w:r>
        <w:rPr>
          <w:noProof/>
        </w:rPr>
        <w:t>est autorisée par l’Union, sous réserve de la conclusion dudit protocole.</w:t>
      </w:r>
    </w:p>
    <w:p>
      <w:pPr>
        <w:rPr>
          <w:noProof/>
        </w:rPr>
      </w:pPr>
      <w:r>
        <w:rPr>
          <w:noProof/>
        </w:rPr>
        <w:t>Le texte du protocole est joint à la présente décision.</w:t>
      </w:r>
    </w:p>
    <w:p>
      <w:pPr>
        <w:pStyle w:val="Titrearticle"/>
      </w:pPr>
      <w:r>
        <w:rPr>
          <w:noProof/>
        </w:rPr>
        <w:t>Article 2</w:t>
      </w:r>
    </w:p>
    <w:p>
      <w:pPr>
        <w:rPr>
          <w:noProof/>
        </w:rPr>
      </w:pPr>
      <w:r>
        <w:rPr>
          <w:noProof/>
        </w:rPr>
        <w:t xml:space="preserve">Le secrétariat général du Conseil établit l’instrument de pleins pouvoirs autorisant la ou les personnes indiquées par le négociateur du protocole à signer le protocole, sous réserve de sa conclusion. </w:t>
      </w:r>
    </w:p>
    <w:p>
      <w:pPr>
        <w:pStyle w:val="Titrearticle"/>
        <w:rPr>
          <w:noProof/>
        </w:rPr>
      </w:pPr>
      <w:r>
        <w:rPr>
          <w:noProof/>
        </w:rPr>
        <w:t>Article 3</w:t>
      </w:r>
    </w:p>
    <w:p>
      <w:pPr>
        <w:keepNext/>
        <w:rPr>
          <w:noProof/>
        </w:rPr>
      </w:pPr>
      <w:r>
        <w:rPr>
          <w:noProof/>
        </w:rPr>
        <w:t>Le protocole est appliqué à titre provisoire, conformément à son article 16, à compter de la date de sa signature, dans l’attente de son entrée en vigueur.</w:t>
      </w:r>
    </w:p>
    <w:p>
      <w:pPr>
        <w:pStyle w:val="Titrearticle"/>
        <w:rPr>
          <w:noProof/>
        </w:rPr>
      </w:pPr>
      <w:r>
        <w:rPr>
          <w:noProof/>
        </w:rPr>
        <w:t>Article 4</w:t>
      </w:r>
    </w:p>
    <w:p>
      <w:pPr>
        <w:keepNext/>
        <w:rPr>
          <w:noProof/>
        </w:rPr>
      </w:pPr>
      <w:r>
        <w:rPr>
          <w:noProof/>
        </w:rPr>
        <w:t xml:space="preserve">La présente décision entre en vigueur le jour suivant celui de sa publication au </w:t>
      </w:r>
      <w:r>
        <w:rPr>
          <w:i/>
          <w:noProof/>
        </w:rPr>
        <w:t>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lastRenderedPageBreak/>
        <w:t>FICHE FINANCIÈRE LÉGISLATIVE</w:t>
      </w:r>
    </w:p>
    <w:p>
      <w:pPr>
        <w:pStyle w:val="ManualHeading1"/>
        <w:rPr>
          <w:noProof/>
        </w:rPr>
      </w:pPr>
      <w:r>
        <w:rPr>
          <w:noProof/>
        </w:rPr>
        <w:t>1.</w:t>
      </w:r>
      <w:r>
        <w:rPr>
          <w:noProof/>
        </w:rPr>
        <w:tab/>
        <w:t xml:space="preserve">CADRE DE LA PROPOSITION/DE L'INITIATIVE </w:t>
      </w:r>
    </w:p>
    <w:p>
      <w:pPr>
        <w:pStyle w:val="ManualHeading2"/>
        <w:rPr>
          <w:b w:val="0"/>
          <w:noProof/>
        </w:rPr>
      </w:pPr>
      <w:r>
        <w:rPr>
          <w:noProof/>
        </w:rPr>
        <w:tab/>
      </w:r>
      <w:r>
        <w:rPr>
          <w:b w:val="0"/>
          <w:noProof/>
        </w:rPr>
        <w:t>1.1.</w:t>
      </w:r>
      <w:r>
        <w:rPr>
          <w:noProof/>
        </w:rPr>
        <w:tab/>
      </w:r>
      <w:r>
        <w:rPr>
          <w:b w:val="0"/>
          <w:noProof/>
        </w:rPr>
        <w:t xml:space="preserve">Dénomination de la proposition/de l'initiative </w:t>
      </w:r>
    </w:p>
    <w:p>
      <w:pPr>
        <w:pStyle w:val="ManualHeading2"/>
        <w:rPr>
          <w:b w:val="0"/>
          <w:noProof/>
        </w:rPr>
      </w:pPr>
      <w:r>
        <w:rPr>
          <w:noProof/>
        </w:rPr>
        <w:tab/>
      </w:r>
      <w:r>
        <w:rPr>
          <w:b w:val="0"/>
          <w:noProof/>
        </w:rPr>
        <w:t>1.2.</w:t>
      </w:r>
      <w:r>
        <w:rPr>
          <w:noProof/>
        </w:rPr>
        <w:tab/>
      </w:r>
      <w:r>
        <w:rPr>
          <w:b w:val="0"/>
          <w:noProof/>
        </w:rPr>
        <w:t>Domaine(s) politique(s) concerné(s)</w:t>
      </w:r>
    </w:p>
    <w:p>
      <w:pPr>
        <w:pStyle w:val="ManualHeading2"/>
        <w:rPr>
          <w:b w:val="0"/>
          <w:noProof/>
        </w:rPr>
      </w:pPr>
      <w:r>
        <w:rPr>
          <w:noProof/>
        </w:rPr>
        <w:tab/>
      </w:r>
      <w:r>
        <w:rPr>
          <w:b w:val="0"/>
          <w:noProof/>
        </w:rPr>
        <w:t>1.3.</w:t>
      </w:r>
      <w:r>
        <w:rPr>
          <w:noProof/>
        </w:rPr>
        <w:tab/>
      </w:r>
      <w:r>
        <w:rPr>
          <w:b w:val="0"/>
          <w:noProof/>
        </w:rPr>
        <w:t xml:space="preserve">La proposition/l’initiative porte sur: </w:t>
      </w:r>
    </w:p>
    <w:p>
      <w:pPr>
        <w:pStyle w:val="ManualHeading2"/>
        <w:rPr>
          <w:b w:val="0"/>
          <w:noProof/>
        </w:rPr>
      </w:pPr>
      <w:r>
        <w:rPr>
          <w:noProof/>
        </w:rPr>
        <w:tab/>
      </w:r>
      <w:r>
        <w:rPr>
          <w:b w:val="0"/>
          <w:noProof/>
        </w:rPr>
        <w:t>1.4.</w:t>
      </w:r>
      <w:r>
        <w:rPr>
          <w:noProof/>
        </w:rPr>
        <w:tab/>
      </w:r>
      <w:r>
        <w:rPr>
          <w:b w:val="0"/>
          <w:noProof/>
        </w:rPr>
        <w:t xml:space="preserve">Objectif(s) </w:t>
      </w:r>
    </w:p>
    <w:p>
      <w:pPr>
        <w:pStyle w:val="ManualHeading3"/>
        <w:rPr>
          <w:noProof/>
        </w:rPr>
      </w:pPr>
      <w:r>
        <w:rPr>
          <w:noProof/>
        </w:rPr>
        <w:tab/>
        <w:t>1.4.1.</w:t>
      </w:r>
      <w:r>
        <w:rPr>
          <w:noProof/>
        </w:rPr>
        <w:tab/>
        <w:t>Objectif général / objectifs généraux</w:t>
      </w:r>
    </w:p>
    <w:p>
      <w:pPr>
        <w:pStyle w:val="ManualHeading3"/>
        <w:rPr>
          <w:noProof/>
        </w:rPr>
      </w:pPr>
      <w:r>
        <w:rPr>
          <w:noProof/>
        </w:rPr>
        <w:tab/>
        <w:t>1.4.2.</w:t>
      </w:r>
      <w:r>
        <w:rPr>
          <w:noProof/>
        </w:rPr>
        <w:tab/>
        <w:t>Objectif(s) spécifique(s)</w:t>
      </w:r>
    </w:p>
    <w:p>
      <w:pPr>
        <w:pStyle w:val="ManualHeading3"/>
        <w:rPr>
          <w:noProof/>
        </w:rPr>
      </w:pPr>
      <w:r>
        <w:rPr>
          <w:noProof/>
        </w:rPr>
        <w:tab/>
        <w:t>1.4.3.</w:t>
      </w:r>
      <w:r>
        <w:rPr>
          <w:noProof/>
        </w:rPr>
        <w:tab/>
        <w:t>Résultat(s) et incidence(s) attendus</w:t>
      </w:r>
    </w:p>
    <w:p>
      <w:pPr>
        <w:pStyle w:val="ManualHeading3"/>
        <w:rPr>
          <w:noProof/>
        </w:rPr>
      </w:pPr>
      <w:r>
        <w:rPr>
          <w:noProof/>
        </w:rPr>
        <w:tab/>
        <w:t>1.4.4.</w:t>
      </w:r>
      <w:r>
        <w:rPr>
          <w:noProof/>
        </w:rPr>
        <w:tab/>
        <w:t>Indicateurs de performance</w:t>
      </w:r>
    </w:p>
    <w:p>
      <w:pPr>
        <w:pStyle w:val="ManualHeading2"/>
        <w:rPr>
          <w:b w:val="0"/>
          <w:noProof/>
        </w:rPr>
      </w:pPr>
      <w:r>
        <w:rPr>
          <w:noProof/>
        </w:rPr>
        <w:tab/>
      </w:r>
      <w:r>
        <w:rPr>
          <w:b w:val="0"/>
          <w:noProof/>
        </w:rPr>
        <w:t>1.5.</w:t>
      </w:r>
      <w:r>
        <w:rPr>
          <w:noProof/>
        </w:rPr>
        <w:tab/>
      </w:r>
      <w:r>
        <w:rPr>
          <w:b w:val="0"/>
          <w:noProof/>
        </w:rPr>
        <w:t xml:space="preserve">Justification(s) de la proposition/de l'initiative </w:t>
      </w:r>
    </w:p>
    <w:p>
      <w:pPr>
        <w:pStyle w:val="ManualHeading3"/>
        <w:rPr>
          <w:noProof/>
        </w:rPr>
      </w:pPr>
      <w:r>
        <w:rPr>
          <w:noProof/>
        </w:rPr>
        <w:tab/>
        <w:t>1.5.1.</w:t>
      </w:r>
      <w:r>
        <w:rPr>
          <w:noProof/>
        </w:rPr>
        <w:tab/>
        <w:t>Besoin(s) à satisfaire à court ou à long terme, assorti(s) d’un calendrier détaillé pour la mise en œuvre de l’initiative</w:t>
      </w:r>
    </w:p>
    <w:p>
      <w:pPr>
        <w:pStyle w:val="ManualHeading3"/>
        <w:rPr>
          <w:noProof/>
        </w:rPr>
      </w:pPr>
      <w:r>
        <w:rPr>
          <w:noProof/>
        </w:rPr>
        <w:tab/>
        <w:t>1.5.2.</w:t>
      </w:r>
      <w:r>
        <w:rPr>
          <w:noProof/>
        </w:rPr>
        <w:tab/>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p>
    <w:p>
      <w:pPr>
        <w:pStyle w:val="ManualHeading3"/>
        <w:rPr>
          <w:noProof/>
        </w:rPr>
      </w:pPr>
      <w:r>
        <w:rPr>
          <w:noProof/>
        </w:rPr>
        <w:tab/>
        <w:t>1.5.3.</w:t>
      </w:r>
      <w:r>
        <w:rPr>
          <w:noProof/>
        </w:rPr>
        <w:tab/>
        <w:t>Leçons tirées d'expériences similaires</w:t>
      </w:r>
    </w:p>
    <w:p>
      <w:pPr>
        <w:pStyle w:val="ManualHeading3"/>
        <w:rPr>
          <w:noProof/>
        </w:rPr>
      </w:pPr>
      <w:r>
        <w:rPr>
          <w:noProof/>
        </w:rPr>
        <w:tab/>
        <w:t>1.5.4.</w:t>
      </w:r>
      <w:r>
        <w:rPr>
          <w:noProof/>
        </w:rPr>
        <w:tab/>
        <w:t>Compatibilité avec le cadre financier pluriannuel et synergies éventuelles avec d’autres instruments appropriés</w:t>
      </w:r>
    </w:p>
    <w:p>
      <w:pPr>
        <w:pStyle w:val="ManualHeading3"/>
        <w:rPr>
          <w:noProof/>
        </w:rPr>
      </w:pPr>
      <w:r>
        <w:rPr>
          <w:noProof/>
        </w:rPr>
        <w:tab/>
        <w:t>1.5.5.</w:t>
      </w:r>
      <w:r>
        <w:rPr>
          <w:noProof/>
        </w:rPr>
        <w:tab/>
        <w:t>Évaluation des différentes possibilités de financement disponibles, y compris des possibilités de redéploiement</w:t>
      </w:r>
    </w:p>
    <w:p>
      <w:pPr>
        <w:pStyle w:val="ManualHeading2"/>
        <w:rPr>
          <w:b w:val="0"/>
          <w:noProof/>
        </w:rPr>
      </w:pPr>
      <w:r>
        <w:rPr>
          <w:noProof/>
        </w:rPr>
        <w:tab/>
      </w:r>
      <w:r>
        <w:rPr>
          <w:b w:val="0"/>
          <w:noProof/>
        </w:rPr>
        <w:t>1.6.</w:t>
      </w:r>
      <w:r>
        <w:rPr>
          <w:noProof/>
        </w:rPr>
        <w:tab/>
      </w:r>
      <w:r>
        <w:rPr>
          <w:b w:val="0"/>
          <w:noProof/>
        </w:rPr>
        <w:t>Durée et incidence financière de la proposition/de l'initiative</w:t>
      </w:r>
    </w:p>
    <w:p>
      <w:pPr>
        <w:pStyle w:val="ManualHeading2"/>
        <w:rPr>
          <w:b w:val="0"/>
          <w:noProof/>
        </w:rPr>
        <w:sectPr>
          <w:pgSz w:w="11907" w:h="16840" w:code="9"/>
          <w:pgMar w:top="1134" w:right="1418" w:bottom="1134" w:left="1418" w:header="709" w:footer="709" w:gutter="0"/>
          <w:cols w:space="708"/>
          <w:docGrid w:linePitch="360"/>
        </w:sectPr>
      </w:pPr>
      <w:r>
        <w:rPr>
          <w:noProof/>
        </w:rPr>
        <w:tab/>
      </w:r>
      <w:r>
        <w:rPr>
          <w:b w:val="0"/>
          <w:noProof/>
        </w:rPr>
        <w:t>1.7.</w:t>
      </w:r>
      <w:r>
        <w:rPr>
          <w:noProof/>
        </w:rPr>
        <w:tab/>
      </w:r>
      <w:r>
        <w:rPr>
          <w:b w:val="0"/>
          <w:noProof/>
        </w:rPr>
        <w:t>Mode(s) de gestion prévu(s)</w:t>
      </w:r>
      <w:r>
        <w:rPr>
          <w:noProof/>
        </w:rPr>
        <w:tab/>
      </w:r>
    </w:p>
    <w:p>
      <w:pPr>
        <w:pStyle w:val="ManualHeading1"/>
        <w:rPr>
          <w:noProof/>
        </w:rPr>
      </w:pPr>
      <w:r>
        <w:rPr>
          <w:noProof/>
        </w:rPr>
        <w:t>2.</w:t>
      </w:r>
      <w:r>
        <w:rPr>
          <w:noProof/>
        </w:rPr>
        <w:tab/>
        <w:t xml:space="preserve">MESURES DE GESTION </w:t>
      </w:r>
    </w:p>
    <w:p>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pPr>
        <w:pStyle w:val="ManualHeading2"/>
        <w:rPr>
          <w:b w:val="0"/>
          <w:noProof/>
        </w:rPr>
      </w:pPr>
      <w:r>
        <w:rPr>
          <w:noProof/>
        </w:rPr>
        <w:tab/>
      </w:r>
      <w:r>
        <w:rPr>
          <w:b w:val="0"/>
          <w:noProof/>
        </w:rPr>
        <w:t>2.2.</w:t>
      </w:r>
      <w:r>
        <w:rPr>
          <w:noProof/>
        </w:rPr>
        <w:tab/>
      </w:r>
      <w:r>
        <w:rPr>
          <w:b w:val="0"/>
          <w:noProof/>
        </w:rPr>
        <w:t>Système(s) de gestion et de contrôle</w:t>
      </w:r>
    </w:p>
    <w:p>
      <w:pPr>
        <w:pStyle w:val="ManualHeading3"/>
        <w:rPr>
          <w:noProof/>
        </w:rPr>
      </w:pPr>
      <w:r>
        <w:rPr>
          <w:noProof/>
        </w:rPr>
        <w:tab/>
        <w:t>2.2.1.</w:t>
      </w:r>
      <w:r>
        <w:rPr>
          <w:noProof/>
        </w:rPr>
        <w:tab/>
        <w:t>Justification du (des) mode(s) de gestion, du (des) mécanisme(s) de mise en œuvre du financement, des modalités de paiement et de la stratégie de contrôle proposée</w:t>
      </w:r>
    </w:p>
    <w:p>
      <w:pPr>
        <w:pStyle w:val="ManualHeading3"/>
        <w:rPr>
          <w:noProof/>
        </w:rPr>
      </w:pPr>
      <w:r>
        <w:rPr>
          <w:noProof/>
        </w:rPr>
        <w:tab/>
        <w:t>2.2.2.</w:t>
      </w:r>
      <w:r>
        <w:rPr>
          <w:noProof/>
        </w:rPr>
        <w:tab/>
        <w:t>Informations sur les risques recensés et sur le(s) système(s) de contrôle interne mis en place pour les atténuer</w:t>
      </w:r>
    </w:p>
    <w:p>
      <w:pPr>
        <w:pStyle w:val="ManualHeading3"/>
        <w:rPr>
          <w:noProof/>
        </w:rPr>
      </w:pPr>
      <w:r>
        <w:rPr>
          <w:noProof/>
        </w:rPr>
        <w:tab/>
        <w:t>2.2.3.</w:t>
      </w:r>
      <w:r>
        <w:rPr>
          <w:noProof/>
        </w:rPr>
        <w:tab/>
        <w:t>Estimation et justification du rapport coût/efficacité des contrôles (rapport «coûts du contrôle ÷ valeur des fonds gérés concernés»), et évaluation du niveau attendu de risque d’erreur (lors du paiement et lors de la clôture)</w:t>
      </w:r>
    </w:p>
    <w:p>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pPr>
        <w:pStyle w:val="ManualHeading1"/>
        <w:rPr>
          <w:noProof/>
        </w:rPr>
      </w:pPr>
      <w:r>
        <w:rPr>
          <w:noProof/>
        </w:rPr>
        <w:t>3.</w:t>
      </w:r>
      <w:r>
        <w:rPr>
          <w:noProof/>
        </w:rPr>
        <w:tab/>
        <w:t xml:space="preserve">INCIDENCE FINANCIÈRE ESTIMÉE DE LA PROPOSITION/DE L'INITIATIVE </w:t>
      </w:r>
    </w:p>
    <w:p>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pPr>
        <w:pStyle w:val="ManualHeading2"/>
        <w:rPr>
          <w:noProof/>
        </w:rPr>
      </w:pPr>
      <w:r>
        <w:rPr>
          <w:noProof/>
        </w:rPr>
        <w:tab/>
      </w:r>
      <w:r>
        <w:rPr>
          <w:b w:val="0"/>
          <w:noProof/>
        </w:rPr>
        <w:t>3.2.</w:t>
      </w:r>
      <w:r>
        <w:rPr>
          <w:noProof/>
        </w:rPr>
        <w:tab/>
      </w:r>
      <w:r>
        <w:rPr>
          <w:b w:val="0"/>
          <w:noProof/>
        </w:rPr>
        <w:t>Incidence financière estimée de la proposition sur les crédits</w:t>
      </w:r>
    </w:p>
    <w:p>
      <w:pPr>
        <w:pStyle w:val="ManualHeading3"/>
        <w:rPr>
          <w:noProof/>
        </w:rPr>
      </w:pPr>
      <w:r>
        <w:rPr>
          <w:noProof/>
        </w:rPr>
        <w:tab/>
        <w:t>3.2.1.</w:t>
      </w:r>
      <w:r>
        <w:rPr>
          <w:noProof/>
        </w:rPr>
        <w:tab/>
        <w:t xml:space="preserve">Synthèse de l’incidence estimée sur les crédits opérationnels </w:t>
      </w:r>
    </w:p>
    <w:p>
      <w:pPr>
        <w:pStyle w:val="ManualHeading3"/>
        <w:rPr>
          <w:noProof/>
        </w:rPr>
      </w:pPr>
      <w:r>
        <w:rPr>
          <w:noProof/>
        </w:rPr>
        <w:tab/>
        <w:t>3.2.2.</w:t>
      </w:r>
      <w:r>
        <w:rPr>
          <w:noProof/>
        </w:rPr>
        <w:tab/>
        <w:t xml:space="preserve">Estimation des réalisations financées avec des crédits opérationnels </w:t>
      </w:r>
    </w:p>
    <w:p>
      <w:pPr>
        <w:pStyle w:val="ManualHeading3"/>
        <w:rPr>
          <w:noProof/>
        </w:rPr>
      </w:pPr>
      <w:r>
        <w:rPr>
          <w:noProof/>
        </w:rPr>
        <w:tab/>
        <w:t>3.2.3.</w:t>
      </w:r>
      <w:r>
        <w:rPr>
          <w:noProof/>
        </w:rPr>
        <w:tab/>
        <w:t>Synthèse de l’incidence estimée sur les crédits administratifs</w:t>
      </w:r>
    </w:p>
    <w:p>
      <w:pPr>
        <w:pStyle w:val="ManualHeading3"/>
        <w:rPr>
          <w:noProof/>
        </w:rPr>
      </w:pPr>
      <w:r>
        <w:rPr>
          <w:noProof/>
        </w:rPr>
        <w:tab/>
        <w:t>3.2.4.</w:t>
      </w:r>
      <w:r>
        <w:rPr>
          <w:noProof/>
        </w:rPr>
        <w:tab/>
        <w:t>Compatibilité avec le cadre financier pluriannuel actuel</w:t>
      </w:r>
    </w:p>
    <w:p>
      <w:pPr>
        <w:pStyle w:val="ManualHeading3"/>
        <w:rPr>
          <w:noProof/>
        </w:rPr>
      </w:pPr>
      <w:r>
        <w:rPr>
          <w:noProof/>
        </w:rPr>
        <w:tab/>
        <w:t>3.2.5.</w:t>
      </w:r>
      <w:r>
        <w:rPr>
          <w:noProof/>
        </w:rPr>
        <w:tab/>
        <w:t xml:space="preserve">Participation de tiers au financement </w:t>
      </w:r>
    </w:p>
    <w:p>
      <w:pPr>
        <w:pStyle w:val="ManualHeading2"/>
        <w:jc w:val="left"/>
        <w:rPr>
          <w:b w:val="0"/>
          <w:noProof/>
        </w:rPr>
      </w:pPr>
      <w:r>
        <w:rPr>
          <w:noProof/>
        </w:rPr>
        <w:tab/>
      </w:r>
      <w:r>
        <w:rPr>
          <w:b w:val="0"/>
          <w:noProof/>
        </w:rPr>
        <w:t>3.3.</w:t>
      </w:r>
      <w:r>
        <w:rPr>
          <w:noProof/>
        </w:rPr>
        <w:tab/>
      </w:r>
      <w:r>
        <w:rPr>
          <w:b w:val="0"/>
          <w:noProof/>
        </w:rPr>
        <w:t>Incidence estimée sur les recettes</w:t>
      </w:r>
    </w:p>
    <w:p>
      <w:pPr>
        <w:jc w:val="center"/>
        <w:rPr>
          <w:b/>
          <w:noProof/>
          <w:u w:val="single"/>
        </w:rPr>
        <w:sectPr>
          <w:pgSz w:w="11907" w:h="16840" w:code="9"/>
          <w:pgMar w:top="1134" w:right="1418" w:bottom="1134" w:left="1418" w:header="709" w:footer="709" w:gutter="0"/>
          <w:cols w:space="708"/>
          <w:docGrid w:linePitch="360"/>
        </w:sectPr>
      </w:pPr>
    </w:p>
    <w:p>
      <w:pPr>
        <w:jc w:val="center"/>
        <w:rPr>
          <w:b/>
          <w:noProof/>
          <w:u w:val="single"/>
        </w:rPr>
      </w:pPr>
      <w:r>
        <w:rPr>
          <w:b/>
          <w:noProof/>
          <w:u w:val="single"/>
        </w:rPr>
        <w:t>FICHE FINANCIÈRE LÉGISLATIVE</w:t>
      </w:r>
    </w:p>
    <w:p>
      <w:pPr>
        <w:pStyle w:val="ManualHeading1"/>
        <w:rPr>
          <w:noProof/>
        </w:rPr>
      </w:pPr>
      <w:bookmarkStart w:id="1" w:name="_Toc514938007"/>
      <w:bookmarkStart w:id="2" w:name="_Toc520485025"/>
      <w:r>
        <w:t>1.</w:t>
      </w:r>
      <w:r>
        <w:tab/>
      </w:r>
      <w:r>
        <w:rPr>
          <w:noProof/>
        </w:rPr>
        <w:t>CADRE DE LA PROPOSITION/DE L'INITIATIVE</w:t>
      </w:r>
      <w:bookmarkEnd w:id="1"/>
      <w:bookmarkEnd w:id="2"/>
      <w:r>
        <w:rPr>
          <w:noProof/>
        </w:rPr>
        <w:t xml:space="preserve"> </w:t>
      </w:r>
    </w:p>
    <w:p>
      <w:pPr>
        <w:pStyle w:val="ManualHeading2"/>
        <w:rPr>
          <w:noProof/>
        </w:rPr>
      </w:pPr>
      <w:bookmarkStart w:id="3" w:name="_Toc514938008"/>
      <w:bookmarkStart w:id="4" w:name="_Toc520485026"/>
      <w:r>
        <w:t>1.1.</w:t>
      </w:r>
      <w:r>
        <w:tab/>
      </w:r>
      <w:r>
        <w:rPr>
          <w:noProof/>
        </w:rPr>
        <w:t>Dénomination de la proposition/de l'initiative</w:t>
      </w:r>
      <w:bookmarkEnd w:id="3"/>
      <w:bookmarkEnd w:id="4"/>
    </w:p>
    <w:p>
      <w:pPr>
        <w:pStyle w:val="Text1"/>
        <w:pBdr>
          <w:top w:val="single" w:sz="4" w:space="1" w:color="auto"/>
          <w:left w:val="single" w:sz="4" w:space="4" w:color="auto"/>
          <w:bottom w:val="single" w:sz="4" w:space="1" w:color="auto"/>
          <w:right w:val="single" w:sz="4" w:space="4" w:color="auto"/>
        </w:pBdr>
        <w:rPr>
          <w:noProof/>
        </w:rPr>
      </w:pPr>
      <w:r>
        <w:rPr>
          <w:noProof/>
        </w:rPr>
        <w:t>Proposition de décision du Conseil relative à la signature, au nom de l'Union, et à l'application provisoire du protocole relatif à la mise en œuvre de l'accord de partenariat dans le secteur de la pêche entre la Communauté européenne et la République de Guinée Bissau.</w:t>
      </w:r>
    </w:p>
    <w:p>
      <w:pPr>
        <w:pStyle w:val="ManualHeading2"/>
        <w:rPr>
          <w:noProof/>
        </w:rPr>
      </w:pPr>
      <w:bookmarkStart w:id="5" w:name="_Toc514938011"/>
      <w:bookmarkStart w:id="6" w:name="_Toc520485027"/>
      <w:r>
        <w:t>1.2.</w:t>
      </w:r>
      <w:r>
        <w:tab/>
      </w:r>
      <w:r>
        <w:rPr>
          <w:noProof/>
        </w:rPr>
        <w:t>Domaine(s) politique(s) concerné(s)</w:t>
      </w:r>
      <w:bookmarkEnd w:id="5"/>
      <w:bookmarkEnd w:id="6"/>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11 – Affaires maritimes et pêche</w:t>
      </w:r>
    </w:p>
    <w:p>
      <w:pPr>
        <w:pStyle w:val="Text1"/>
        <w:pBdr>
          <w:top w:val="single" w:sz="4" w:space="1" w:color="auto"/>
          <w:left w:val="single" w:sz="4" w:space="4" w:color="auto"/>
          <w:bottom w:val="single" w:sz="4" w:space="1" w:color="auto"/>
          <w:right w:val="single" w:sz="4" w:space="4" w:color="auto"/>
        </w:pBdr>
        <w:rPr>
          <w:noProof/>
        </w:rPr>
      </w:pPr>
      <w:r>
        <w:rPr>
          <w:noProof/>
        </w:rPr>
        <w:t>11.03 – Contributions obligatoires aux organisations régionales de gestion des pêches (ORGP) et autres organisations internationales et accords de pêche durable (APD)</w:t>
      </w:r>
    </w:p>
    <w:p>
      <w:pPr>
        <w:pStyle w:val="Text1"/>
        <w:pBdr>
          <w:top w:val="single" w:sz="4" w:space="1" w:color="auto"/>
          <w:left w:val="single" w:sz="4" w:space="4" w:color="auto"/>
          <w:bottom w:val="single" w:sz="4" w:space="1" w:color="auto"/>
          <w:right w:val="single" w:sz="4" w:space="4" w:color="auto"/>
        </w:pBdr>
        <w:rPr>
          <w:noProof/>
        </w:rPr>
      </w:pPr>
      <w:r>
        <w:rPr>
          <w:noProof/>
        </w:rPr>
        <w:t>11.03.01 - Établir un cadre de gouvernance pour les activités de pêche menées par les navires de pêche de l’Union dans les eaux des pays tiers</w:t>
      </w:r>
    </w:p>
    <w:p>
      <w:pPr>
        <w:pStyle w:val="ManualHeading2"/>
        <w:rPr>
          <w:bCs/>
          <w:noProof/>
          <w:szCs w:val="24"/>
        </w:rPr>
      </w:pPr>
      <w:bookmarkStart w:id="7" w:name="_Toc514938014"/>
      <w:bookmarkStart w:id="8" w:name="_Toc520485028"/>
      <w:r>
        <w:t>1.3.</w:t>
      </w:r>
      <w:r>
        <w:tab/>
      </w:r>
      <w:r>
        <w:rPr>
          <w:noProof/>
        </w:rPr>
        <w:t>La proposition/l’initiative porte sur:</w:t>
      </w:r>
      <w:bookmarkEnd w:id="7"/>
      <w:bookmarkEnd w:id="8"/>
      <w:r>
        <w:rPr>
          <w:noProof/>
        </w:rPr>
        <w:t xml:space="preserve"> </w:t>
      </w:r>
    </w:p>
    <w:p>
      <w:pPr>
        <w:pStyle w:val="Text1"/>
        <w:rPr>
          <w:b/>
          <w:noProof/>
          <w:sz w:val="22"/>
        </w:rPr>
      </w:pPr>
      <w:r>
        <w:rPr>
          <w:b/>
          <w:noProof/>
          <w:sz w:val="22"/>
        </w:rPr>
        <w:t>X</w:t>
      </w:r>
      <w:r>
        <w:rPr>
          <w:b/>
          <w:i/>
          <w:noProof/>
          <w:sz w:val="22"/>
        </w:rPr>
        <w:t xml:space="preserve"> </w:t>
      </w:r>
      <w:r>
        <w:rPr>
          <w:b/>
          <w:noProof/>
        </w:rPr>
        <w:t>une action nouvelle</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une action nouvelle suite à un projet pilote/une action préparatoire</w:t>
      </w:r>
      <w:r>
        <w:rPr>
          <w:rStyle w:val="FootnoteReference"/>
          <w:b/>
          <w:noProof/>
        </w:rPr>
        <w:footnoteReference w:id="8"/>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la prolongation d’une action existante</w:t>
      </w:r>
      <w:r>
        <w:rPr>
          <w:noProof/>
          <w:sz w:val="22"/>
        </w:rPr>
        <w:t xml:space="preserve"> </w:t>
      </w:r>
    </w:p>
    <w:p>
      <w:pPr>
        <w:pStyle w:val="Text1"/>
        <w:rPr>
          <w:noProof/>
        </w:rPr>
      </w:pPr>
      <w:r>
        <w:rPr>
          <w:noProof/>
          <w:sz w:val="22"/>
        </w:rPr>
        <w:sym w:font="Wingdings" w:char="F0A8"/>
      </w:r>
      <w:r>
        <w:rPr>
          <w:i/>
          <w:noProof/>
          <w:sz w:val="22"/>
        </w:rPr>
        <w:t xml:space="preserve"> </w:t>
      </w:r>
      <w:r>
        <w:rPr>
          <w:b/>
          <w:noProof/>
        </w:rPr>
        <w:t>une fusion ou une réorientation d’une ou de plusieurs actions vers une autre action/une action nouvelle</w:t>
      </w:r>
      <w:r>
        <w:rPr>
          <w:noProof/>
        </w:rPr>
        <w:t xml:space="preserve"> </w:t>
      </w:r>
    </w:p>
    <w:p>
      <w:pPr>
        <w:pStyle w:val="ManualHeading2"/>
        <w:rPr>
          <w:bCs/>
          <w:noProof/>
          <w:szCs w:val="24"/>
        </w:rPr>
      </w:pPr>
      <w:bookmarkStart w:id="9" w:name="_Toc514938015"/>
      <w:bookmarkStart w:id="10" w:name="_Toc520485029"/>
      <w:r>
        <w:t>1.4.</w:t>
      </w:r>
      <w:r>
        <w:tab/>
      </w:r>
      <w:r>
        <w:rPr>
          <w:noProof/>
        </w:rPr>
        <w:t>Objectif(s)</w:t>
      </w:r>
      <w:bookmarkEnd w:id="9"/>
      <w:bookmarkEnd w:id="10"/>
    </w:p>
    <w:p>
      <w:pPr>
        <w:pStyle w:val="ManualHeading3"/>
        <w:rPr>
          <w:noProof/>
        </w:rPr>
      </w:pPr>
      <w:bookmarkStart w:id="11" w:name="_Toc514938016"/>
      <w:bookmarkStart w:id="12" w:name="_Toc520485030"/>
      <w:r>
        <w:t>1.4.1.</w:t>
      </w:r>
      <w:r>
        <w:tab/>
      </w:r>
      <w:r>
        <w:rPr>
          <w:noProof/>
        </w:rPr>
        <w:t>Objectif général / objectifs généraux</w:t>
      </w:r>
      <w:bookmarkEnd w:id="11"/>
      <w:bookmarkEnd w:id="12"/>
    </w:p>
    <w:p>
      <w:pPr>
        <w:pStyle w:val="Text1"/>
        <w:pBdr>
          <w:top w:val="single" w:sz="4" w:space="1" w:color="auto"/>
          <w:left w:val="single" w:sz="4" w:space="4" w:color="auto"/>
          <w:bottom w:val="single" w:sz="4" w:space="1" w:color="auto"/>
          <w:right w:val="single" w:sz="4" w:space="4" w:color="auto"/>
        </w:pBdr>
        <w:rPr>
          <w:noProof/>
        </w:rPr>
      </w:pPr>
      <w:r>
        <w:rPr>
          <w:noProof/>
        </w:rPr>
        <w:t>La négociation et la conclusion d’accords de partenariat dans le domaine de la pêche durable (APPD) avec des pays tiers répondent à l’objectif général de permettre l’accès des navires de pêche de l’Union européenne à des zones de pêche de pays tiers et de développer avec ces pays un partenariat en vue de renforcer l’exploitation durable des ressources halieutiques en dehors des eaux de l’Union.</w:t>
      </w:r>
    </w:p>
    <w:p>
      <w:pPr>
        <w:pStyle w:val="Text1"/>
        <w:pBdr>
          <w:top w:val="single" w:sz="4" w:space="1" w:color="auto"/>
          <w:left w:val="single" w:sz="4" w:space="4" w:color="auto"/>
          <w:bottom w:val="single" w:sz="4" w:space="1" w:color="auto"/>
          <w:right w:val="single" w:sz="4" w:space="4" w:color="auto"/>
        </w:pBdr>
        <w:rPr>
          <w:noProof/>
        </w:rPr>
      </w:pPr>
      <w:r>
        <w:rPr>
          <w:noProof/>
        </w:rPr>
        <w:t>Les APPD assurent également la cohérence entre les principes régissant la politique commune de la pêche et les engagements inscrits dans d’autres politiques européennes (exploitation durable des ressources des pays tiers, lutte contre la pêche illicite, non déclarée et non réglementée (INN), intégration des pays partenaires dans l’économie globale, ainsi qu’une meilleure gouvernance des pêcheries au niveau politique et financier).</w:t>
      </w:r>
    </w:p>
    <w:p>
      <w:pPr>
        <w:pStyle w:val="ManualHeading3"/>
        <w:rPr>
          <w:bCs/>
          <w:noProof/>
          <w:szCs w:val="24"/>
        </w:rPr>
      </w:pPr>
      <w:bookmarkStart w:id="13" w:name="_Toc514938018"/>
      <w:bookmarkStart w:id="14" w:name="_Toc520485031"/>
      <w:r>
        <w:t>1.4.2.</w:t>
      </w:r>
      <w:r>
        <w:tab/>
      </w:r>
      <w:r>
        <w:rPr>
          <w:noProof/>
        </w:rPr>
        <w:t>Objectif(s) spécifique(s)</w:t>
      </w:r>
      <w:bookmarkEnd w:id="13"/>
      <w:bookmarkEnd w:id="14"/>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Objectif spécifique</w:t>
      </w:r>
    </w:p>
    <w:p>
      <w:pPr>
        <w:pStyle w:val="Text1"/>
        <w:pBdr>
          <w:top w:val="single" w:sz="4" w:space="1" w:color="auto"/>
          <w:left w:val="single" w:sz="4" w:space="4" w:color="auto"/>
          <w:bottom w:val="single" w:sz="4" w:space="1" w:color="auto"/>
          <w:right w:val="single" w:sz="4" w:space="4" w:color="auto"/>
        </w:pBdr>
        <w:rPr>
          <w:noProof/>
        </w:rPr>
      </w:pPr>
      <w:r>
        <w:rPr>
          <w:noProof/>
        </w:rPr>
        <w:t>Contribuer à la pêche durable dans les eaux en dehors de l’Union, maintenir la présence européenne dans les pêcheries lointaines et protéger les intérêts du secteur européen de la pêche et des consommateurs, à travers la négociation et la conclusion d’APPD avec des États côtiers, en cohérence avec d’autres politiques européennes.</w:t>
      </w:r>
    </w:p>
    <w:p>
      <w:pPr>
        <w:pStyle w:val="Text1"/>
        <w:pBdr>
          <w:top w:val="single" w:sz="4" w:space="1" w:color="auto"/>
          <w:left w:val="single" w:sz="4" w:space="4" w:color="auto"/>
          <w:bottom w:val="single" w:sz="4" w:space="1" w:color="auto"/>
          <w:right w:val="single" w:sz="4" w:space="4" w:color="auto"/>
        </w:pBdr>
        <w:rPr>
          <w:noProof/>
          <w:u w:val="single"/>
        </w:rPr>
      </w:pPr>
      <w:r>
        <w:rPr>
          <w:noProof/>
          <w:u w:val="single"/>
        </w:rPr>
        <w:t>Activité(s) ABM/ABB concernée(s)</w:t>
      </w:r>
    </w:p>
    <w:p>
      <w:pPr>
        <w:pStyle w:val="Text1"/>
        <w:pBdr>
          <w:top w:val="single" w:sz="4" w:space="1" w:color="auto"/>
          <w:left w:val="single" w:sz="4" w:space="4" w:color="auto"/>
          <w:bottom w:val="single" w:sz="4" w:space="1" w:color="auto"/>
          <w:right w:val="single" w:sz="4" w:space="4" w:color="auto"/>
        </w:pBdr>
        <w:rPr>
          <w:noProof/>
        </w:rPr>
      </w:pPr>
      <w:r>
        <w:rPr>
          <w:noProof/>
        </w:rPr>
        <w:t>Affaires maritimes et pêche, pour établir un cadre de gouvernance pour les activités de pêche menées par les navires de pêche de l’Union européenne dans les eaux des pays tiers (APD) (ligne budgétaire 11.03.01).</w:t>
      </w:r>
    </w:p>
    <w:p>
      <w:pPr>
        <w:pStyle w:val="ManualHeading3"/>
        <w:rPr>
          <w:noProof/>
        </w:rPr>
      </w:pPr>
      <w:bookmarkStart w:id="15" w:name="_Toc514938019"/>
      <w:bookmarkStart w:id="16" w:name="_Toc520485032"/>
      <w:r>
        <w:t>1.4.3.</w:t>
      </w:r>
      <w:r>
        <w:tab/>
      </w:r>
      <w:r>
        <w:rPr>
          <w:noProof/>
        </w:rPr>
        <w:t>Résultat(s) et incidence(s) attendus</w:t>
      </w:r>
      <w:bookmarkEnd w:id="15"/>
      <w:bookmarkEnd w:id="16"/>
    </w:p>
    <w:p>
      <w:pPr>
        <w:pStyle w:val="Text1"/>
        <w:rPr>
          <w:i/>
          <w:noProof/>
          <w:sz w:val="20"/>
        </w:rPr>
      </w:pPr>
      <w:r>
        <w:rPr>
          <w:i/>
          <w:noProof/>
          <w:sz w:val="20"/>
        </w:rPr>
        <w:t>Préciser les effets que la proposition/l'initiative devrait avoir sur les bénéficiaires/la population visée.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conclusion du protocole permet d’établir un cadre de partenariat stratégique dans le domaine de la pêche entre l’Union européenne et la République de </w:t>
      </w:r>
      <w:r>
        <w:rPr>
          <w:noProof/>
          <w:lang w:val="fr-BE"/>
        </w:rPr>
        <w:t>Guinée Bissau</w:t>
      </w:r>
      <w:r>
        <w:rPr>
          <w:noProof/>
        </w:rPr>
        <w:t xml:space="preserve">. La conclusion du protocole créera des possibilités de pêche pour les navires de l'Union dans les eaux bissau-guinéennes. </w:t>
      </w:r>
    </w:p>
    <w:p>
      <w:pPr>
        <w:pStyle w:val="Text1"/>
        <w:pBdr>
          <w:top w:val="single" w:sz="4" w:space="1" w:color="auto"/>
          <w:left w:val="single" w:sz="4" w:space="4" w:color="auto"/>
          <w:bottom w:val="single" w:sz="4" w:space="1" w:color="auto"/>
          <w:right w:val="single" w:sz="4" w:space="4" w:color="auto"/>
        </w:pBdr>
        <w:rPr>
          <w:noProof/>
        </w:rPr>
      </w:pPr>
      <w:r>
        <w:rPr>
          <w:noProof/>
        </w:rPr>
        <w:t>Le protocole contribue également à la meilleure gestion et conservation des ressources halieutiques, à travers le soutien financier (appui sectoriel) à la mise en œuvre des programmes adoptés au niveau national par le pays partenaire, notamment en matière de suivi et de lutte contre la pêche illicite et d’appui au secteur de la pêche artisanale.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Enfin le protocole contribuera à l’économie bleue de </w:t>
      </w:r>
      <w:r>
        <w:rPr>
          <w:noProof/>
          <w:lang w:val="fr-BE"/>
        </w:rPr>
        <w:t>Guinée Bissau</w:t>
      </w:r>
      <w:r>
        <w:rPr>
          <w:noProof/>
        </w:rPr>
        <w:t>, en favorisant la croissance liée aux activités maritimes et l’exploitation durable de ses ressources marines.</w:t>
      </w:r>
    </w:p>
    <w:p>
      <w:pPr>
        <w:pStyle w:val="ManualHeading3"/>
        <w:rPr>
          <w:noProof/>
          <w:szCs w:val="24"/>
        </w:rPr>
      </w:pPr>
      <w:bookmarkStart w:id="17" w:name="_Toc514938023"/>
      <w:bookmarkStart w:id="18" w:name="_Toc520485033"/>
      <w:r>
        <w:t>1.4.4.</w:t>
      </w:r>
      <w:r>
        <w:tab/>
      </w:r>
      <w:r>
        <w:rPr>
          <w:noProof/>
        </w:rPr>
        <w:t>Indicateurs de performance</w:t>
      </w:r>
      <w:bookmarkEnd w:id="17"/>
      <w:bookmarkEnd w:id="18"/>
    </w:p>
    <w:p>
      <w:pPr>
        <w:pStyle w:val="Text1"/>
        <w:rPr>
          <w:i/>
          <w:noProof/>
          <w:sz w:val="20"/>
        </w:rPr>
      </w:pPr>
      <w:r>
        <w:rPr>
          <w:i/>
          <w:noProof/>
          <w:sz w:val="20"/>
        </w:rPr>
        <w:t>Préciser les indicateurs permettant de suivre l’avancement et les réalisations.</w:t>
      </w:r>
    </w:p>
    <w:p>
      <w:pPr>
        <w:pStyle w:val="Text1"/>
        <w:pBdr>
          <w:top w:val="single" w:sz="4" w:space="1" w:color="auto"/>
          <w:left w:val="single" w:sz="4" w:space="4" w:color="auto"/>
          <w:bottom w:val="single" w:sz="4" w:space="1" w:color="auto"/>
          <w:right w:val="single" w:sz="4" w:space="4" w:color="auto"/>
        </w:pBdr>
        <w:rPr>
          <w:noProof/>
        </w:rPr>
      </w:pPr>
      <w:r>
        <w:rPr>
          <w:noProof/>
        </w:rPr>
        <w:t>Taux d’utilisation des possibilités de pêche (pourcentage annuel des autorisations de pêche utilisées par rapport à la disponibilité offerte par le protocole).</w:t>
      </w:r>
    </w:p>
    <w:p>
      <w:pPr>
        <w:pStyle w:val="Text1"/>
        <w:pBdr>
          <w:top w:val="single" w:sz="4" w:space="1" w:color="auto"/>
          <w:left w:val="single" w:sz="4" w:space="4" w:color="auto"/>
          <w:bottom w:val="single" w:sz="4" w:space="1" w:color="auto"/>
          <w:right w:val="single" w:sz="4" w:space="4" w:color="auto"/>
        </w:pBdr>
        <w:rPr>
          <w:noProof/>
        </w:rPr>
      </w:pPr>
      <w:r>
        <w:rPr>
          <w:noProof/>
        </w:rPr>
        <w:t>Données des captures (collecte et analyse) et valeur commerciale de l’accord.</w:t>
      </w:r>
    </w:p>
    <w:p>
      <w:pPr>
        <w:pStyle w:val="Text1"/>
        <w:pBdr>
          <w:top w:val="single" w:sz="4" w:space="1" w:color="auto"/>
          <w:left w:val="single" w:sz="4" w:space="4" w:color="auto"/>
          <w:bottom w:val="single" w:sz="4" w:space="1" w:color="auto"/>
          <w:right w:val="single" w:sz="4" w:space="4" w:color="auto"/>
        </w:pBdr>
        <w:rPr>
          <w:noProof/>
        </w:rPr>
      </w:pPr>
      <w:r>
        <w:rPr>
          <w:noProof/>
        </w:rPr>
        <w:t>Contribution à l’emploi et à la valeur ajoutée dans l’Union ainsi qu'à la stabilisation du marché de l’Union (au niveau agrégé avec d’autres APPD).</w:t>
      </w:r>
    </w:p>
    <w:p>
      <w:pPr>
        <w:pStyle w:val="Text1"/>
        <w:pBdr>
          <w:top w:val="single" w:sz="4" w:space="1" w:color="auto"/>
          <w:left w:val="single" w:sz="4" w:space="4" w:color="auto"/>
          <w:bottom w:val="single" w:sz="4" w:space="1" w:color="auto"/>
          <w:right w:val="single" w:sz="4" w:space="4" w:color="auto"/>
        </w:pBdr>
        <w:rPr>
          <w:noProof/>
        </w:rPr>
      </w:pPr>
      <w:r>
        <w:rPr>
          <w:noProof/>
        </w:rPr>
        <w:t>Contribution à l’amélioration de la recherche, du suivi et du contrôle des activités de pêche par le pays partenaire et du développement de son secteur de la pêche, notamment artisanale.</w:t>
      </w:r>
    </w:p>
    <w:p>
      <w:pPr>
        <w:pStyle w:val="ManualHeading2"/>
        <w:rPr>
          <w:bCs/>
          <w:noProof/>
          <w:szCs w:val="24"/>
        </w:rPr>
      </w:pPr>
      <w:bookmarkStart w:id="19" w:name="_Toc514938025"/>
      <w:bookmarkStart w:id="20" w:name="_Toc520485034"/>
      <w:r>
        <w:t>1.5.</w:t>
      </w:r>
      <w:r>
        <w:tab/>
      </w:r>
      <w:r>
        <w:rPr>
          <w:noProof/>
        </w:rPr>
        <w:t>Justification(s) de la proposition/de l'initiative</w:t>
      </w:r>
      <w:bookmarkEnd w:id="19"/>
      <w:bookmarkEnd w:id="20"/>
      <w:r>
        <w:rPr>
          <w:noProof/>
        </w:rPr>
        <w:t xml:space="preserve"> </w:t>
      </w:r>
    </w:p>
    <w:p>
      <w:pPr>
        <w:pStyle w:val="ManualHeading3"/>
        <w:rPr>
          <w:noProof/>
        </w:rPr>
      </w:pPr>
      <w:bookmarkStart w:id="21" w:name="_Toc514938026"/>
      <w:bookmarkStart w:id="22" w:name="_Toc520485035"/>
      <w:r>
        <w:t>1.5.1.</w:t>
      </w:r>
      <w:r>
        <w:tab/>
      </w:r>
      <w:r>
        <w:rPr>
          <w:noProof/>
        </w:rPr>
        <w:t>Besoin(s) à satisfaire à court ou à long terme, assorti(s) d’un calendrier détaillé pour la mise en œuvre de l’initiative</w:t>
      </w:r>
      <w:bookmarkEnd w:id="21"/>
      <w:bookmarkEnd w:id="22"/>
    </w:p>
    <w:p>
      <w:pPr>
        <w:pStyle w:val="Text1"/>
        <w:pBdr>
          <w:top w:val="single" w:sz="4" w:space="1" w:color="auto"/>
          <w:left w:val="single" w:sz="4" w:space="4" w:color="auto"/>
          <w:bottom w:val="single" w:sz="4" w:space="1" w:color="auto"/>
          <w:right w:val="single" w:sz="4" w:space="4" w:color="auto"/>
        </w:pBdr>
        <w:rPr>
          <w:noProof/>
        </w:rPr>
      </w:pPr>
      <w:r>
        <w:rPr>
          <w:noProof/>
        </w:rPr>
        <w:t>Il est prévu que le nouveau protocole s’applique de manière provisoire à partir de la date de sa signature afin de limiter l’interruption des opérations de pêche en cours sous le protocole actuel.</w:t>
      </w:r>
    </w:p>
    <w:p>
      <w:pPr>
        <w:pStyle w:val="Text1"/>
        <w:pBdr>
          <w:top w:val="single" w:sz="4" w:space="1" w:color="auto"/>
          <w:left w:val="single" w:sz="4" w:space="4" w:color="auto"/>
          <w:bottom w:val="single" w:sz="4" w:space="1" w:color="auto"/>
          <w:right w:val="single" w:sz="4" w:space="4" w:color="auto"/>
        </w:pBdr>
        <w:rPr>
          <w:noProof/>
        </w:rPr>
      </w:pPr>
      <w:r>
        <w:rPr>
          <w:noProof/>
        </w:rPr>
        <w:t xml:space="preserve">Le nouveau protocole permettra d’encadrer les activités de pêche de la flotte de l’Union dans la zone de pêche de </w:t>
      </w:r>
      <w:r>
        <w:rPr>
          <w:noProof/>
          <w:lang w:val="fr-BE"/>
        </w:rPr>
        <w:t>Guinée Bissau</w:t>
      </w:r>
      <w:r>
        <w:rPr>
          <w:noProof/>
        </w:rPr>
        <w:t xml:space="preserve">, et autorisera les armateurs de l’UE à demander des autorisations de pêche leur permettant de pêcher dans cette zone. En outre, le nouveau protocole renforce la coopération entre l’UE et </w:t>
      </w:r>
      <w:r>
        <w:rPr>
          <w:noProof/>
          <w:lang w:val="fr-BE"/>
        </w:rPr>
        <w:t>Guinée Bissau</w:t>
      </w:r>
      <w:r>
        <w:rPr>
          <w:noProof/>
        </w:rPr>
        <w:t xml:space="preserve"> en vue de promouvoir le développement d’une politique de pêche durable. Il prévoit notamment le suivi des navires par VMS et, la communication des données de captures par voie électronique. L’appui sectoriel disponible en vertu du protocole aidera </w:t>
      </w:r>
      <w:r>
        <w:rPr>
          <w:noProof/>
          <w:lang w:val="fr-BE"/>
        </w:rPr>
        <w:t>Guinée Bissau</w:t>
      </w:r>
      <w:r>
        <w:rPr>
          <w:noProof/>
        </w:rPr>
        <w:t xml:space="preserve"> dans le cadre de sa stratégie nationale en matière de pêche, y compris la lutte contre la pêche INN. </w:t>
      </w:r>
    </w:p>
    <w:p>
      <w:pPr>
        <w:pStyle w:val="ManualHeading3"/>
        <w:rPr>
          <w:bCs/>
          <w:noProof/>
          <w:szCs w:val="24"/>
        </w:rPr>
      </w:pPr>
      <w:bookmarkStart w:id="23" w:name="_Toc514938029"/>
      <w:bookmarkStart w:id="24" w:name="_Toc520485036"/>
      <w:r>
        <w:t>1.5.2.</w:t>
      </w:r>
      <w:r>
        <w:tab/>
      </w:r>
      <w:r>
        <w:rPr>
          <w:noProof/>
        </w:rPr>
        <w:t>Valeur ajoutée de l’intervention de l’Union (celle</w:t>
      </w:r>
      <w:r>
        <w:rPr>
          <w:noProof/>
        </w:rPr>
        <w:noBreakHyphen/>
        <w:t>ci peut résulter de différents facteurs, par exemple gains de coordination, sécurité juridique, efficacité accrue, complémentarités, etc.). Aux fins du présent point, on entend par «valeur ajoutée de l’intervention de l’Union» la valeur découlant de l’intervention de l’Union qui vient s’ajouter à la valeur qui, sans cela, aurait été générée par la seule action des États membres.</w:t>
      </w:r>
      <w:bookmarkEnd w:id="23"/>
      <w:bookmarkEnd w:id="24"/>
    </w:p>
    <w:p>
      <w:pPr>
        <w:pStyle w:val="Text1"/>
        <w:pBdr>
          <w:top w:val="single" w:sz="4" w:space="1" w:color="auto"/>
          <w:left w:val="single" w:sz="4" w:space="4" w:color="auto"/>
          <w:bottom w:val="single" w:sz="4" w:space="1" w:color="auto"/>
          <w:right w:val="single" w:sz="4" w:space="4" w:color="auto"/>
        </w:pBdr>
        <w:rPr>
          <w:noProof/>
        </w:rPr>
      </w:pPr>
      <w:r>
        <w:rPr>
          <w:noProof/>
        </w:rPr>
        <w:t xml:space="preserve">Si l’Union ne conclut pas de nouveau protocole, les navires de l’Union ne pourraient pas exercer leurs activités de pêche, étant donné que l’accord comporte une clause excluant les activités de pêche ne se déroulant pas dans le cadre défini par un protocole à l’accord. La valeur ajoutée est donc explicite pour la flotte UE de longue distance. Le protocole offre également un cadre pour une coopération renforcée entre l’Union et </w:t>
      </w:r>
      <w:r>
        <w:rPr>
          <w:noProof/>
          <w:lang w:val="fr-BE"/>
        </w:rPr>
        <w:t>Guinée Bissau</w:t>
      </w:r>
      <w:r>
        <w:rPr>
          <w:noProof/>
        </w:rPr>
        <w:t xml:space="preserve">. </w:t>
      </w:r>
    </w:p>
    <w:p>
      <w:pPr>
        <w:pStyle w:val="ManualHeading3"/>
        <w:rPr>
          <w:noProof/>
        </w:rPr>
      </w:pPr>
      <w:bookmarkStart w:id="25" w:name="_Toc514938030"/>
      <w:bookmarkStart w:id="26" w:name="_Toc520485037"/>
      <w:r>
        <w:rPr>
          <w:noProof/>
        </w:rPr>
        <w:br w:type="page"/>
      </w:r>
      <w:r>
        <w:t>1.5.3.</w:t>
      </w:r>
      <w:r>
        <w:tab/>
      </w:r>
      <w:r>
        <w:rPr>
          <w:noProof/>
        </w:rPr>
        <w:t>Leçons tirées d'expériences similaires</w:t>
      </w:r>
      <w:bookmarkEnd w:id="25"/>
      <w:bookmarkEnd w:id="26"/>
    </w:p>
    <w:p>
      <w:pPr>
        <w:pStyle w:val="Text1"/>
        <w:pBdr>
          <w:top w:val="single" w:sz="4" w:space="1" w:color="auto"/>
          <w:left w:val="single" w:sz="4" w:space="4" w:color="auto"/>
          <w:bottom w:val="single" w:sz="4" w:space="1" w:color="auto"/>
          <w:right w:val="single" w:sz="4" w:space="4" w:color="auto"/>
        </w:pBdr>
        <w:rPr>
          <w:noProof/>
          <w:lang w:val="fr-BE"/>
        </w:rPr>
      </w:pPr>
      <w:r>
        <w:rPr>
          <w:noProof/>
        </w:rPr>
        <w:t xml:space="preserve">L’analyse des captures historiques dans la zone de pêche de </w:t>
      </w:r>
      <w:r>
        <w:rPr>
          <w:noProof/>
          <w:lang w:val="fr-BE"/>
        </w:rPr>
        <w:t>Guinée Bissau</w:t>
      </w:r>
      <w:r>
        <w:rPr>
          <w:noProof/>
        </w:rPr>
        <w:t xml:space="preserve"> et des captures récentes dans le cadre de protocoles similaires dans la région, ainsi que les évaluations et avis scientifiques disponibles, ont conduit les parties à fixer de </w:t>
      </w:r>
      <w:r>
        <w:rPr>
          <w:noProof/>
          <w:lang w:val="fr-BE"/>
        </w:rPr>
        <w:t xml:space="preserve">possibilités de pêche exprimées en efforts de pêche (TJB) pour les deux premières années, et en limite de captures (TAC) pour les trois dernières années pour les suivants catégories : chalutiers crevettiers congélateurs, chalutiers congélateurs poissonniers et céphalopodiers, chalutiers pour petits pélagiques. Le protocole prévoit aussi </w:t>
      </w:r>
      <w:r>
        <w:rPr>
          <w:noProof/>
        </w:rPr>
        <w:t xml:space="preserve">des possibilités de pêche pour thoniers senneurs congélateurs et palangriers, et thoniers canneurs. L’appui sectoriel est relativement important afin de tenir compte des besoins en termes de renforcement des capacités de l’administration des pêches de </w:t>
      </w:r>
      <w:r>
        <w:rPr>
          <w:noProof/>
          <w:lang w:val="fr-BE"/>
        </w:rPr>
        <w:t>Guinée Bissau</w:t>
      </w:r>
      <w:r>
        <w:rPr>
          <w:noProof/>
        </w:rPr>
        <w:t xml:space="preserve"> et des priorités de la stratégie nationale en matière de pêche, ainsi que des plans de soutien à l’économie bleue de cet État côtier.</w:t>
      </w:r>
    </w:p>
    <w:p>
      <w:pPr>
        <w:pStyle w:val="ManualHeading3"/>
        <w:rPr>
          <w:noProof/>
        </w:rPr>
      </w:pPr>
      <w:bookmarkStart w:id="27" w:name="_Toc514938033"/>
      <w:bookmarkStart w:id="28" w:name="_Toc520485038"/>
      <w:r>
        <w:t>1.5.4.</w:t>
      </w:r>
      <w:r>
        <w:tab/>
      </w:r>
      <w:r>
        <w:rPr>
          <w:noProof/>
        </w:rPr>
        <w:t>Compatibilité avec le cadre financier pluriannuel et synergies éventuelles avec d’autres instruments appropriés</w:t>
      </w:r>
      <w:bookmarkEnd w:id="27"/>
      <w:bookmarkEnd w:id="28"/>
    </w:p>
    <w:p>
      <w:pPr>
        <w:pStyle w:val="Text1"/>
        <w:pBdr>
          <w:top w:val="single" w:sz="4" w:space="1" w:color="auto"/>
          <w:left w:val="single" w:sz="4" w:space="4" w:color="auto"/>
          <w:bottom w:val="single" w:sz="4" w:space="1" w:color="auto"/>
          <w:right w:val="single" w:sz="4" w:space="4" w:color="auto"/>
        </w:pBdr>
        <w:rPr>
          <w:noProof/>
        </w:rPr>
      </w:pPr>
      <w:r>
        <w:rPr>
          <w:noProof/>
        </w:rPr>
        <w:t xml:space="preserve">Les fonds alloués au titre de la compensation financière pour l’accès de l’APP constituent des recettes fongibles dans le budget national de </w:t>
      </w:r>
      <w:r>
        <w:rPr>
          <w:noProof/>
          <w:lang w:val="fr-BE"/>
        </w:rPr>
        <w:t>Guinée Bissau</w:t>
      </w:r>
      <w:r>
        <w:rPr>
          <w:noProof/>
        </w:rPr>
        <w:t>. Toutefois, les fonds dédiés à l’appui sectoriel sont affectés (généralement via inscription dans la loi annuelle des finances) au Ministère compétent pour la pêche, ceci étant une condition pour la conclusion et le suivi des APP. Ces ressources financières sont compatibles avec d’autres sources de financement en provenance d’autres bailleurs de fonds internationaux pour la réalisation de projets et/ou des programmes réalisés au niveau national dans le secteur de la pêche.</w:t>
      </w:r>
    </w:p>
    <w:p>
      <w:pPr>
        <w:pStyle w:val="ManualHeading3"/>
        <w:rPr>
          <w:noProof/>
        </w:rPr>
      </w:pPr>
      <w:bookmarkStart w:id="29" w:name="_Toc514938036"/>
      <w:bookmarkStart w:id="30" w:name="_Toc520485039"/>
      <w:r>
        <w:t>1.5.5.</w:t>
      </w:r>
      <w:r>
        <w:tab/>
      </w:r>
      <w:r>
        <w:rPr>
          <w:noProof/>
        </w:rPr>
        <w:t>Évaluation des différentes possibilités de financement disponibles, y compris des possibilités de redéploiement</w:t>
      </w:r>
      <w:bookmarkEnd w:id="29"/>
      <w:bookmarkEnd w:id="30"/>
    </w:p>
    <w:p>
      <w:pPr>
        <w:pStyle w:val="Text1"/>
        <w:pBdr>
          <w:top w:val="single" w:sz="4" w:space="1" w:color="auto"/>
          <w:left w:val="single" w:sz="4" w:space="4" w:color="auto"/>
          <w:bottom w:val="single" w:sz="4" w:space="1" w:color="auto"/>
          <w:right w:val="single" w:sz="4" w:space="4" w:color="auto"/>
        </w:pBdr>
        <w:rPr>
          <w:noProof/>
        </w:rPr>
      </w:pPr>
    </w:p>
    <w:p>
      <w:pPr>
        <w:pStyle w:val="Text1"/>
        <w:pBdr>
          <w:top w:val="single" w:sz="4" w:space="1" w:color="auto"/>
          <w:left w:val="single" w:sz="4" w:space="4" w:color="auto"/>
          <w:bottom w:val="single" w:sz="4" w:space="1" w:color="auto"/>
          <w:right w:val="single" w:sz="4" w:space="4" w:color="auto"/>
        </w:pBdr>
        <w:rPr>
          <w:noProof/>
        </w:rPr>
      </w:pPr>
    </w:p>
    <w:p>
      <w:pPr>
        <w:pStyle w:val="Text1"/>
        <w:rPr>
          <w:noProof/>
        </w:rPr>
      </w:pPr>
    </w:p>
    <w:p>
      <w:pPr>
        <w:pStyle w:val="ManualHeading2"/>
        <w:rPr>
          <w:bCs/>
          <w:noProof/>
          <w:szCs w:val="24"/>
        </w:rPr>
      </w:pPr>
      <w:bookmarkStart w:id="31" w:name="_Toc514938039"/>
      <w:bookmarkStart w:id="32" w:name="_Toc520485040"/>
      <w:r>
        <w:t>1.6.</w:t>
      </w:r>
      <w:r>
        <w:tab/>
      </w:r>
      <w:r>
        <w:rPr>
          <w:noProof/>
        </w:rPr>
        <w:t>Durée et incidence financière de la proposition/de l'initiative</w:t>
      </w:r>
      <w:bookmarkEnd w:id="31"/>
      <w:bookmarkEnd w:id="32"/>
    </w:p>
    <w:p>
      <w:pPr>
        <w:pStyle w:val="Text1"/>
        <w:rPr>
          <w:noProof/>
        </w:rPr>
      </w:pPr>
      <w:r>
        <w:rPr>
          <w:b/>
          <w:noProof/>
        </w:rPr>
        <w:t>X</w:t>
      </w:r>
      <w:r>
        <w:rPr>
          <w:b/>
          <w:i/>
          <w:noProof/>
        </w:rPr>
        <w:t xml:space="preserve"> </w:t>
      </w:r>
      <w:r>
        <w:rPr>
          <w:b/>
          <w:noProof/>
        </w:rPr>
        <w:t xml:space="preserve">durée limitée </w:t>
      </w:r>
    </w:p>
    <w:p>
      <w:pPr>
        <w:pStyle w:val="ListDash2"/>
        <w:rPr>
          <w:noProof/>
        </w:rPr>
      </w:pPr>
      <w:r>
        <w:rPr>
          <w:noProof/>
        </w:rPr>
        <w:t>X</w:t>
      </w:r>
      <w:r>
        <w:rPr>
          <w:noProof/>
        </w:rPr>
        <w:tab/>
        <w:t xml:space="preserve">En vigueur à partir de 2019 jusqu’à 2024 </w:t>
      </w:r>
    </w:p>
    <w:p>
      <w:pPr>
        <w:pStyle w:val="ListDash2"/>
        <w:rPr>
          <w:noProof/>
        </w:rPr>
      </w:pPr>
      <w:r>
        <w:rPr>
          <w:noProof/>
        </w:rPr>
        <w:t>X</w:t>
      </w:r>
      <w:r>
        <w:rPr>
          <w:noProof/>
        </w:rPr>
        <w:tab/>
        <w:t xml:space="preserve">Incidence financière de 2019 jusqu’à 2024 pour les crédits d’engagement et de 2019 jusqu’à 2024 pour les crédits de paiement. </w:t>
      </w:r>
    </w:p>
    <w:p>
      <w:pPr>
        <w:pStyle w:val="Text1"/>
        <w:rPr>
          <w:noProof/>
        </w:rPr>
      </w:pPr>
      <w:r>
        <w:rPr>
          <w:noProof/>
        </w:rPr>
        <w:sym w:font="Wingdings" w:char="F0A8"/>
      </w:r>
      <w:r>
        <w:rPr>
          <w:b/>
          <w:i/>
          <w:noProof/>
        </w:rPr>
        <w:t xml:space="preserve"> </w:t>
      </w:r>
      <w:r>
        <w:rPr>
          <w:b/>
          <w:noProof/>
        </w:rPr>
        <w:t>durée illimitée</w:t>
      </w:r>
    </w:p>
    <w:p>
      <w:pPr>
        <w:pStyle w:val="ListDash1"/>
        <w:rPr>
          <w:noProof/>
        </w:rPr>
      </w:pPr>
      <w:r>
        <w:rPr>
          <w:noProof/>
        </w:rPr>
        <w:t>Mise en œuvre avec une période de montée en puissance de AAAA jusqu'en AAAA,</w:t>
      </w:r>
    </w:p>
    <w:p>
      <w:pPr>
        <w:pStyle w:val="ListDash1"/>
        <w:rPr>
          <w:noProof/>
        </w:rPr>
      </w:pPr>
      <w:r>
        <w:rPr>
          <w:noProof/>
        </w:rPr>
        <w:t>puis un fonctionnement en rythme de croisière au-delà.</w:t>
      </w:r>
    </w:p>
    <w:p>
      <w:pPr>
        <w:pStyle w:val="ManualHeading2"/>
        <w:rPr>
          <w:bCs/>
          <w:noProof/>
          <w:szCs w:val="24"/>
        </w:rPr>
      </w:pPr>
      <w:bookmarkStart w:id="33" w:name="_Toc514938040"/>
      <w:bookmarkStart w:id="34" w:name="_Toc520485041"/>
      <w:r>
        <w:t>1.7.</w:t>
      </w:r>
      <w:r>
        <w:tab/>
      </w:r>
      <w:r>
        <w:rPr>
          <w:noProof/>
        </w:rPr>
        <w:t>Mode(s) de gestion prévu(s)</w:t>
      </w:r>
      <w:r>
        <w:rPr>
          <w:rStyle w:val="FootnoteReference"/>
          <w:noProof/>
        </w:rPr>
        <w:footnoteReference w:id="9"/>
      </w:r>
      <w:bookmarkEnd w:id="33"/>
      <w:bookmarkEnd w:id="34"/>
      <w:r>
        <w:rPr>
          <w:rStyle w:val="FootnoteReference"/>
          <w:noProof/>
        </w:rPr>
        <w:t xml:space="preserve"> </w:t>
      </w:r>
    </w:p>
    <w:p>
      <w:pPr>
        <w:pStyle w:val="Text1"/>
        <w:rPr>
          <w:noProof/>
        </w:rPr>
      </w:pPr>
      <w:r>
        <w:rPr>
          <w:b/>
          <w:noProof/>
        </w:rPr>
        <w:t>X</w:t>
      </w:r>
      <w:r>
        <w:rPr>
          <w:i/>
          <w:noProof/>
        </w:rPr>
        <w:t xml:space="preserve"> </w:t>
      </w:r>
      <w:r>
        <w:rPr>
          <w:b/>
          <w:noProof/>
        </w:rPr>
        <w:t>Gestion directe</w:t>
      </w:r>
      <w:r>
        <w:rPr>
          <w:noProof/>
        </w:rPr>
        <w:t xml:space="preserve"> par la Commission</w:t>
      </w:r>
    </w:p>
    <w:p>
      <w:pPr>
        <w:pStyle w:val="ListDash2"/>
        <w:rPr>
          <w:rFonts w:cs="EUAlbertina"/>
          <w:noProof/>
        </w:rPr>
      </w:pPr>
      <w:r>
        <w:rPr>
          <w:b/>
          <w:noProof/>
        </w:rPr>
        <w:t>X</w:t>
      </w:r>
      <w:r>
        <w:rPr>
          <w:noProof/>
        </w:rPr>
        <w:t xml:space="preserve"> dans ses services, y compris par l’intermédiaire de son personnel dans les délégations de l’Union; </w:t>
      </w:r>
    </w:p>
    <w:p>
      <w:pPr>
        <w:pStyle w:val="ListDash2"/>
        <w:rPr>
          <w:noProof/>
        </w:rPr>
      </w:pPr>
      <w:r>
        <w:rPr>
          <w:noProof/>
        </w:rPr>
        <w:sym w:font="Wingdings" w:char="F0A8"/>
      </w:r>
      <w:r>
        <w:rPr>
          <w:noProof/>
        </w:rPr>
        <w:tab/>
        <w:t xml:space="preserve">par les agences exécutives </w:t>
      </w:r>
    </w:p>
    <w:p>
      <w:pPr>
        <w:pStyle w:val="Text1"/>
        <w:rPr>
          <w:noProof/>
        </w:rPr>
      </w:pPr>
      <w:r>
        <w:rPr>
          <w:noProof/>
        </w:rPr>
        <w:sym w:font="Wingdings" w:char="F0A8"/>
      </w:r>
      <w:r>
        <w:rPr>
          <w:b/>
          <w:i/>
          <w:noProof/>
        </w:rPr>
        <w:t xml:space="preserve"> </w:t>
      </w:r>
      <w:r>
        <w:rPr>
          <w:b/>
          <w:noProof/>
        </w:rPr>
        <w:t>Gestion partagée</w:t>
      </w:r>
      <w:r>
        <w:rPr>
          <w:noProof/>
        </w:rPr>
        <w:t xml:space="preserve"> avec les États membres </w:t>
      </w:r>
    </w:p>
    <w:p>
      <w:pPr>
        <w:pStyle w:val="Text1"/>
        <w:rPr>
          <w:noProof/>
        </w:rPr>
      </w:pPr>
      <w:r>
        <w:rPr>
          <w:noProof/>
        </w:rPr>
        <w:sym w:font="Wingdings" w:char="F0A8"/>
      </w:r>
      <w:r>
        <w:rPr>
          <w:i/>
          <w:noProof/>
        </w:rPr>
        <w:t xml:space="preserve"> </w:t>
      </w:r>
      <w:r>
        <w:rPr>
          <w:b/>
          <w:noProof/>
        </w:rPr>
        <w:t>Gestion indirecte</w:t>
      </w:r>
      <w:r>
        <w:rPr>
          <w:noProof/>
        </w:rPr>
        <w:t xml:space="preserve"> en confiant des tâches d’exécution budgétaire:</w:t>
      </w:r>
    </w:p>
    <w:p>
      <w:pPr>
        <w:pStyle w:val="ListDash2"/>
        <w:rPr>
          <w:noProof/>
        </w:rPr>
      </w:pPr>
      <w:r>
        <w:rPr>
          <w:noProof/>
        </w:rPr>
        <w:sym w:font="Wingdings" w:char="F0A8"/>
      </w:r>
      <w:r>
        <w:rPr>
          <w:noProof/>
        </w:rPr>
        <w:t xml:space="preserve"> à des pays tiers ou aux organismes qu’ils ont désignés;</w:t>
      </w:r>
    </w:p>
    <w:p>
      <w:pPr>
        <w:pStyle w:val="ListDash2"/>
        <w:rPr>
          <w:noProof/>
        </w:rPr>
      </w:pPr>
      <w:r>
        <w:rPr>
          <w:noProof/>
        </w:rPr>
        <w:sym w:font="Wingdings" w:char="F0A8"/>
      </w:r>
      <w:r>
        <w:rPr>
          <w:noProof/>
        </w:rPr>
        <w:t xml:space="preserve"> à des organisations internationales et à leurs agences (à préciser);</w:t>
      </w:r>
    </w:p>
    <w:p>
      <w:pPr>
        <w:pStyle w:val="ListDash2"/>
        <w:rPr>
          <w:noProof/>
        </w:rPr>
      </w:pPr>
      <w:r>
        <w:rPr>
          <w:noProof/>
        </w:rPr>
        <w:sym w:font="Wingdings" w:char="F0A8"/>
      </w:r>
      <w:r>
        <w:rPr>
          <w:noProof/>
        </w:rPr>
        <w:t xml:space="preserve"> à la BEI et au Fonds européen d’investissement;</w:t>
      </w:r>
    </w:p>
    <w:p>
      <w:pPr>
        <w:pStyle w:val="ListDash2"/>
        <w:rPr>
          <w:noProof/>
        </w:rPr>
      </w:pPr>
      <w:r>
        <w:rPr>
          <w:noProof/>
        </w:rPr>
        <w:sym w:font="Wingdings" w:char="F0A8"/>
      </w:r>
      <w:r>
        <w:rPr>
          <w:noProof/>
        </w:rPr>
        <w:t xml:space="preserve"> aux organismes visés aux articles 70 et 71 du règlement financier;</w:t>
      </w:r>
    </w:p>
    <w:p>
      <w:pPr>
        <w:pStyle w:val="ListDash2"/>
        <w:rPr>
          <w:noProof/>
        </w:rPr>
      </w:pPr>
      <w:r>
        <w:rPr>
          <w:noProof/>
        </w:rPr>
        <w:sym w:font="Wingdings" w:char="F0A8"/>
      </w:r>
      <w:r>
        <w:rPr>
          <w:noProof/>
        </w:rPr>
        <w:t xml:space="preserve"> à des organismes de droit public;</w:t>
      </w:r>
    </w:p>
    <w:p>
      <w:pPr>
        <w:pStyle w:val="ListDash2"/>
        <w:rPr>
          <w:noProof/>
        </w:rPr>
      </w:pPr>
      <w:r>
        <w:rPr>
          <w:noProof/>
        </w:rPr>
        <w:sym w:font="Wingdings" w:char="F0A8"/>
      </w:r>
      <w:r>
        <w:rPr>
          <w:noProof/>
        </w:rPr>
        <w:t xml:space="preserve"> à des organismes de droit privé investis d’une mission de service public, pour autant qu’ils présentent les garanties financières suffisantes;</w:t>
      </w:r>
    </w:p>
    <w:p>
      <w:pPr>
        <w:pStyle w:val="ListDash2"/>
        <w:rPr>
          <w:noProof/>
        </w:rPr>
      </w:pPr>
      <w:r>
        <w:rPr>
          <w:noProof/>
        </w:rPr>
        <w:sym w:font="Wingdings" w:char="F0A8"/>
      </w:r>
      <w:r>
        <w:rPr>
          <w:noProof/>
        </w:rPr>
        <w:t xml:space="preserve"> à des organismes de droit privé d’un État membre qui sont chargés de la mise en œuvre d’un partenariat public</w:t>
      </w:r>
      <w:r>
        <w:rPr>
          <w:noProof/>
        </w:rPr>
        <w:noBreakHyphen/>
        <w:t>privé et présentent les garanties financières suffisantes;</w:t>
      </w:r>
    </w:p>
    <w:p>
      <w:pPr>
        <w:pStyle w:val="ListDash2"/>
        <w:rPr>
          <w:noProof/>
        </w:rPr>
      </w:pPr>
      <w:r>
        <w:rPr>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pPr>
        <w:pStyle w:val="ListDash2"/>
        <w:rPr>
          <w:i/>
          <w:noProof/>
          <w:sz w:val="18"/>
          <w:u w:val="single"/>
        </w:rPr>
      </w:pPr>
      <w:r>
        <w:rPr>
          <w:i/>
          <w:noProof/>
          <w:sz w:val="18"/>
        </w:rPr>
        <w:t>Si plusieurs modes de gestion sont indiqués, veuillez donner des précisions dans la partie «Remarques».</w:t>
      </w:r>
    </w:p>
    <w:p>
      <w:pPr>
        <w:rPr>
          <w:noProof/>
        </w:rPr>
      </w:pPr>
      <w:r>
        <w:rPr>
          <w:noProof/>
        </w:rPr>
        <w:t xml:space="preserve">Remarques </w:t>
      </w:r>
    </w:p>
    <w:p>
      <w:pPr>
        <w:pBdr>
          <w:top w:val="single" w:sz="4" w:space="1" w:color="auto"/>
          <w:left w:val="single" w:sz="4" w:space="4" w:color="auto"/>
          <w:bottom w:val="single" w:sz="4" w:space="1" w:color="auto"/>
          <w:right w:val="single" w:sz="4" w:space="4" w:color="auto"/>
        </w:pBdr>
        <w:rPr>
          <w:noProof/>
        </w:rPr>
      </w:pPr>
    </w:p>
    <w:p>
      <w:pPr>
        <w:pBdr>
          <w:top w:val="single" w:sz="4" w:space="1" w:color="auto"/>
          <w:left w:val="single" w:sz="4" w:space="4" w:color="auto"/>
          <w:bottom w:val="single" w:sz="4" w:space="1" w:color="auto"/>
          <w:right w:val="single" w:sz="4" w:space="4" w:color="auto"/>
        </w:pBdr>
        <w:rPr>
          <w:noProof/>
        </w:rPr>
      </w:pP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35" w:name="_Toc514938041"/>
      <w:bookmarkStart w:id="36" w:name="_Toc520485042"/>
      <w:r>
        <w:t>2.</w:t>
      </w:r>
      <w:r>
        <w:tab/>
      </w:r>
      <w:r>
        <w:rPr>
          <w:noProof/>
        </w:rPr>
        <w:t>MESURES DE GESTION</w:t>
      </w:r>
      <w:bookmarkEnd w:id="35"/>
      <w:bookmarkEnd w:id="36"/>
      <w:r>
        <w:rPr>
          <w:noProof/>
        </w:rPr>
        <w:t xml:space="preserve"> </w:t>
      </w:r>
    </w:p>
    <w:p>
      <w:pPr>
        <w:pStyle w:val="ManualHeading2"/>
        <w:rPr>
          <w:noProof/>
        </w:rPr>
      </w:pPr>
      <w:bookmarkStart w:id="37" w:name="_Toc514938042"/>
      <w:bookmarkStart w:id="38" w:name="_Toc520485043"/>
      <w:r>
        <w:t>2.1.</w:t>
      </w:r>
      <w:r>
        <w:tab/>
      </w:r>
      <w:r>
        <w:rPr>
          <w:noProof/>
        </w:rPr>
        <w:t>Dispositions en matière de suivi et de compte rendu</w:t>
      </w:r>
      <w:bookmarkEnd w:id="37"/>
      <w:bookmarkEnd w:id="38"/>
      <w:r>
        <w:rPr>
          <w:noProof/>
        </w:rPr>
        <w:t xml:space="preserve"> </w:t>
      </w:r>
    </w:p>
    <w:p>
      <w:pPr>
        <w:pStyle w:val="Text1"/>
        <w:rPr>
          <w:i/>
          <w:noProof/>
          <w:sz w:val="20"/>
        </w:rPr>
      </w:pPr>
      <w:r>
        <w:rPr>
          <w:i/>
          <w:noProof/>
          <w:sz w:val="20"/>
        </w:rPr>
        <w:t>Préciser la fréquence et les conditions de ces dispositions.</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(DG MARE, en collaboration avec son attaché pêche établi dans la région – Dakar, Sénégal) assurera un suivi régulier de la mise en œuvre du protocole en ce qui concerne l’utilisation par les opérateurs des possibilités de pêche, les données de captures et le respect des conditions de l’appui sectoriel. </w:t>
      </w:r>
    </w:p>
    <w:p>
      <w:pPr>
        <w:pBdr>
          <w:top w:val="single" w:sz="4" w:space="1" w:color="auto"/>
          <w:left w:val="single" w:sz="4" w:space="4" w:color="auto"/>
          <w:bottom w:val="single" w:sz="4" w:space="1" w:color="auto"/>
          <w:right w:val="single" w:sz="4" w:space="4" w:color="auto"/>
        </w:pBdr>
        <w:ind w:left="850"/>
        <w:rPr>
          <w:noProof/>
        </w:rPr>
      </w:pPr>
      <w:r>
        <w:rPr>
          <w:noProof/>
        </w:rPr>
        <w:t xml:space="preserve">En outre, l’APP prévoit au moins une réunion annuelle de la commission mixte pendant laquelle la Commission et </w:t>
      </w:r>
      <w:r>
        <w:rPr>
          <w:noProof/>
          <w:lang w:val="fr-BE"/>
        </w:rPr>
        <w:t>Guinée Bissau</w:t>
      </w:r>
      <w:r>
        <w:rPr>
          <w:noProof/>
        </w:rPr>
        <w:t xml:space="preserve"> font le point sur la mise en œuvre de l’accord et de son protocole et apportent, si nécessaire, des ajustements à la programmation et, le cas échéant, à la contrepartie financière.</w:t>
      </w:r>
    </w:p>
    <w:p>
      <w:pPr>
        <w:pStyle w:val="ManualHeading2"/>
        <w:rPr>
          <w:bCs/>
          <w:noProof/>
          <w:szCs w:val="24"/>
        </w:rPr>
      </w:pPr>
      <w:bookmarkStart w:id="39" w:name="_Toc514938045"/>
      <w:bookmarkStart w:id="40" w:name="_Toc520485044"/>
      <w:r>
        <w:t>2.2.</w:t>
      </w:r>
      <w:r>
        <w:tab/>
      </w:r>
      <w:r>
        <w:rPr>
          <w:noProof/>
        </w:rPr>
        <w:t>Système(s) de gestion et de contrôle</w:t>
      </w:r>
      <w:bookmarkEnd w:id="39"/>
      <w:bookmarkEnd w:id="40"/>
      <w:r>
        <w:rPr>
          <w:noProof/>
        </w:rPr>
        <w:t xml:space="preserve"> </w:t>
      </w:r>
    </w:p>
    <w:p>
      <w:pPr>
        <w:pStyle w:val="ManualHeading3"/>
        <w:rPr>
          <w:noProof/>
        </w:rPr>
      </w:pPr>
      <w:bookmarkStart w:id="41" w:name="_Toc514938046"/>
      <w:bookmarkStart w:id="42" w:name="_Toc520485045"/>
      <w:r>
        <w:t>2.2.1.</w:t>
      </w:r>
      <w:r>
        <w:tab/>
      </w:r>
      <w:r>
        <w:rPr>
          <w:noProof/>
        </w:rPr>
        <w:t>Justification du (des) mode(s) de gestion, du (des) mécanisme(s) de mise en œuvre du financement, des modalités de paiement et de la stratégie de contrôle proposée</w:t>
      </w:r>
      <w:bookmarkEnd w:id="41"/>
      <w:bookmarkEnd w:id="42"/>
    </w:p>
    <w:p>
      <w:pPr>
        <w:pBdr>
          <w:top w:val="single" w:sz="4" w:space="1" w:color="auto"/>
          <w:left w:val="single" w:sz="4" w:space="4" w:color="auto"/>
          <w:bottom w:val="single" w:sz="4" w:space="1" w:color="auto"/>
          <w:right w:val="single" w:sz="4" w:space="4" w:color="auto"/>
        </w:pBdr>
        <w:ind w:left="850"/>
        <w:rPr>
          <w:noProof/>
        </w:rPr>
      </w:pPr>
      <w:r>
        <w:rPr>
          <w:noProof/>
        </w:rPr>
        <w:t xml:space="preserve">Le risque identifié est une sous-utilisation des possibilités de pêche de la part des armateurs de l’UE et une sous-utilisation ou des retards dans l’utilisation des fonds destinés au financement de la politique sectorielle de la pêche par </w:t>
      </w:r>
      <w:r>
        <w:rPr>
          <w:noProof/>
          <w:lang w:val="fr-BE"/>
        </w:rPr>
        <w:t>Guinée Bissau</w:t>
      </w:r>
      <w:r>
        <w:rPr>
          <w:noProof/>
        </w:rPr>
        <w:t xml:space="preserve">. </w:t>
      </w:r>
    </w:p>
    <w:p>
      <w:pPr>
        <w:pStyle w:val="ManualHeading3"/>
        <w:rPr>
          <w:bCs/>
          <w:noProof/>
          <w:szCs w:val="24"/>
        </w:rPr>
      </w:pPr>
      <w:bookmarkStart w:id="43" w:name="_Toc514938047"/>
      <w:bookmarkStart w:id="44" w:name="_Toc520485046"/>
      <w:r>
        <w:t>2.2.2.</w:t>
      </w:r>
      <w:r>
        <w:tab/>
      </w:r>
      <w:r>
        <w:rPr>
          <w:noProof/>
        </w:rPr>
        <w:t>Informations sur les risques recensés et sur le(s) système(s) de contrôle interne mis en place pour les atténuer</w:t>
      </w:r>
      <w:bookmarkEnd w:id="43"/>
      <w:bookmarkEnd w:id="44"/>
    </w:p>
    <w:p>
      <w:pPr>
        <w:pStyle w:val="Text1"/>
        <w:pBdr>
          <w:top w:val="single" w:sz="4" w:space="1" w:color="auto"/>
          <w:left w:val="single" w:sz="4" w:space="4" w:color="auto"/>
          <w:bottom w:val="single" w:sz="4" w:space="1" w:color="auto"/>
          <w:right w:val="single" w:sz="4" w:space="4" w:color="auto"/>
        </w:pBdr>
        <w:rPr>
          <w:noProof/>
          <w:lang w:val="fr-BE"/>
        </w:rPr>
      </w:pPr>
      <w:r>
        <w:rPr>
          <w:noProof/>
        </w:rPr>
        <w:t>Il est prévu un dialogue soutenu sur la programmation et la mise en œuvre de la politique sectorielle prévue par l’accord et le protocole. L’analyse conjointe des résultats indiquée à l’article 5 du protocole fait également partie de ces moyens de contrôle.</w:t>
      </w:r>
    </w:p>
    <w:p>
      <w:pPr>
        <w:pBdr>
          <w:top w:val="single" w:sz="4" w:space="1" w:color="auto"/>
          <w:left w:val="single" w:sz="4" w:space="4" w:color="auto"/>
          <w:bottom w:val="single" w:sz="4" w:space="1" w:color="auto"/>
          <w:right w:val="single" w:sz="4" w:space="4" w:color="auto"/>
        </w:pBdr>
        <w:ind w:left="850"/>
        <w:rPr>
          <w:noProof/>
        </w:rPr>
      </w:pPr>
      <w:r>
        <w:rPr>
          <w:noProof/>
        </w:rPr>
        <w:t>Par ailleurs l’accord et le protocole prévoient des clauses spécifiques pour leur suspension, à certaines conditions et dans des circonstances déterminées.</w:t>
      </w:r>
    </w:p>
    <w:p>
      <w:pPr>
        <w:pStyle w:val="ManualHeading3"/>
        <w:rPr>
          <w:noProof/>
        </w:rPr>
      </w:pPr>
      <w:bookmarkStart w:id="45" w:name="_Toc514938048"/>
      <w:bookmarkStart w:id="46" w:name="_Toc520485047"/>
      <w:r>
        <w:rPr>
          <w:noProof/>
          <w:lang w:val="fr-BE"/>
        </w:rPr>
        <w:br w:type="page"/>
      </w:r>
      <w:r>
        <w:t>2.2.3.</w:t>
      </w:r>
      <w:r>
        <w:tab/>
      </w:r>
      <w:r>
        <w:rPr>
          <w:noProof/>
        </w:rPr>
        <w:t>Estimation et justification du rapport coût/efficacité des contrôles (rapport «coûts du contrôle ÷ valeur des fonds gérés concernés»), et évaluation du niveau attendu de risque d’erreur (lors du paiement et lors de la clôture)</w:t>
      </w:r>
      <w:bookmarkEnd w:id="45"/>
      <w:bookmarkEnd w:id="46"/>
      <w:r>
        <w:rPr>
          <w:noProof/>
        </w:rPr>
        <w:t xml:space="preserve"> </w:t>
      </w:r>
    </w:p>
    <w:p>
      <w:pPr>
        <w:pStyle w:val="Text1"/>
        <w:pBdr>
          <w:top w:val="single" w:sz="4" w:space="1" w:color="auto"/>
          <w:left w:val="single" w:sz="4" w:space="4" w:color="auto"/>
          <w:bottom w:val="single" w:sz="4" w:space="1" w:color="auto"/>
          <w:right w:val="single" w:sz="4" w:space="4" w:color="auto"/>
        </w:pBdr>
        <w:rPr>
          <w:noProof/>
          <w:lang w:val="fr-BE"/>
        </w:rPr>
      </w:pPr>
    </w:p>
    <w:p>
      <w:pPr>
        <w:pStyle w:val="ManualHeading2"/>
        <w:rPr>
          <w:bCs/>
          <w:noProof/>
          <w:szCs w:val="24"/>
        </w:rPr>
      </w:pPr>
      <w:bookmarkStart w:id="47" w:name="_Toc514938049"/>
      <w:bookmarkStart w:id="48" w:name="_Toc520485048"/>
      <w:r>
        <w:t>2.3.</w:t>
      </w:r>
      <w:r>
        <w:tab/>
      </w:r>
      <w:r>
        <w:rPr>
          <w:noProof/>
        </w:rPr>
        <w:t>Mesures de prévention des fraudes et irrégularités</w:t>
      </w:r>
      <w:bookmarkEnd w:id="47"/>
      <w:bookmarkEnd w:id="48"/>
      <w:r>
        <w:rPr>
          <w:noProof/>
        </w:rPr>
        <w:t xml:space="preserve"> </w:t>
      </w:r>
    </w:p>
    <w:p>
      <w:pPr>
        <w:pStyle w:val="Text1"/>
        <w:rPr>
          <w:i/>
          <w:noProof/>
          <w:sz w:val="20"/>
        </w:rPr>
      </w:pPr>
      <w:r>
        <w:rPr>
          <w:i/>
          <w:noProof/>
          <w:sz w:val="20"/>
        </w:rPr>
        <w:t>Préciser les mesures de prévention et de protection existantes ou envisagées, au titre de la stratégie antifraude par exemple.</w:t>
      </w:r>
    </w:p>
    <w:p>
      <w:pPr>
        <w:pStyle w:val="Text1"/>
        <w:pBdr>
          <w:top w:val="single" w:sz="4" w:space="1" w:color="auto"/>
          <w:left w:val="single" w:sz="4" w:space="4" w:color="auto"/>
          <w:bottom w:val="single" w:sz="4" w:space="1" w:color="auto"/>
          <w:right w:val="single" w:sz="4" w:space="4" w:color="auto"/>
        </w:pBdr>
        <w:rPr>
          <w:noProof/>
        </w:rPr>
      </w:pPr>
      <w:r>
        <w:rPr>
          <w:noProof/>
        </w:rPr>
        <w:t xml:space="preserve">La Commission s’engage à établir un dialogue politique et une concertation régulière avec la République de </w:t>
      </w:r>
      <w:r>
        <w:rPr>
          <w:noProof/>
          <w:lang w:val="fr-BE"/>
        </w:rPr>
        <w:t>Guinée Bissau</w:t>
      </w:r>
      <w:r>
        <w:rPr>
          <w:noProof/>
        </w:rPr>
        <w:t xml:space="preserve"> afin de pouvoir améliorer la gestion de l’accord et du protocole et de renforcer la contribution de l’Union à la gestion durable des ressources. Tout paiement effectué par la Commission dans le cadre d'un APP est soumis aux règles et aux procédures budgétaires et financières normales de la Commission. En particulier, les comptes bancaires des pays tiers sur lesquels sont versés les montants de la contrepartie financière sont identifiés de façon complète. L’article 4, paragraphe 7, du protocole établit que la contrepartie financière relative à l’accès doit être versée sur un compte unique du Trésor public ouvert auprès de la Banque centrale de </w:t>
      </w:r>
      <w:r>
        <w:rPr>
          <w:noProof/>
          <w:lang w:val="fr-BE"/>
        </w:rPr>
        <w:t>Guinée Bissau,</w:t>
      </w:r>
      <w:r>
        <w:rPr>
          <w:noProof/>
        </w:rPr>
        <w:t xml:space="preserve"> et la partie destinée au développement du secteur sur un compte du Trésor public de </w:t>
      </w:r>
      <w:r>
        <w:rPr>
          <w:noProof/>
          <w:lang w:val="fr-BE"/>
        </w:rPr>
        <w:t>Guinée Bissau</w:t>
      </w:r>
      <w:r>
        <w:rPr>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bookmarkStart w:id="49" w:name="_Toc514938050"/>
      <w:bookmarkStart w:id="50" w:name="_Toc520485049"/>
      <w:r>
        <w:t>3.</w:t>
      </w:r>
      <w:r>
        <w:tab/>
      </w:r>
      <w:r>
        <w:rPr>
          <w:noProof/>
        </w:rPr>
        <w:t>INCIDENCE FINANCIÈRE ESTIMÉE DE LA PROPOSITION/DE L'INITIATIVE</w:t>
      </w:r>
      <w:bookmarkEnd w:id="49"/>
      <w:bookmarkEnd w:id="50"/>
      <w:r>
        <w:rPr>
          <w:noProof/>
        </w:rPr>
        <w:t xml:space="preserve"> </w:t>
      </w:r>
    </w:p>
    <w:p>
      <w:pPr>
        <w:pStyle w:val="ManualHeading2"/>
        <w:rPr>
          <w:noProof/>
        </w:rPr>
      </w:pPr>
      <w:bookmarkStart w:id="51" w:name="_Toc514938051"/>
      <w:bookmarkStart w:id="52" w:name="_Toc520485050"/>
      <w:r>
        <w:t>3.1.</w:t>
      </w:r>
      <w:r>
        <w:tab/>
      </w:r>
      <w:r>
        <w:rPr>
          <w:noProof/>
        </w:rPr>
        <w:t>Rubrique(s) du cadre financier pluriannuel et ligne(s) budgétaire(s) de dépenses concernée(s)</w:t>
      </w:r>
      <w:bookmarkEnd w:id="51"/>
      <w:bookmarkEnd w:id="52"/>
      <w:r>
        <w:rPr>
          <w:noProof/>
        </w:rPr>
        <w:t xml:space="preserve"> </w:t>
      </w:r>
    </w:p>
    <w:p>
      <w:pPr>
        <w:pStyle w:val="ListBullet1"/>
        <w:rPr>
          <w:noProof/>
        </w:rPr>
      </w:pPr>
      <w:r>
        <w:rPr>
          <w:noProof/>
        </w:rPr>
        <w:t xml:space="preserve">Lignes budgétaires existantes </w:t>
      </w:r>
    </w:p>
    <w:p>
      <w:pPr>
        <w:pStyle w:val="Text1"/>
        <w:rPr>
          <w:i/>
          <w:noProof/>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r>
              <w:rPr>
                <w:rStyle w:val="FootnoteReference"/>
                <w:noProof/>
                <w:sz w:val="18"/>
              </w:rPr>
              <w:footnoteReference w:id="10"/>
            </w:r>
          </w:p>
        </w:tc>
        <w:tc>
          <w:tcPr>
            <w:tcW w:w="1076" w:type="dxa"/>
            <w:vAlign w:val="center"/>
          </w:tcPr>
          <w:p>
            <w:pPr>
              <w:jc w:val="center"/>
              <w:rPr>
                <w:noProof/>
              </w:rPr>
            </w:pPr>
            <w:r>
              <w:rPr>
                <w:noProof/>
                <w:sz w:val="18"/>
              </w:rPr>
              <w:t>de pays AELE</w:t>
            </w:r>
            <w:r>
              <w:rPr>
                <w:rStyle w:val="FootnoteReference"/>
                <w:noProof/>
                <w:sz w:val="18"/>
              </w:rPr>
              <w:footnoteReference w:id="11"/>
            </w:r>
          </w:p>
          <w:p>
            <w:pPr>
              <w:spacing w:before="0" w:after="0"/>
              <w:jc w:val="center"/>
              <w:rPr>
                <w:b/>
                <w:noProof/>
                <w:sz w:val="18"/>
              </w:rPr>
            </w:pPr>
          </w:p>
        </w:tc>
        <w:tc>
          <w:tcPr>
            <w:tcW w:w="1080" w:type="dxa"/>
            <w:vAlign w:val="center"/>
          </w:tcPr>
          <w:p>
            <w:pPr>
              <w:jc w:val="center"/>
              <w:rPr>
                <w:noProof/>
              </w:rPr>
            </w:pPr>
            <w:r>
              <w:rPr>
                <w:noProof/>
                <w:sz w:val="18"/>
              </w:rPr>
              <w:t>de pays candidats</w:t>
            </w:r>
            <w:r>
              <w:rPr>
                <w:rStyle w:val="FootnoteReference"/>
                <w:noProof/>
                <w:sz w:val="18"/>
              </w:rPr>
              <w:footnoteReference w:id="12"/>
            </w:r>
          </w:p>
          <w:p>
            <w:pPr>
              <w:spacing w:before="0" w:after="0"/>
              <w:jc w:val="center"/>
              <w:rPr>
                <w:noProof/>
                <w:sz w:val="18"/>
              </w:rPr>
            </w:pP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rPr>
              <w:t>11.03.01</w:t>
            </w:r>
          </w:p>
          <w:p>
            <w:pPr>
              <w:spacing w:before="60"/>
              <w:rPr>
                <w:noProof/>
              </w:rPr>
            </w:pPr>
            <w:r>
              <w:rPr>
                <w:noProof/>
              </w:rPr>
              <w:t>Établir un cadre de gouvernance pour les activités de pêche menées par les navires de pêche de l’Union européennes dans les eaux des pays tiers (APD)</w:t>
            </w:r>
          </w:p>
        </w:tc>
        <w:tc>
          <w:tcPr>
            <w:tcW w:w="1080" w:type="dxa"/>
            <w:vAlign w:val="center"/>
          </w:tcPr>
          <w:p>
            <w:pPr>
              <w:jc w:val="center"/>
              <w:rPr>
                <w:noProof/>
                <w:color w:val="0000FF"/>
              </w:rPr>
            </w:pPr>
            <w:r>
              <w:rPr>
                <w:noProof/>
                <w:sz w:val="22"/>
              </w:rPr>
              <w:t>CD</w:t>
            </w:r>
          </w:p>
        </w:tc>
        <w:tc>
          <w:tcPr>
            <w:tcW w:w="1076" w:type="dxa"/>
            <w:vAlign w:val="center"/>
          </w:tcPr>
          <w:p>
            <w:pPr>
              <w:jc w:val="center"/>
              <w:rPr>
                <w:noProof/>
                <w:sz w:val="20"/>
                <w:szCs w:val="20"/>
              </w:rPr>
            </w:pPr>
            <w:r>
              <w:rPr>
                <w:noProof/>
                <w:sz w:val="20"/>
              </w:rPr>
              <w:t>NON</w:t>
            </w:r>
          </w:p>
        </w:tc>
        <w:tc>
          <w:tcPr>
            <w:tcW w:w="1080" w:type="dxa"/>
            <w:vAlign w:val="center"/>
          </w:tcPr>
          <w:p>
            <w:pPr>
              <w:jc w:val="center"/>
              <w:rPr>
                <w:noProof/>
                <w:sz w:val="20"/>
                <w:szCs w:val="20"/>
              </w:rPr>
            </w:pPr>
            <w:r>
              <w:rPr>
                <w:noProof/>
                <w:sz w:val="20"/>
              </w:rPr>
              <w:t>NON</w:t>
            </w:r>
          </w:p>
        </w:tc>
        <w:tc>
          <w:tcPr>
            <w:tcW w:w="1084" w:type="dxa"/>
            <w:vAlign w:val="center"/>
          </w:tcPr>
          <w:p>
            <w:pPr>
              <w:jc w:val="center"/>
              <w:rPr>
                <w:noProof/>
                <w:sz w:val="20"/>
                <w:szCs w:val="20"/>
              </w:rPr>
            </w:pPr>
            <w:r>
              <w:rPr>
                <w:noProof/>
                <w:sz w:val="20"/>
              </w:rPr>
              <w:t>NON</w:t>
            </w:r>
          </w:p>
        </w:tc>
        <w:tc>
          <w:tcPr>
            <w:tcW w:w="1320" w:type="dxa"/>
            <w:vAlign w:val="center"/>
          </w:tcPr>
          <w:p>
            <w:pPr>
              <w:jc w:val="center"/>
              <w:rPr>
                <w:noProof/>
                <w:sz w:val="20"/>
                <w:szCs w:val="20"/>
              </w:rPr>
            </w:pPr>
            <w:r>
              <w:rPr>
                <w:noProof/>
                <w:sz w:val="20"/>
              </w:rPr>
              <w:t>NON</w:t>
            </w:r>
          </w:p>
        </w:tc>
      </w:tr>
    </w:tbl>
    <w:p>
      <w:pPr>
        <w:pStyle w:val="ListBullet1"/>
        <w:rPr>
          <w:noProof/>
        </w:rPr>
      </w:pPr>
      <w:r>
        <w:rPr>
          <w:noProof/>
        </w:rPr>
        <w:t xml:space="preserve">Nouvelles lignes budgétaires, dont la création est demandée </w:t>
      </w:r>
    </w:p>
    <w:p>
      <w:pPr>
        <w:pStyle w:val="Text1"/>
        <w:rPr>
          <w:i/>
          <w:noProof/>
          <w:sz w:val="20"/>
        </w:rPr>
      </w:pPr>
      <w:r>
        <w:rPr>
          <w:i/>
          <w:noProof/>
          <w:u w:val="single"/>
        </w:rPr>
        <w:t>Dans l'ordre</w:t>
      </w:r>
      <w:r>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840"/>
        <w:gridCol w:w="1080"/>
        <w:gridCol w:w="1076"/>
        <w:gridCol w:w="1080"/>
        <w:gridCol w:w="1084"/>
        <w:gridCol w:w="1320"/>
      </w:tblGrid>
      <w:tr>
        <w:tc>
          <w:tcPr>
            <w:tcW w:w="1080" w:type="dxa"/>
            <w:vMerge w:val="restart"/>
            <w:vAlign w:val="center"/>
          </w:tcPr>
          <w:p>
            <w:pPr>
              <w:spacing w:before="60" w:after="60"/>
              <w:jc w:val="center"/>
              <w:rPr>
                <w:noProof/>
                <w:sz w:val="18"/>
                <w:szCs w:val="18"/>
              </w:rPr>
            </w:pPr>
            <w:r>
              <w:rPr>
                <w:noProof/>
                <w:sz w:val="18"/>
              </w:rPr>
              <w:t>Rubrique du cadre financier pluriannuel</w:t>
            </w:r>
          </w:p>
        </w:tc>
        <w:tc>
          <w:tcPr>
            <w:tcW w:w="3840" w:type="dxa"/>
            <w:vAlign w:val="center"/>
          </w:tcPr>
          <w:p>
            <w:pPr>
              <w:spacing w:before="60" w:after="60"/>
              <w:jc w:val="center"/>
              <w:rPr>
                <w:noProof/>
              </w:rPr>
            </w:pPr>
            <w:r>
              <w:rPr>
                <w:noProof/>
                <w:sz w:val="20"/>
              </w:rPr>
              <w:t>Ligne budgétaire</w:t>
            </w:r>
          </w:p>
        </w:tc>
        <w:tc>
          <w:tcPr>
            <w:tcW w:w="1080" w:type="dxa"/>
            <w:vAlign w:val="center"/>
          </w:tcPr>
          <w:p>
            <w:pPr>
              <w:spacing w:before="60" w:after="60"/>
              <w:jc w:val="center"/>
              <w:rPr>
                <w:noProof/>
              </w:rPr>
            </w:pPr>
            <w:r>
              <w:rPr>
                <w:noProof/>
                <w:sz w:val="18"/>
              </w:rPr>
              <w:t xml:space="preserve">Nature de </w:t>
            </w:r>
            <w:r>
              <w:rPr>
                <w:noProof/>
                <w:sz w:val="22"/>
              </w:rPr>
              <w:br/>
            </w:r>
            <w:r>
              <w:rPr>
                <w:noProof/>
                <w:sz w:val="18"/>
              </w:rPr>
              <w:t>la dépense</w:t>
            </w:r>
          </w:p>
        </w:tc>
        <w:tc>
          <w:tcPr>
            <w:tcW w:w="4560" w:type="dxa"/>
            <w:gridSpan w:val="4"/>
            <w:vAlign w:val="center"/>
          </w:tcPr>
          <w:p>
            <w:pPr>
              <w:spacing w:before="60" w:after="60"/>
              <w:jc w:val="center"/>
              <w:rPr>
                <w:noProof/>
              </w:rPr>
            </w:pPr>
            <w:r>
              <w:rPr>
                <w:noProof/>
                <w:sz w:val="20"/>
              </w:rPr>
              <w:t xml:space="preserve">Participation </w:t>
            </w:r>
          </w:p>
        </w:tc>
      </w:tr>
      <w:tr>
        <w:tc>
          <w:tcPr>
            <w:tcW w:w="1080" w:type="dxa"/>
            <w:vMerge/>
            <w:vAlign w:val="center"/>
          </w:tcPr>
          <w:p>
            <w:pPr>
              <w:jc w:val="center"/>
              <w:rPr>
                <w:noProof/>
              </w:rPr>
            </w:pPr>
          </w:p>
        </w:tc>
        <w:tc>
          <w:tcPr>
            <w:tcW w:w="3840" w:type="dxa"/>
            <w:vAlign w:val="center"/>
          </w:tcPr>
          <w:p>
            <w:pPr>
              <w:rPr>
                <w:noProof/>
              </w:rPr>
            </w:pPr>
            <w:r>
              <w:rPr>
                <w:noProof/>
                <w:sz w:val="20"/>
              </w:rPr>
              <w:t xml:space="preserve">Numéro </w:t>
            </w:r>
            <w:r>
              <w:rPr>
                <w:noProof/>
                <w:sz w:val="22"/>
              </w:rPr>
              <w:br/>
            </w:r>
          </w:p>
        </w:tc>
        <w:tc>
          <w:tcPr>
            <w:tcW w:w="1080" w:type="dxa"/>
            <w:vAlign w:val="center"/>
          </w:tcPr>
          <w:p>
            <w:pPr>
              <w:jc w:val="center"/>
              <w:rPr>
                <w:noProof/>
              </w:rPr>
            </w:pPr>
            <w:r>
              <w:rPr>
                <w:noProof/>
                <w:sz w:val="18"/>
              </w:rPr>
              <w:t>CD/CND</w:t>
            </w:r>
          </w:p>
        </w:tc>
        <w:tc>
          <w:tcPr>
            <w:tcW w:w="1076" w:type="dxa"/>
            <w:vAlign w:val="center"/>
          </w:tcPr>
          <w:p>
            <w:pPr>
              <w:jc w:val="center"/>
              <w:rPr>
                <w:noProof/>
                <w:sz w:val="18"/>
              </w:rPr>
            </w:pPr>
            <w:r>
              <w:rPr>
                <w:noProof/>
                <w:sz w:val="18"/>
              </w:rPr>
              <w:t>de pays AELE</w:t>
            </w:r>
          </w:p>
        </w:tc>
        <w:tc>
          <w:tcPr>
            <w:tcW w:w="1080" w:type="dxa"/>
            <w:vAlign w:val="center"/>
          </w:tcPr>
          <w:p>
            <w:pPr>
              <w:jc w:val="center"/>
              <w:rPr>
                <w:noProof/>
                <w:sz w:val="18"/>
              </w:rPr>
            </w:pPr>
            <w:r>
              <w:rPr>
                <w:noProof/>
                <w:sz w:val="18"/>
              </w:rPr>
              <w:t>de pays candidats</w:t>
            </w:r>
          </w:p>
        </w:tc>
        <w:tc>
          <w:tcPr>
            <w:tcW w:w="1084" w:type="dxa"/>
            <w:vAlign w:val="center"/>
          </w:tcPr>
          <w:p>
            <w:pPr>
              <w:jc w:val="center"/>
              <w:rPr>
                <w:noProof/>
                <w:sz w:val="18"/>
              </w:rPr>
            </w:pPr>
            <w:r>
              <w:rPr>
                <w:noProof/>
                <w:sz w:val="18"/>
              </w:rPr>
              <w:t>de pays tiers</w:t>
            </w:r>
          </w:p>
        </w:tc>
        <w:tc>
          <w:tcPr>
            <w:tcW w:w="1320" w:type="dxa"/>
            <w:vAlign w:val="center"/>
          </w:tcPr>
          <w:p>
            <w:pPr>
              <w:jc w:val="center"/>
              <w:rPr>
                <w:noProof/>
              </w:rPr>
            </w:pPr>
            <w:r>
              <w:rPr>
                <w:noProof/>
                <w:sz w:val="16"/>
              </w:rPr>
              <w:t xml:space="preserve">au sens de l'article 21, paragraphe 2, point b), du règlement financier </w:t>
            </w:r>
          </w:p>
        </w:tc>
      </w:tr>
      <w:tr>
        <w:tc>
          <w:tcPr>
            <w:tcW w:w="1080" w:type="dxa"/>
            <w:vAlign w:val="center"/>
          </w:tcPr>
          <w:p>
            <w:pPr>
              <w:jc w:val="center"/>
              <w:rPr>
                <w:noProof/>
                <w:color w:val="0000FF"/>
              </w:rPr>
            </w:pPr>
          </w:p>
        </w:tc>
        <w:tc>
          <w:tcPr>
            <w:tcW w:w="3840" w:type="dxa"/>
            <w:vAlign w:val="center"/>
          </w:tcPr>
          <w:p>
            <w:pPr>
              <w:spacing w:before="60"/>
              <w:rPr>
                <w:noProof/>
              </w:rPr>
            </w:pPr>
            <w:r>
              <w:rPr>
                <w:noProof/>
                <w:sz w:val="22"/>
              </w:rPr>
              <w:t>[XX.YY.YY.YY]</w:t>
            </w:r>
          </w:p>
          <w:p>
            <w:pPr>
              <w:spacing w:after="60"/>
              <w:rPr>
                <w:noProof/>
                <w:color w:val="0000FF"/>
              </w:rPr>
            </w:pPr>
          </w:p>
        </w:tc>
        <w:tc>
          <w:tcPr>
            <w:tcW w:w="1080" w:type="dxa"/>
            <w:vAlign w:val="center"/>
          </w:tcPr>
          <w:p>
            <w:pPr>
              <w:jc w:val="center"/>
              <w:rPr>
                <w:noProof/>
                <w:color w:val="0000FF"/>
              </w:rPr>
            </w:pPr>
          </w:p>
        </w:tc>
        <w:tc>
          <w:tcPr>
            <w:tcW w:w="1076" w:type="dxa"/>
            <w:vAlign w:val="center"/>
          </w:tcPr>
          <w:p>
            <w:pPr>
              <w:jc w:val="center"/>
              <w:rPr>
                <w:noProof/>
                <w:sz w:val="20"/>
                <w:szCs w:val="20"/>
              </w:rPr>
            </w:pPr>
            <w:r>
              <w:rPr>
                <w:noProof/>
                <w:sz w:val="20"/>
              </w:rPr>
              <w:t>OUI/NON</w:t>
            </w:r>
          </w:p>
        </w:tc>
        <w:tc>
          <w:tcPr>
            <w:tcW w:w="1080" w:type="dxa"/>
            <w:vAlign w:val="center"/>
          </w:tcPr>
          <w:p>
            <w:pPr>
              <w:jc w:val="center"/>
              <w:rPr>
                <w:noProof/>
                <w:color w:val="0000FF"/>
                <w:sz w:val="20"/>
                <w:szCs w:val="20"/>
              </w:rPr>
            </w:pPr>
            <w:r>
              <w:rPr>
                <w:noProof/>
                <w:sz w:val="20"/>
              </w:rPr>
              <w:t>OUI/NON</w:t>
            </w:r>
          </w:p>
        </w:tc>
        <w:tc>
          <w:tcPr>
            <w:tcW w:w="1084" w:type="dxa"/>
            <w:vAlign w:val="center"/>
          </w:tcPr>
          <w:p>
            <w:pPr>
              <w:jc w:val="center"/>
              <w:rPr>
                <w:noProof/>
                <w:color w:val="0000FF"/>
                <w:sz w:val="20"/>
                <w:szCs w:val="20"/>
              </w:rPr>
            </w:pPr>
            <w:r>
              <w:rPr>
                <w:noProof/>
                <w:sz w:val="20"/>
              </w:rPr>
              <w:t>OUI/NON</w:t>
            </w:r>
          </w:p>
        </w:tc>
        <w:tc>
          <w:tcPr>
            <w:tcW w:w="1320" w:type="dxa"/>
            <w:vAlign w:val="center"/>
          </w:tcPr>
          <w:p>
            <w:pPr>
              <w:jc w:val="center"/>
              <w:rPr>
                <w:noProof/>
                <w:sz w:val="20"/>
                <w:szCs w:val="20"/>
              </w:rPr>
            </w:pPr>
            <w:r>
              <w:rPr>
                <w:noProof/>
                <w:sz w:val="20"/>
              </w:rPr>
              <w:t>OUI/NON</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bookmarkStart w:id="53" w:name="_Toc514938052"/>
      <w:bookmarkStart w:id="54" w:name="_Toc520485051"/>
      <w:r>
        <w:t>3.2.</w:t>
      </w:r>
      <w:r>
        <w:tab/>
      </w:r>
      <w:r>
        <w:rPr>
          <w:noProof/>
        </w:rPr>
        <w:t>Incidence financière estimée de la proposition sur les crédits</w:t>
      </w:r>
      <w:bookmarkEnd w:id="53"/>
      <w:bookmarkEnd w:id="54"/>
      <w:r>
        <w:rPr>
          <w:noProof/>
        </w:rPr>
        <w:t xml:space="preserve"> </w:t>
      </w:r>
    </w:p>
    <w:p>
      <w:pPr>
        <w:pStyle w:val="ManualHeading3"/>
        <w:rPr>
          <w:noProof/>
        </w:rPr>
      </w:pPr>
      <w:bookmarkStart w:id="55" w:name="_Toc514938053"/>
      <w:bookmarkStart w:id="56" w:name="_Toc520485052"/>
      <w:r>
        <w:t>3.2.1.</w:t>
      </w:r>
      <w:r>
        <w:tab/>
      </w:r>
      <w:r>
        <w:rPr>
          <w:noProof/>
        </w:rPr>
        <w:t>Synthèse de l’incidence estimée sur les crédits opérationnels</w:t>
      </w:r>
      <w:bookmarkEnd w:id="55"/>
      <w:bookmarkEnd w:id="56"/>
      <w:r>
        <w:rPr>
          <w:noProof/>
        </w:rPr>
        <w:t xml:space="preserve"> </w:t>
      </w:r>
    </w:p>
    <w:p>
      <w:pPr>
        <w:pStyle w:val="ListDash1"/>
        <w:rPr>
          <w:noProof/>
        </w:rPr>
      </w:pPr>
      <w:r>
        <w:rPr>
          <w:noProof/>
        </w:rPr>
        <w:sym w:font="Wingdings" w:char="F0A8"/>
      </w:r>
      <w:r>
        <w:rPr>
          <w:noProof/>
        </w:rPr>
        <w:tab/>
        <w:t xml:space="preserve">La proposition/l'initiative n'engendre pas l'utilisation de crédits opérationnels </w:t>
      </w:r>
    </w:p>
    <w:p>
      <w:pPr>
        <w:pStyle w:val="ListDash1"/>
        <w:rPr>
          <w:noProof/>
        </w:rPr>
      </w:pPr>
      <w:r>
        <w:rPr>
          <w:noProof/>
        </w:rPr>
        <w:t>X</w:t>
      </w:r>
      <w:r>
        <w:rPr>
          <w:noProof/>
        </w:rPr>
        <w:tab/>
        <w:t>La proposition/l'initiative engendre l'utilisation de crédits opérationnels, comme expliqué ci-après:</w:t>
      </w:r>
    </w:p>
    <w:p>
      <w:pPr>
        <w:jc w:val="right"/>
        <w:rPr>
          <w:noProof/>
          <w:sz w:val="18"/>
          <w:szCs w:val="18"/>
        </w:rPr>
      </w:pPr>
      <w:r>
        <w:rPr>
          <w:noProof/>
          <w:sz w:val="18"/>
        </w:rPr>
        <w:t>En Mio EUR (à la 3</w:t>
      </w:r>
      <w:r>
        <w:rPr>
          <w:noProof/>
          <w:sz w:val="18"/>
          <w:vertAlign w:val="superscript"/>
        </w:rPr>
        <w:t>e</w:t>
      </w:r>
      <w:r>
        <w:rPr>
          <w:noProof/>
          <w:sz w:val="18"/>
        </w:rPr>
        <w:t>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pPr>
              <w:spacing w:before="60" w:after="60"/>
              <w:jc w:val="center"/>
              <w:rPr>
                <w:noProof/>
                <w:sz w:val="22"/>
              </w:rPr>
            </w:pPr>
            <w:r>
              <w:rPr>
                <w:noProof/>
                <w:sz w:val="22"/>
              </w:rPr>
              <w:t>Numéro</w:t>
            </w:r>
          </w:p>
          <w:p>
            <w:pPr>
              <w:spacing w:before="60" w:after="60"/>
              <w:jc w:val="center"/>
              <w:rPr>
                <w:noProof/>
              </w:rPr>
            </w:pPr>
            <w:r>
              <w:rPr>
                <w:noProof/>
                <w:sz w:val="22"/>
              </w:rPr>
              <w:t>2</w:t>
            </w:r>
          </w:p>
        </w:tc>
        <w:tc>
          <w:tcPr>
            <w:tcW w:w="7817" w:type="dxa"/>
            <w:vAlign w:val="center"/>
          </w:tcPr>
          <w:p>
            <w:pPr>
              <w:spacing w:before="60" w:after="60"/>
              <w:rPr>
                <w:noProof/>
              </w:rPr>
            </w:pPr>
            <w:r>
              <w:rPr>
                <w:noProof/>
              </w:rPr>
              <w:t>Croissance durable : ressources naturelles</w:t>
            </w:r>
          </w:p>
        </w:tc>
      </w:tr>
    </w:tbl>
    <w:p>
      <w:pPr>
        <w:rPr>
          <w:noProof/>
          <w:sz w:val="16"/>
        </w:rPr>
      </w:pPr>
    </w:p>
    <w:tbl>
      <w:tblPr>
        <w:tblW w:w="1217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99"/>
        <w:gridCol w:w="1746"/>
      </w:tblGrid>
      <w:tr>
        <w:tc>
          <w:tcPr>
            <w:tcW w:w="3960" w:type="dxa"/>
            <w:vAlign w:val="center"/>
          </w:tcPr>
          <w:p>
            <w:pPr>
              <w:jc w:val="center"/>
              <w:rPr>
                <w:noProof/>
              </w:rPr>
            </w:pPr>
            <w:r>
              <w:rPr>
                <w:noProof/>
                <w:sz w:val="22"/>
              </w:rPr>
              <w:t>DG: MARE</w:t>
            </w:r>
          </w:p>
        </w:tc>
        <w:tc>
          <w:tcPr>
            <w:tcW w:w="1560" w:type="dxa"/>
            <w:gridSpan w:val="2"/>
          </w:tcPr>
          <w:p>
            <w:pPr>
              <w:rPr>
                <w:noProof/>
                <w:sz w:val="20"/>
              </w:rPr>
            </w:pPr>
          </w:p>
        </w:tc>
        <w:tc>
          <w:tcPr>
            <w:tcW w:w="534" w:type="dxa"/>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99" w:type="dxa"/>
            <w:vAlign w:val="center"/>
          </w:tcPr>
          <w:p>
            <w:pPr>
              <w:jc w:val="center"/>
              <w:rPr>
                <w:noProof/>
                <w:sz w:val="20"/>
              </w:rPr>
            </w:pPr>
            <w:r>
              <w:rPr>
                <w:noProof/>
                <w:sz w:val="20"/>
              </w:rPr>
              <w:t>Année</w:t>
            </w:r>
            <w:r>
              <w:rPr>
                <w:noProof/>
                <w:sz w:val="22"/>
              </w:rPr>
              <w:br/>
            </w:r>
            <w:r>
              <w:rPr>
                <w:b/>
                <w:noProof/>
                <w:sz w:val="20"/>
              </w:rPr>
              <w:t>2023</w:t>
            </w:r>
          </w:p>
        </w:tc>
        <w:tc>
          <w:tcPr>
            <w:tcW w:w="1746" w:type="dxa"/>
            <w:vAlign w:val="center"/>
          </w:tcPr>
          <w:p>
            <w:pPr>
              <w:jc w:val="center"/>
              <w:rPr>
                <w:b/>
                <w:noProof/>
                <w:sz w:val="20"/>
              </w:rPr>
            </w:pPr>
            <w:r>
              <w:rPr>
                <w:b/>
                <w:noProof/>
                <w:sz w:val="20"/>
              </w:rPr>
              <w:t>TOTAL</w:t>
            </w:r>
          </w:p>
        </w:tc>
      </w:tr>
      <w:tr>
        <w:trPr>
          <w:trHeight w:val="213"/>
        </w:trPr>
        <w:tc>
          <w:tcPr>
            <w:tcW w:w="6054" w:type="dxa"/>
            <w:gridSpan w:val="4"/>
            <w:vAlign w:val="center"/>
          </w:tcPr>
          <w:p>
            <w:pPr>
              <w:spacing w:before="20" w:after="20"/>
              <w:rPr>
                <w:noProof/>
                <w:sz w:val="21"/>
              </w:rPr>
            </w:pPr>
            <w:r>
              <w:rPr>
                <w:noProof/>
                <w:sz w:val="21"/>
              </w:rPr>
              <w:sym w:font="Wingdings" w:char="F09F"/>
            </w:r>
            <w:r>
              <w:rPr>
                <w:noProof/>
                <w:sz w:val="21"/>
              </w:rPr>
              <w:t xml:space="preserve"> Crédits opérationnels </w:t>
            </w: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68" w:type="dxa"/>
            <w:vAlign w:val="center"/>
          </w:tcPr>
          <w:p>
            <w:pPr>
              <w:rPr>
                <w:noProof/>
                <w:sz w:val="20"/>
              </w:rPr>
            </w:pPr>
          </w:p>
        </w:tc>
        <w:tc>
          <w:tcPr>
            <w:tcW w:w="899" w:type="dxa"/>
          </w:tcPr>
          <w:p>
            <w:pPr>
              <w:rPr>
                <w:noProof/>
                <w:sz w:val="20"/>
              </w:rPr>
            </w:pPr>
          </w:p>
        </w:tc>
        <w:tc>
          <w:tcPr>
            <w:tcW w:w="1746" w:type="dxa"/>
            <w:vAlign w:val="center"/>
          </w:tcPr>
          <w:p>
            <w:pPr>
              <w:rPr>
                <w:b/>
                <w:noProof/>
                <w:sz w:val="20"/>
              </w:rPr>
            </w:pPr>
          </w:p>
        </w:tc>
      </w:tr>
      <w:tr>
        <w:trPr>
          <w:trHeight w:val="277"/>
        </w:trPr>
        <w:tc>
          <w:tcPr>
            <w:tcW w:w="3960" w:type="dxa"/>
            <w:vMerge w:val="restart"/>
            <w:vAlign w:val="center"/>
          </w:tcPr>
          <w:p>
            <w:pPr>
              <w:rPr>
                <w:noProof/>
              </w:rPr>
            </w:pPr>
            <w:r>
              <w:rPr>
                <w:noProof/>
                <w:sz w:val="20"/>
              </w:rPr>
              <w:t>Ligne budgétaire</w:t>
            </w:r>
            <w:r>
              <w:rPr>
                <w:rStyle w:val="FootnoteReference"/>
                <w:noProof/>
                <w:sz w:val="20"/>
              </w:rPr>
              <w:footnoteReference w:id="13"/>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(2a)</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tcPr>
          <w:p>
            <w:pPr>
              <w:spacing w:before="20" w:after="20"/>
              <w:jc w:val="right"/>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val="restart"/>
            <w:vAlign w:val="center"/>
          </w:tcPr>
          <w:p>
            <w:pPr>
              <w:rPr>
                <w:noProof/>
              </w:rPr>
            </w:pPr>
            <w:r>
              <w:rPr>
                <w:noProof/>
                <w:sz w:val="20"/>
              </w:rPr>
              <w:t>Ligne budgétaire</w:t>
            </w:r>
          </w:p>
        </w:tc>
        <w:tc>
          <w:tcPr>
            <w:tcW w:w="1440" w:type="dxa"/>
            <w:vAlign w:val="center"/>
          </w:tcPr>
          <w:p>
            <w:pPr>
              <w:spacing w:before="20" w:after="20"/>
              <w:rPr>
                <w:noProof/>
                <w:sz w:val="18"/>
              </w:rPr>
            </w:pPr>
            <w:r>
              <w:rPr>
                <w:noProof/>
                <w:sz w:val="18"/>
              </w:rPr>
              <w:t>Engagements</w:t>
            </w:r>
          </w:p>
        </w:tc>
        <w:tc>
          <w:tcPr>
            <w:tcW w:w="654" w:type="dxa"/>
            <w:gridSpan w:val="2"/>
            <w:vAlign w:val="center"/>
          </w:tcPr>
          <w:p>
            <w:pPr>
              <w:spacing w:before="20" w:after="20"/>
              <w:jc w:val="center"/>
              <w:rPr>
                <w:noProof/>
                <w:sz w:val="14"/>
              </w:rPr>
            </w:pPr>
            <w:r>
              <w:rPr>
                <w:noProof/>
                <w:sz w:val="14"/>
              </w:rPr>
              <w:t>(1b)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c>
          <w:tcPr>
            <w:tcW w:w="3960" w:type="dxa"/>
            <w:vMerge/>
          </w:tcPr>
          <w:p>
            <w:pPr>
              <w:jc w:val="center"/>
              <w:rPr>
                <w:noProof/>
                <w:sz w:val="20"/>
              </w:rPr>
            </w:pPr>
          </w:p>
        </w:tc>
        <w:tc>
          <w:tcPr>
            <w:tcW w:w="1440" w:type="dxa"/>
            <w:vAlign w:val="center"/>
          </w:tcPr>
          <w:p>
            <w:pPr>
              <w:spacing w:before="20" w:after="20"/>
              <w:rPr>
                <w:noProof/>
                <w:sz w:val="18"/>
              </w:rPr>
            </w:pPr>
            <w:r>
              <w:rPr>
                <w:noProof/>
                <w:sz w:val="18"/>
              </w:rPr>
              <w:t>Paiements</w:t>
            </w:r>
          </w:p>
        </w:tc>
        <w:tc>
          <w:tcPr>
            <w:tcW w:w="654" w:type="dxa"/>
            <w:gridSpan w:val="2"/>
            <w:vAlign w:val="center"/>
          </w:tcPr>
          <w:p>
            <w:pPr>
              <w:spacing w:before="20" w:after="20"/>
              <w:jc w:val="center"/>
              <w:rPr>
                <w:noProof/>
                <w:sz w:val="14"/>
              </w:rPr>
            </w:pPr>
            <w:r>
              <w:rPr>
                <w:noProof/>
                <w:sz w:val="14"/>
              </w:rPr>
              <w:t>(2b)</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99" w:type="dxa"/>
          </w:tcPr>
          <w:p>
            <w:pPr>
              <w:spacing w:before="20" w:after="20"/>
              <w:jc w:val="right"/>
              <w:rPr>
                <w:noProof/>
                <w:sz w:val="20"/>
              </w:rPr>
            </w:pPr>
          </w:p>
        </w:tc>
        <w:tc>
          <w:tcPr>
            <w:tcW w:w="1746" w:type="dxa"/>
            <w:vAlign w:val="center"/>
          </w:tcPr>
          <w:p>
            <w:pPr>
              <w:spacing w:before="20" w:after="20"/>
              <w:jc w:val="right"/>
              <w:rPr>
                <w:b/>
                <w:noProof/>
                <w:sz w:val="20"/>
              </w:rPr>
            </w:pPr>
          </w:p>
        </w:tc>
      </w:tr>
      <w:tr>
        <w:trPr>
          <w:trHeight w:val="231"/>
        </w:trPr>
        <w:tc>
          <w:tcPr>
            <w:tcW w:w="6054" w:type="dxa"/>
            <w:gridSpan w:val="4"/>
            <w:vAlign w:val="center"/>
          </w:tcPr>
          <w:p>
            <w:pPr>
              <w:spacing w:before="20" w:after="20"/>
              <w:rPr>
                <w:noProof/>
              </w:rPr>
            </w:pPr>
            <w:r>
              <w:rPr>
                <w:noProof/>
                <w:sz w:val="21"/>
              </w:rPr>
              <w:t>Crédits de nature administrative financés par l'enveloppe de certains programmes spécifiques</w:t>
            </w:r>
            <w:r>
              <w:rPr>
                <w:rStyle w:val="FootnoteReference"/>
                <w:noProof/>
                <w:sz w:val="21"/>
              </w:rPr>
              <w:footnoteReference w:id="14"/>
            </w:r>
            <w:r>
              <w:rPr>
                <w:noProof/>
                <w:sz w:val="21"/>
              </w:rPr>
              <w:t xml:space="preserve"> </w:t>
            </w:r>
          </w:p>
          <w:p>
            <w:pPr>
              <w:spacing w:before="0" w:after="0"/>
              <w:rPr>
                <w:noProof/>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68" w:type="dxa"/>
            <w:vAlign w:val="center"/>
          </w:tcPr>
          <w:p>
            <w:pPr>
              <w:rPr>
                <w:b/>
                <w:noProof/>
                <w:sz w:val="20"/>
              </w:rPr>
            </w:pPr>
          </w:p>
        </w:tc>
        <w:tc>
          <w:tcPr>
            <w:tcW w:w="899" w:type="dxa"/>
          </w:tcPr>
          <w:p>
            <w:pPr>
              <w:rPr>
                <w:b/>
                <w:noProof/>
                <w:sz w:val="20"/>
              </w:rPr>
            </w:pPr>
          </w:p>
        </w:tc>
        <w:tc>
          <w:tcPr>
            <w:tcW w:w="1746" w:type="dxa"/>
            <w:vAlign w:val="center"/>
          </w:tcPr>
          <w:p>
            <w:pPr>
              <w:rPr>
                <w:b/>
                <w:noProof/>
                <w:sz w:val="20"/>
              </w:rPr>
            </w:pPr>
          </w:p>
        </w:tc>
      </w:tr>
      <w:tr>
        <w:trPr>
          <w:trHeight w:val="319"/>
        </w:trPr>
        <w:tc>
          <w:tcPr>
            <w:tcW w:w="3960" w:type="dxa"/>
            <w:vAlign w:val="center"/>
          </w:tcPr>
          <w:p>
            <w:pPr>
              <w:spacing w:before="60" w:after="60"/>
              <w:rPr>
                <w:noProof/>
              </w:rPr>
            </w:pPr>
            <w:r>
              <w:rPr>
                <w:noProof/>
                <w:sz w:val="20"/>
              </w:rPr>
              <w:t>Ligne budgétaire</w:t>
            </w:r>
          </w:p>
        </w:tc>
        <w:tc>
          <w:tcPr>
            <w:tcW w:w="1440" w:type="dxa"/>
            <w:vAlign w:val="center"/>
          </w:tcPr>
          <w:p>
            <w:pPr>
              <w:spacing w:before="40" w:after="40"/>
              <w:jc w:val="right"/>
              <w:rPr>
                <w:noProof/>
                <w:sz w:val="18"/>
              </w:rPr>
            </w:pPr>
          </w:p>
        </w:tc>
        <w:tc>
          <w:tcPr>
            <w:tcW w:w="654" w:type="dxa"/>
            <w:gridSpan w:val="2"/>
            <w:vAlign w:val="center"/>
          </w:tcPr>
          <w:p>
            <w:pPr>
              <w:spacing w:before="40" w:after="40"/>
              <w:jc w:val="center"/>
              <w:rPr>
                <w:noProof/>
                <w:sz w:val="14"/>
              </w:rPr>
            </w:pPr>
            <w:r>
              <w:rPr>
                <w:noProof/>
                <w:sz w:val="14"/>
              </w:rPr>
              <w:t>(3)</w:t>
            </w: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68" w:type="dxa"/>
            <w:vAlign w:val="center"/>
          </w:tcPr>
          <w:p>
            <w:pPr>
              <w:spacing w:before="40" w:after="40"/>
              <w:jc w:val="right"/>
              <w:rPr>
                <w:b/>
                <w:noProof/>
                <w:sz w:val="20"/>
              </w:rPr>
            </w:pPr>
          </w:p>
        </w:tc>
        <w:tc>
          <w:tcPr>
            <w:tcW w:w="899" w:type="dxa"/>
          </w:tcPr>
          <w:p>
            <w:pPr>
              <w:spacing w:before="40" w:after="40"/>
              <w:jc w:val="right"/>
              <w:rPr>
                <w:b/>
                <w:noProof/>
                <w:sz w:val="20"/>
              </w:rPr>
            </w:pPr>
          </w:p>
        </w:tc>
        <w:tc>
          <w:tcPr>
            <w:tcW w:w="1746" w:type="dxa"/>
            <w:vAlign w:val="center"/>
          </w:tcPr>
          <w:p>
            <w:pPr>
              <w:spacing w:before="40" w:after="40"/>
              <w:jc w:val="right"/>
              <w:rPr>
                <w:b/>
                <w:noProof/>
                <w:sz w:val="20"/>
              </w:rPr>
            </w:pPr>
          </w:p>
        </w:tc>
      </w:tr>
      <w:tr>
        <w:tc>
          <w:tcPr>
            <w:tcW w:w="3960" w:type="dxa"/>
            <w:vMerge w:val="restart"/>
            <w:vAlign w:val="center"/>
          </w:tcPr>
          <w:p>
            <w:pPr>
              <w:jc w:val="center"/>
              <w:rPr>
                <w:b/>
                <w:noProof/>
              </w:rPr>
            </w:pPr>
            <w:r>
              <w:rPr>
                <w:b/>
                <w:noProof/>
                <w:sz w:val="22"/>
              </w:rPr>
              <w:t>TOTAL des crédits</w:t>
            </w:r>
            <w:r>
              <w:rPr>
                <w:noProof/>
                <w:sz w:val="22"/>
              </w:rPr>
              <w:br/>
            </w:r>
            <w:r>
              <w:rPr>
                <w:b/>
                <w:noProof/>
                <w:sz w:val="22"/>
              </w:rPr>
              <w:t>pour la DG MARE</w:t>
            </w:r>
          </w:p>
        </w:tc>
        <w:tc>
          <w:tcPr>
            <w:tcW w:w="1440" w:type="dxa"/>
            <w:vAlign w:val="center"/>
          </w:tcPr>
          <w:p>
            <w:pPr>
              <w:rPr>
                <w:noProof/>
                <w:sz w:val="18"/>
              </w:rPr>
            </w:pPr>
            <w:r>
              <w:rPr>
                <w:noProof/>
                <w:sz w:val="18"/>
              </w:rPr>
              <w:t>Engagements</w:t>
            </w:r>
          </w:p>
        </w:tc>
        <w:tc>
          <w:tcPr>
            <w:tcW w:w="654" w:type="dxa"/>
            <w:gridSpan w:val="2"/>
            <w:vAlign w:val="center"/>
          </w:tcPr>
          <w:p>
            <w:pPr>
              <w:jc w:val="center"/>
              <w:rPr>
                <w:noProof/>
                <w:sz w:val="14"/>
              </w:rPr>
            </w:pPr>
            <w:r>
              <w:rPr>
                <w:noProof/>
                <w:sz w:val="14"/>
              </w:rPr>
              <w:t>=1a+1b +3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r>
        <w:tc>
          <w:tcPr>
            <w:tcW w:w="3960" w:type="dxa"/>
            <w:vMerge/>
          </w:tcPr>
          <w:p>
            <w:pPr>
              <w:rPr>
                <w:noProof/>
                <w:sz w:val="20"/>
              </w:rPr>
            </w:pPr>
          </w:p>
        </w:tc>
        <w:tc>
          <w:tcPr>
            <w:tcW w:w="1440" w:type="dxa"/>
            <w:vAlign w:val="center"/>
          </w:tcPr>
          <w:p>
            <w:pPr>
              <w:rPr>
                <w:noProof/>
                <w:sz w:val="18"/>
              </w:rPr>
            </w:pPr>
            <w:r>
              <w:rPr>
                <w:noProof/>
                <w:sz w:val="18"/>
              </w:rPr>
              <w:t>Paiements</w:t>
            </w:r>
          </w:p>
        </w:tc>
        <w:tc>
          <w:tcPr>
            <w:tcW w:w="654" w:type="dxa"/>
            <w:gridSpan w:val="2"/>
            <w:vAlign w:val="center"/>
          </w:tcPr>
          <w:p>
            <w:pPr>
              <w:jc w:val="center"/>
              <w:rPr>
                <w:noProof/>
                <w:sz w:val="14"/>
              </w:rPr>
            </w:pPr>
            <w:r>
              <w:rPr>
                <w:noProof/>
                <w:sz w:val="14"/>
              </w:rPr>
              <w:t>=2a+2b</w:t>
            </w:r>
          </w:p>
          <w:p>
            <w:pPr>
              <w:jc w:val="center"/>
              <w:rPr>
                <w:noProof/>
                <w:sz w:val="14"/>
              </w:rPr>
            </w:pPr>
            <w:r>
              <w:rPr>
                <w:noProof/>
                <w:sz w:val="14"/>
              </w:rPr>
              <w:t>+3</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99" w:type="dxa"/>
            <w:vAlign w:val="center"/>
          </w:tcPr>
          <w:p>
            <w:pPr>
              <w:spacing w:before="20" w:after="20"/>
              <w:jc w:val="center"/>
              <w:rPr>
                <w:noProof/>
                <w:sz w:val="20"/>
              </w:rPr>
            </w:pPr>
            <w:r>
              <w:rPr>
                <w:noProof/>
                <w:sz w:val="20"/>
              </w:rPr>
              <w:t>15,6</w:t>
            </w:r>
          </w:p>
        </w:tc>
        <w:tc>
          <w:tcPr>
            <w:tcW w:w="1746" w:type="dxa"/>
            <w:vAlign w:val="center"/>
          </w:tcPr>
          <w:p>
            <w:pPr>
              <w:spacing w:before="20" w:after="20"/>
              <w:jc w:val="right"/>
              <w:rPr>
                <w:b/>
                <w:noProof/>
                <w:sz w:val="20"/>
              </w:rPr>
            </w:pPr>
            <w:r>
              <w:rPr>
                <w:b/>
                <w:noProof/>
                <w:sz w:val="20"/>
              </w:rPr>
              <w:t>78</w:t>
            </w:r>
          </w:p>
        </w:tc>
      </w:tr>
    </w:tbl>
    <w:p>
      <w:pPr>
        <w:rPr>
          <w:noProof/>
        </w:rPr>
      </w:pPr>
      <w:r>
        <w:rPr>
          <w:noProof/>
        </w:rPr>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32"/>
      </w:tblGrid>
      <w:tr>
        <w:trPr>
          <w:trHeight w:val="277"/>
        </w:trPr>
        <w:tc>
          <w:tcPr>
            <w:tcW w:w="3960" w:type="dxa"/>
            <w:vMerge w:val="restart"/>
            <w:vAlign w:val="center"/>
          </w:tcPr>
          <w:p>
            <w:pPr>
              <w:spacing w:before="20" w:after="20"/>
              <w:rPr>
                <w:noProof/>
              </w:rPr>
            </w:pPr>
            <w:r>
              <w:rPr>
                <w:noProof/>
              </w:rPr>
              <w:br w:type="page"/>
            </w:r>
            <w:r>
              <w:rPr>
                <w:noProof/>
                <w:sz w:val="21"/>
              </w:rPr>
              <w:sym w:font="Wingdings" w:char="F09F"/>
            </w:r>
            <w:r>
              <w:rPr>
                <w:noProof/>
                <w:sz w:val="21"/>
              </w:rPr>
              <w:t xml:space="preserve"> TOTAL des crédits opérationnels </w:t>
            </w:r>
          </w:p>
        </w:tc>
        <w:tc>
          <w:tcPr>
            <w:tcW w:w="1440" w:type="dxa"/>
            <w:vAlign w:val="center"/>
          </w:tcPr>
          <w:p>
            <w:pPr>
              <w:spacing w:beforeLines="20" w:before="48" w:afterLines="20" w:after="48"/>
              <w:rPr>
                <w:noProof/>
                <w:sz w:val="18"/>
              </w:rPr>
            </w:pPr>
            <w:r>
              <w:rPr>
                <w:noProof/>
                <w:sz w:val="18"/>
              </w:rPr>
              <w:t>Engagements</w:t>
            </w:r>
          </w:p>
        </w:tc>
        <w:tc>
          <w:tcPr>
            <w:tcW w:w="654" w:type="dxa"/>
            <w:vAlign w:val="center"/>
          </w:tcPr>
          <w:p>
            <w:pPr>
              <w:spacing w:beforeLines="20" w:before="48" w:afterLines="20" w:after="48"/>
              <w:jc w:val="center"/>
              <w:rPr>
                <w:noProof/>
                <w:sz w:val="14"/>
              </w:rPr>
            </w:pPr>
            <w:r>
              <w:rPr>
                <w:noProof/>
                <w:sz w:val="14"/>
              </w:rPr>
              <w:t>(4)</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rPr>
          <w:trHeight w:val="533"/>
        </w:trPr>
        <w:tc>
          <w:tcPr>
            <w:tcW w:w="5400" w:type="dxa"/>
            <w:gridSpan w:val="2"/>
            <w:vAlign w:val="center"/>
          </w:tcPr>
          <w:p>
            <w:pPr>
              <w:spacing w:beforeLines="20" w:before="48" w:afterLines="20" w:after="48"/>
              <w:rPr>
                <w:noProof/>
              </w:rPr>
            </w:pPr>
            <w:r>
              <w:rPr>
                <w:noProof/>
                <w:sz w:val="21"/>
              </w:rPr>
              <w:sym w:font="Wingdings" w:char="F09F"/>
            </w:r>
            <w:r>
              <w:rPr>
                <w:noProof/>
                <w:sz w:val="21"/>
              </w:rPr>
              <w:t>TOTAL des crédits de nature administrative financés par l'enveloppe de certains programmes spécifiques</w:t>
            </w:r>
          </w:p>
        </w:tc>
        <w:tc>
          <w:tcPr>
            <w:tcW w:w="654" w:type="dxa"/>
            <w:vAlign w:val="center"/>
          </w:tcPr>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32" w:type="dxa"/>
            <w:vAlign w:val="center"/>
          </w:tcPr>
          <w:p>
            <w:pPr>
              <w:spacing w:before="20" w:after="20"/>
              <w:jc w:val="right"/>
              <w:rPr>
                <w:b/>
                <w:noProof/>
                <w:sz w:val="20"/>
              </w:rPr>
            </w:pPr>
          </w:p>
        </w:tc>
      </w:tr>
      <w:tr>
        <w:tc>
          <w:tcPr>
            <w:tcW w:w="3960" w:type="dxa"/>
            <w:vMerge w:val="restart"/>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la RUBRIQUE &lt;2.&gt;</w:t>
            </w:r>
            <w:r>
              <w:rPr>
                <w:noProof/>
                <w:sz w:val="22"/>
              </w:rPr>
              <w:br/>
              <w:t>du cadre financier pluriannuel</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r>
        <w:tc>
          <w:tcPr>
            <w:tcW w:w="3960" w:type="dxa"/>
            <w:vMerge/>
            <w:shd w:val="thinDiagStripe" w:color="C0C0C0" w:fill="auto"/>
          </w:tcPr>
          <w:p>
            <w:pPr>
              <w:rPr>
                <w:noProof/>
                <w:sz w:val="20"/>
              </w:rPr>
            </w:pPr>
          </w:p>
        </w:tc>
        <w:tc>
          <w:tcPr>
            <w:tcW w:w="1440" w:type="dxa"/>
            <w:vAlign w:val="center"/>
          </w:tcPr>
          <w:p>
            <w:pPr>
              <w:rPr>
                <w:noProof/>
                <w:sz w:val="18"/>
              </w:rPr>
            </w:pPr>
            <w:r>
              <w:rPr>
                <w:noProof/>
                <w:sz w:val="18"/>
              </w:rPr>
              <w:t>Paiements</w:t>
            </w:r>
          </w:p>
        </w:tc>
        <w:tc>
          <w:tcPr>
            <w:tcW w:w="654" w:type="dxa"/>
            <w:vAlign w:val="center"/>
          </w:tcPr>
          <w:p>
            <w:pPr>
              <w:jc w:val="center"/>
              <w:rPr>
                <w:noProof/>
                <w:sz w:val="14"/>
              </w:rPr>
            </w:pPr>
            <w:r>
              <w:rPr>
                <w:noProof/>
                <w:sz w:val="14"/>
              </w:rPr>
              <w:t>=5+ 6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32" w:type="dxa"/>
            <w:vAlign w:val="center"/>
          </w:tcPr>
          <w:p>
            <w:pPr>
              <w:spacing w:before="20" w:after="20"/>
              <w:jc w:val="right"/>
              <w:rPr>
                <w:b/>
                <w:noProof/>
                <w:sz w:val="20"/>
              </w:rPr>
            </w:pPr>
            <w:r>
              <w:rPr>
                <w:b/>
                <w:noProof/>
                <w:sz w:val="20"/>
              </w:rPr>
              <w:t>78</w:t>
            </w:r>
          </w:p>
        </w:tc>
      </w:tr>
    </w:tbl>
    <w:p>
      <w:pPr>
        <w:spacing w:after="40"/>
        <w:rPr>
          <w:b/>
          <w:noProof/>
          <w:sz w:val="22"/>
          <w:u w:val="single"/>
        </w:rPr>
      </w:pPr>
      <w:r>
        <w:rPr>
          <w:b/>
          <w:noProof/>
          <w:sz w:val="22"/>
          <w:u w:val="single"/>
        </w:rPr>
        <w:t>Si plusieurs rubriques opérationnelles sont concernées par la proposition/l’initiative, dupliquer la section qui précède: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1777"/>
      </w:tblGrid>
      <w:tr>
        <w:trPr>
          <w:trHeight w:val="277"/>
        </w:trPr>
        <w:tc>
          <w:tcPr>
            <w:tcW w:w="3960" w:type="dxa"/>
            <w:vMerge w:val="restart"/>
            <w:tcBorders>
              <w:top w:val="single" w:sz="4" w:space="0" w:color="auto"/>
              <w:left w:val="single" w:sz="4" w:space="0" w:color="auto"/>
              <w:bottom w:val="single" w:sz="4" w:space="0" w:color="FF0000"/>
            </w:tcBorders>
            <w:vAlign w:val="center"/>
          </w:tcPr>
          <w:p>
            <w:pPr>
              <w:spacing w:before="20" w:after="20"/>
              <w:rPr>
                <w:noProof/>
              </w:rPr>
            </w:pPr>
            <w:r>
              <w:rPr>
                <w:noProof/>
                <w:sz w:val="21"/>
              </w:rPr>
              <w:sym w:font="Wingdings" w:char="F09F"/>
            </w:r>
            <w:r>
              <w:rPr>
                <w:noProof/>
                <w:sz w:val="21"/>
              </w:rPr>
              <w:t>TOTAL des crédits opérationnels (toutes les rubriques opérationnelles)</w:t>
            </w:r>
          </w:p>
        </w:tc>
        <w:tc>
          <w:tcPr>
            <w:tcW w:w="1440" w:type="dxa"/>
            <w:tcBorders>
              <w:top w:val="single" w:sz="4" w:space="0" w:color="auto"/>
            </w:tcBorders>
            <w:vAlign w:val="center"/>
          </w:tcPr>
          <w:p>
            <w:pPr>
              <w:spacing w:beforeLines="20" w:before="48" w:afterLines="20" w:after="48"/>
              <w:rPr>
                <w:noProof/>
                <w:sz w:val="18"/>
              </w:rPr>
            </w:pPr>
            <w:r>
              <w:rPr>
                <w:noProof/>
                <w:sz w:val="18"/>
              </w:rPr>
              <w:t>Engagements</w:t>
            </w:r>
          </w:p>
        </w:tc>
        <w:tc>
          <w:tcPr>
            <w:tcW w:w="654" w:type="dxa"/>
            <w:tcBorders>
              <w:top w:val="single" w:sz="4" w:space="0" w:color="auto"/>
            </w:tcBorders>
            <w:vAlign w:val="center"/>
          </w:tcPr>
          <w:p>
            <w:pPr>
              <w:spacing w:beforeLines="20" w:before="48" w:afterLines="20" w:after="48"/>
              <w:jc w:val="center"/>
              <w:rPr>
                <w:noProof/>
                <w:sz w:val="14"/>
              </w:rPr>
            </w:pPr>
            <w:r>
              <w:rPr>
                <w:noProof/>
                <w:sz w:val="14"/>
              </w:rPr>
              <w:t>(4)</w:t>
            </w: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868" w:type="dxa"/>
            <w:tcBorders>
              <w:top w:val="single" w:sz="4" w:space="0" w:color="auto"/>
            </w:tcBorders>
            <w:vAlign w:val="center"/>
          </w:tcPr>
          <w:p>
            <w:pPr>
              <w:spacing w:before="20" w:after="20"/>
              <w:jc w:val="right"/>
              <w:rPr>
                <w:noProof/>
                <w:sz w:val="20"/>
              </w:rPr>
            </w:pPr>
          </w:p>
        </w:tc>
        <w:tc>
          <w:tcPr>
            <w:tcW w:w="1777" w:type="dxa"/>
            <w:tcBorders>
              <w:top w:val="single" w:sz="4" w:space="0" w:color="auto"/>
              <w:right w:val="single" w:sz="4" w:space="0" w:color="auto"/>
            </w:tcBorders>
            <w:vAlign w:val="center"/>
          </w:tcPr>
          <w:p>
            <w:pPr>
              <w:spacing w:before="20" w:after="20"/>
              <w:jc w:val="right"/>
              <w:rPr>
                <w:b/>
                <w:noProof/>
                <w:sz w:val="20"/>
              </w:rPr>
            </w:pPr>
          </w:p>
        </w:tc>
      </w:tr>
      <w:tr>
        <w:tc>
          <w:tcPr>
            <w:tcW w:w="3960" w:type="dxa"/>
            <w:vMerge/>
            <w:tcBorders>
              <w:top w:val="single" w:sz="4" w:space="0" w:color="FF0000"/>
              <w:left w:val="single" w:sz="4" w:space="0" w:color="auto"/>
              <w:bottom w:val="single" w:sz="4" w:space="0" w:color="FF0000"/>
            </w:tcBorders>
          </w:tcPr>
          <w:p>
            <w:pPr>
              <w:jc w:val="center"/>
              <w:rPr>
                <w:noProof/>
                <w:sz w:val="20"/>
              </w:rPr>
            </w:pPr>
          </w:p>
        </w:tc>
        <w:tc>
          <w:tcPr>
            <w:tcW w:w="1440" w:type="dxa"/>
            <w:vAlign w:val="center"/>
          </w:tcPr>
          <w:p>
            <w:pPr>
              <w:spacing w:beforeLines="20" w:before="48" w:afterLines="20" w:after="48"/>
              <w:rPr>
                <w:noProof/>
                <w:sz w:val="18"/>
              </w:rPr>
            </w:pPr>
            <w:r>
              <w:rPr>
                <w:noProof/>
                <w:sz w:val="18"/>
              </w:rPr>
              <w:t>Paiements</w:t>
            </w:r>
          </w:p>
        </w:tc>
        <w:tc>
          <w:tcPr>
            <w:tcW w:w="654" w:type="dxa"/>
            <w:vAlign w:val="center"/>
          </w:tcPr>
          <w:p>
            <w:pPr>
              <w:spacing w:beforeLines="20" w:before="48" w:afterLines="20" w:after="48"/>
              <w:jc w:val="center"/>
              <w:rPr>
                <w:noProof/>
                <w:sz w:val="14"/>
              </w:rPr>
            </w:pPr>
            <w:r>
              <w:rPr>
                <w:noProof/>
                <w:sz w:val="14"/>
              </w:rPr>
              <w:t>(5)</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tcBorders>
              <w:right w:val="single" w:sz="4" w:space="0" w:color="auto"/>
            </w:tcBorders>
            <w:vAlign w:val="center"/>
          </w:tcPr>
          <w:p>
            <w:pPr>
              <w:spacing w:before="20" w:after="20"/>
              <w:jc w:val="right"/>
              <w:rPr>
                <w:b/>
                <w:noProof/>
                <w:sz w:val="20"/>
              </w:rPr>
            </w:pPr>
          </w:p>
        </w:tc>
      </w:tr>
      <w:tr>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pPr>
              <w:spacing w:beforeLines="20" w:before="48" w:afterLines="20" w:after="48"/>
              <w:rPr>
                <w:noProof/>
              </w:rPr>
            </w:pPr>
            <w:r>
              <w:rPr>
                <w:noProof/>
                <w:sz w:val="21"/>
              </w:rPr>
              <w:t xml:space="preserve"> TOTAL des crédits de nature administrative financés par l'enveloppe de certains programmes spécifiques (toutes les rubriques opérationnelles)</w:t>
            </w:r>
          </w:p>
        </w:tc>
        <w:tc>
          <w:tcPr>
            <w:tcW w:w="654" w:type="dxa"/>
            <w:vAlign w:val="center"/>
          </w:tcPr>
          <w:p>
            <w:pPr>
              <w:rPr>
                <w:noProof/>
              </w:rPr>
            </w:pPr>
          </w:p>
          <w:p>
            <w:pPr>
              <w:spacing w:beforeLines="20" w:before="48" w:afterLines="20" w:after="48"/>
              <w:jc w:val="center"/>
              <w:rPr>
                <w:noProof/>
                <w:sz w:val="14"/>
              </w:rPr>
            </w:pPr>
            <w:r>
              <w:rPr>
                <w:noProof/>
                <w:sz w:val="14"/>
              </w:rPr>
              <w:t>(6)</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Merge w:val="restart"/>
            <w:tcBorders>
              <w:top w:val="single" w:sz="4" w:space="0" w:color="FF0000"/>
              <w:left w:val="single" w:sz="4" w:space="0" w:color="auto"/>
              <w:bottom w:val="single" w:sz="4" w:space="0" w:color="FF0000"/>
            </w:tcBorders>
            <w:shd w:val="thinDiagStripe" w:color="C0C0C0" w:fill="auto"/>
            <w:vAlign w:val="center"/>
          </w:tcPr>
          <w:p>
            <w:pPr>
              <w:jc w:val="center"/>
              <w:rPr>
                <w:b/>
                <w:noProof/>
              </w:rPr>
            </w:pPr>
            <w:r>
              <w:rPr>
                <w:b/>
                <w:noProof/>
                <w:sz w:val="22"/>
              </w:rPr>
              <w:t xml:space="preserve">TOTAL des crédits </w:t>
            </w:r>
            <w:r>
              <w:rPr>
                <w:noProof/>
                <w:sz w:val="22"/>
              </w:rPr>
              <w:br/>
            </w:r>
            <w:r>
              <w:rPr>
                <w:b/>
                <w:noProof/>
                <w:sz w:val="22"/>
              </w:rPr>
              <w:t>pour les RUBRIQUES 1 à 4</w:t>
            </w:r>
            <w:r>
              <w:rPr>
                <w:noProof/>
                <w:sz w:val="22"/>
              </w:rPr>
              <w:br/>
              <w:t>du cadre financier pluriannuel</w:t>
            </w:r>
            <w:r>
              <w:rPr>
                <w:noProof/>
                <w:sz w:val="22"/>
              </w:rPr>
              <w:br/>
            </w:r>
            <w:r>
              <w:rPr>
                <w:noProof/>
                <w:sz w:val="20"/>
              </w:rPr>
              <w:t>(Montant de référence)</w:t>
            </w:r>
          </w:p>
        </w:tc>
        <w:tc>
          <w:tcPr>
            <w:tcW w:w="1440" w:type="dxa"/>
            <w:vAlign w:val="center"/>
          </w:tcPr>
          <w:p>
            <w:pPr>
              <w:rPr>
                <w:noProof/>
                <w:sz w:val="18"/>
              </w:rPr>
            </w:pPr>
            <w:r>
              <w:rPr>
                <w:noProof/>
                <w:sz w:val="18"/>
              </w:rPr>
              <w:t>Engagements</w:t>
            </w:r>
          </w:p>
        </w:tc>
        <w:tc>
          <w:tcPr>
            <w:tcW w:w="654" w:type="dxa"/>
            <w:vAlign w:val="center"/>
          </w:tcPr>
          <w:p>
            <w:pPr>
              <w:jc w:val="center"/>
              <w:rPr>
                <w:noProof/>
                <w:sz w:val="14"/>
              </w:rPr>
            </w:pPr>
            <w:r>
              <w:rPr>
                <w:noProof/>
                <w:sz w:val="14"/>
              </w:rPr>
              <w:t>=4+ 6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868" w:type="dxa"/>
            <w:vAlign w:val="center"/>
          </w:tcPr>
          <w:p>
            <w:pPr>
              <w:spacing w:before="20" w:after="20"/>
              <w:jc w:val="right"/>
              <w:rPr>
                <w:noProof/>
                <w:sz w:val="20"/>
              </w:rPr>
            </w:pPr>
            <w:r>
              <w:rPr>
                <w:noProof/>
                <w:sz w:val="20"/>
              </w:rPr>
              <w:t>15,6</w:t>
            </w:r>
          </w:p>
        </w:tc>
        <w:tc>
          <w:tcPr>
            <w:tcW w:w="1777" w:type="dxa"/>
            <w:tcBorders>
              <w:right w:val="single" w:sz="4" w:space="0" w:color="auto"/>
            </w:tcBorders>
            <w:vAlign w:val="center"/>
          </w:tcPr>
          <w:p>
            <w:pPr>
              <w:spacing w:before="20" w:after="20"/>
              <w:jc w:val="right"/>
              <w:rPr>
                <w:b/>
                <w:noProof/>
                <w:sz w:val="20"/>
              </w:rPr>
            </w:pPr>
            <w:r>
              <w:rPr>
                <w:b/>
                <w:noProof/>
                <w:sz w:val="20"/>
              </w:rPr>
              <w:t>78</w:t>
            </w:r>
          </w:p>
        </w:tc>
      </w:tr>
      <w:tr>
        <w:tc>
          <w:tcPr>
            <w:tcW w:w="3960" w:type="dxa"/>
            <w:vMerge/>
            <w:tcBorders>
              <w:top w:val="single" w:sz="4" w:space="0" w:color="FF0000"/>
              <w:left w:val="single" w:sz="4" w:space="0" w:color="auto"/>
              <w:bottom w:val="single" w:sz="4" w:space="0" w:color="auto"/>
            </w:tcBorders>
            <w:shd w:val="thinDiagStripe" w:color="C0C0C0" w:fill="auto"/>
          </w:tcPr>
          <w:p>
            <w:pPr>
              <w:rPr>
                <w:noProof/>
                <w:sz w:val="20"/>
              </w:rPr>
            </w:pPr>
          </w:p>
        </w:tc>
        <w:tc>
          <w:tcPr>
            <w:tcW w:w="1440" w:type="dxa"/>
            <w:tcBorders>
              <w:bottom w:val="single" w:sz="4" w:space="0" w:color="auto"/>
            </w:tcBorders>
            <w:vAlign w:val="center"/>
          </w:tcPr>
          <w:p>
            <w:pPr>
              <w:rPr>
                <w:noProof/>
                <w:sz w:val="18"/>
              </w:rPr>
            </w:pPr>
            <w:r>
              <w:rPr>
                <w:noProof/>
                <w:sz w:val="18"/>
              </w:rPr>
              <w:t>Paiements</w:t>
            </w:r>
          </w:p>
        </w:tc>
        <w:tc>
          <w:tcPr>
            <w:tcW w:w="654" w:type="dxa"/>
            <w:tcBorders>
              <w:bottom w:val="single" w:sz="4" w:space="0" w:color="auto"/>
            </w:tcBorders>
            <w:vAlign w:val="center"/>
          </w:tcPr>
          <w:p>
            <w:pPr>
              <w:jc w:val="center"/>
              <w:rPr>
                <w:noProof/>
                <w:sz w:val="14"/>
              </w:rPr>
            </w:pPr>
            <w:r>
              <w:rPr>
                <w:noProof/>
                <w:sz w:val="14"/>
              </w:rPr>
              <w:t>=5+ 6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868" w:type="dxa"/>
            <w:tcBorders>
              <w:bottom w:val="single" w:sz="4" w:space="0" w:color="auto"/>
            </w:tcBorders>
            <w:vAlign w:val="center"/>
          </w:tcPr>
          <w:p>
            <w:pPr>
              <w:spacing w:before="20" w:after="20"/>
              <w:jc w:val="right"/>
              <w:rPr>
                <w:noProof/>
                <w:sz w:val="20"/>
              </w:rPr>
            </w:pPr>
            <w:r>
              <w:rPr>
                <w:noProof/>
                <w:sz w:val="20"/>
              </w:rPr>
              <w:t>15,6</w:t>
            </w:r>
          </w:p>
        </w:tc>
        <w:tc>
          <w:tcPr>
            <w:tcW w:w="1777" w:type="dxa"/>
            <w:tcBorders>
              <w:bottom w:val="single" w:sz="4" w:space="0" w:color="auto"/>
              <w:right w:val="single" w:sz="4" w:space="0" w:color="auto"/>
            </w:tcBorders>
            <w:vAlign w:val="center"/>
          </w:tcPr>
          <w:p>
            <w:pPr>
              <w:spacing w:before="20" w:after="20"/>
              <w:jc w:val="right"/>
              <w:rPr>
                <w:b/>
                <w:noProof/>
                <w:sz w:val="20"/>
              </w:rPr>
            </w:pPr>
            <w:r>
              <w:rPr>
                <w:b/>
                <w:noProof/>
                <w:sz w:val="20"/>
              </w:rPr>
              <w:t>78</w:t>
            </w:r>
          </w:p>
        </w:tc>
      </w:tr>
    </w:tbl>
    <w:p>
      <w:pPr>
        <w:rPr>
          <w:noProof/>
        </w:rPr>
      </w:pPr>
    </w:p>
    <w:p>
      <w:pPr>
        <w:spacing w:before="0" w:after="0"/>
        <w:jc w:val="left"/>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«Dépenses administratives»</w:t>
            </w:r>
          </w:p>
        </w:tc>
      </w:tr>
    </w:tbl>
    <w:p>
      <w:pPr>
        <w:jc w:val="left"/>
        <w:rPr>
          <w:noProof/>
          <w:sz w:val="20"/>
        </w:rPr>
      </w:pPr>
      <w:r>
        <w:rPr>
          <w:noProof/>
        </w:rPr>
        <w:t>Cette partie est à compléter en utilisant les «données budgétaires de nature administrative», à introduire d’abord dans l’</w:t>
      </w:r>
      <w:hyperlink r:id="rId18">
        <w:r>
          <w:rPr>
            <w:rStyle w:val="Hyperlink"/>
            <w:noProof/>
          </w:rPr>
          <w:t>annexe de la fiche financière législative</w:t>
        </w:r>
      </w:hyperlink>
      <w:r>
        <w:rPr>
          <w:noProof/>
        </w:rPr>
        <w:t xml:space="preserve"> (annexe V des règles internes), à charger dans DECIDE pour les besoins de la consultation interservices.</w:t>
      </w:r>
    </w:p>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b/>
                <w:noProof/>
                <w:sz w:val="18"/>
              </w:rPr>
            </w:pPr>
            <w:r>
              <w:rPr>
                <w:noProof/>
                <w:sz w:val="20"/>
              </w:rPr>
              <w:t>Année</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rPr>
          <w:gridAfter w:val="8"/>
          <w:wAfter w:w="8211" w:type="dxa"/>
        </w:trPr>
        <w:tc>
          <w:tcPr>
            <w:tcW w:w="3960" w:type="dxa"/>
            <w:vAlign w:val="center"/>
          </w:tcPr>
          <w:p>
            <w:pPr>
              <w:spacing w:before="60" w:after="60"/>
              <w:jc w:val="center"/>
              <w:rPr>
                <w:noProof/>
              </w:rPr>
            </w:pPr>
            <w:r>
              <w:rPr>
                <w:noProof/>
                <w:sz w:val="22"/>
              </w:rPr>
              <w:t>DG: MARE</w:t>
            </w:r>
          </w:p>
        </w:tc>
      </w:tr>
      <w:tr>
        <w:trPr>
          <w:trHeight w:val="313"/>
        </w:trPr>
        <w:tc>
          <w:tcPr>
            <w:tcW w:w="6054" w:type="dxa"/>
            <w:gridSpan w:val="3"/>
            <w:vAlign w:val="center"/>
          </w:tcPr>
          <w:p>
            <w:pPr>
              <w:spacing w:before="20" w:after="20"/>
              <w:rPr>
                <w:noProof/>
              </w:rPr>
            </w:pPr>
            <w:r>
              <w:rPr>
                <w:noProof/>
                <w:sz w:val="22"/>
              </w:rPr>
              <w:sym w:font="Wingdings" w:char="F09F"/>
            </w:r>
            <w:r>
              <w:rPr>
                <w:noProof/>
                <w:sz w:val="22"/>
              </w:rPr>
              <w:t xml:space="preserve"> Ressources humaines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r>
        <w:trPr>
          <w:trHeight w:val="351"/>
        </w:trPr>
        <w:tc>
          <w:tcPr>
            <w:tcW w:w="6054" w:type="dxa"/>
            <w:gridSpan w:val="3"/>
            <w:vAlign w:val="center"/>
          </w:tcPr>
          <w:p>
            <w:pPr>
              <w:spacing w:before="20" w:after="20"/>
              <w:rPr>
                <w:noProof/>
              </w:rPr>
            </w:pPr>
            <w:r>
              <w:rPr>
                <w:noProof/>
                <w:sz w:val="22"/>
              </w:rPr>
              <w:sym w:font="Wingdings" w:char="F09F"/>
            </w:r>
            <w:r>
              <w:rPr>
                <w:noProof/>
                <w:sz w:val="22"/>
              </w:rPr>
              <w:t xml:space="preserve"> Autres dépenses administratives</w:t>
            </w: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868" w:type="dxa"/>
            <w:vAlign w:val="center"/>
          </w:tcPr>
          <w:p>
            <w:pPr>
              <w:spacing w:before="20" w:after="20"/>
              <w:jc w:val="right"/>
              <w:rPr>
                <w:b/>
                <w:noProof/>
                <w:sz w:val="20"/>
              </w:rPr>
            </w:pPr>
          </w:p>
        </w:tc>
        <w:tc>
          <w:tcPr>
            <w:tcW w:w="1777" w:type="dxa"/>
            <w:vAlign w:val="center"/>
          </w:tcPr>
          <w:p>
            <w:pPr>
              <w:spacing w:before="20" w:after="20"/>
              <w:jc w:val="right"/>
              <w:rPr>
                <w:b/>
                <w:noProof/>
                <w:sz w:val="20"/>
              </w:rPr>
            </w:pPr>
          </w:p>
        </w:tc>
      </w:tr>
      <w:tr>
        <w:tc>
          <w:tcPr>
            <w:tcW w:w="3960" w:type="dxa"/>
            <w:vAlign w:val="center"/>
          </w:tcPr>
          <w:p>
            <w:pPr>
              <w:jc w:val="center"/>
              <w:rPr>
                <w:b/>
                <w:noProof/>
              </w:rPr>
            </w:pPr>
            <w:r>
              <w:rPr>
                <w:b/>
                <w:noProof/>
                <w:sz w:val="22"/>
              </w:rPr>
              <w:t xml:space="preserve">TOTAL DG </w:t>
            </w:r>
            <w:r>
              <w:rPr>
                <w:noProof/>
                <w:sz w:val="22"/>
              </w:rPr>
              <w:t>MARE</w:t>
            </w:r>
          </w:p>
        </w:tc>
        <w:tc>
          <w:tcPr>
            <w:tcW w:w="2094" w:type="dxa"/>
            <w:gridSpan w:val="2"/>
            <w:vAlign w:val="center"/>
          </w:tcPr>
          <w:p>
            <w:pPr>
              <w:rPr>
                <w:noProof/>
                <w:sz w:val="14"/>
              </w:rPr>
            </w:pPr>
            <w:r>
              <w:rPr>
                <w:noProof/>
                <w:sz w:val="18"/>
              </w:rPr>
              <w:t xml:space="preserve">Crédits </w:t>
            </w:r>
          </w:p>
        </w:tc>
        <w:tc>
          <w:tcPr>
            <w:tcW w:w="868" w:type="dxa"/>
            <w:vAlign w:val="center"/>
          </w:tcPr>
          <w:p>
            <w:pPr>
              <w:spacing w:before="60" w:after="6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1777"/>
      </w:tblGrid>
      <w:tr>
        <w:tc>
          <w:tcPr>
            <w:tcW w:w="3960" w:type="dxa"/>
            <w:shd w:val="thinDiagStripe" w:color="C0C0C0" w:fill="auto"/>
            <w:vAlign w:val="center"/>
          </w:tcPr>
          <w:p>
            <w:pPr>
              <w:jc w:val="center"/>
              <w:rPr>
                <w:b/>
                <w:noProof/>
              </w:rPr>
            </w:pPr>
            <w:r>
              <w:rPr>
                <w:b/>
                <w:noProof/>
                <w:sz w:val="22"/>
              </w:rPr>
              <w:t>TOTAL des crédits</w:t>
            </w:r>
            <w:r>
              <w:rPr>
                <w:noProof/>
                <w:sz w:val="22"/>
              </w:rPr>
              <w:br/>
            </w:r>
            <w:r>
              <w:rPr>
                <w:b/>
                <w:noProof/>
                <w:sz w:val="22"/>
              </w:rPr>
              <w:t>pour la RUBRIQUE 5</w:t>
            </w:r>
            <w:r>
              <w:rPr>
                <w:noProof/>
                <w:sz w:val="22"/>
              </w:rPr>
              <w:br/>
              <w:t>du cadre financier pluriannuel</w:t>
            </w:r>
            <w:r>
              <w:rPr>
                <w:b/>
                <w:noProof/>
                <w:sz w:val="22"/>
              </w:rPr>
              <w:t xml:space="preserve"> </w:t>
            </w:r>
          </w:p>
        </w:tc>
        <w:tc>
          <w:tcPr>
            <w:tcW w:w="2094" w:type="dxa"/>
            <w:vAlign w:val="center"/>
          </w:tcPr>
          <w:p>
            <w:pPr>
              <w:spacing w:before="40" w:after="40"/>
              <w:rPr>
                <w:noProof/>
              </w:rPr>
            </w:pPr>
            <w:r>
              <w:rPr>
                <w:noProof/>
                <w:sz w:val="18"/>
              </w:rPr>
              <w:t>(Total engagements = Total paiements)</w:t>
            </w: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noProof/>
                <w:sz w:val="20"/>
              </w:rPr>
            </w:pPr>
          </w:p>
        </w:tc>
        <w:tc>
          <w:tcPr>
            <w:tcW w:w="1777" w:type="dxa"/>
            <w:vAlign w:val="center"/>
          </w:tcPr>
          <w:p>
            <w:pPr>
              <w:spacing w:before="20" w:after="20"/>
              <w:jc w:val="right"/>
              <w:rPr>
                <w:b/>
                <w:noProof/>
                <w:sz w:val="20"/>
              </w:rPr>
            </w:pPr>
          </w:p>
        </w:tc>
      </w:tr>
    </w:tbl>
    <w:p>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1777"/>
      </w:tblGrid>
      <w:tr>
        <w:tc>
          <w:tcPr>
            <w:tcW w:w="3960"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noProof/>
                <w:sz w:val="20"/>
              </w:rPr>
              <w:t>Année</w:t>
            </w:r>
            <w:r>
              <w:rPr>
                <w:noProof/>
                <w:sz w:val="22"/>
              </w:rPr>
              <w:br/>
            </w:r>
            <w:r>
              <w:rPr>
                <w:b/>
                <w:noProof/>
                <w:sz w:val="20"/>
              </w:rPr>
              <w:t>2019</w:t>
            </w:r>
          </w:p>
        </w:tc>
        <w:tc>
          <w:tcPr>
            <w:tcW w:w="868" w:type="dxa"/>
            <w:vAlign w:val="center"/>
          </w:tcPr>
          <w:p>
            <w:pPr>
              <w:jc w:val="center"/>
              <w:rPr>
                <w:noProof/>
                <w:sz w:val="20"/>
              </w:rPr>
            </w:pPr>
            <w:r>
              <w:rPr>
                <w:noProof/>
                <w:sz w:val="20"/>
              </w:rPr>
              <w:t>Année</w:t>
            </w:r>
            <w:r>
              <w:rPr>
                <w:noProof/>
                <w:sz w:val="22"/>
              </w:rPr>
              <w:br/>
            </w:r>
            <w:r>
              <w:rPr>
                <w:b/>
                <w:noProof/>
                <w:sz w:val="20"/>
              </w:rPr>
              <w:t>2020</w:t>
            </w:r>
          </w:p>
        </w:tc>
        <w:tc>
          <w:tcPr>
            <w:tcW w:w="868" w:type="dxa"/>
            <w:vAlign w:val="center"/>
          </w:tcPr>
          <w:p>
            <w:pPr>
              <w:jc w:val="center"/>
              <w:rPr>
                <w:noProof/>
                <w:sz w:val="20"/>
              </w:rPr>
            </w:pPr>
            <w:r>
              <w:rPr>
                <w:noProof/>
                <w:sz w:val="20"/>
              </w:rPr>
              <w:t>Année</w:t>
            </w:r>
            <w:r>
              <w:rPr>
                <w:noProof/>
                <w:sz w:val="22"/>
              </w:rPr>
              <w:br/>
            </w:r>
            <w:r>
              <w:rPr>
                <w:b/>
                <w:noProof/>
                <w:sz w:val="20"/>
              </w:rPr>
              <w:t>2021</w:t>
            </w:r>
          </w:p>
        </w:tc>
        <w:tc>
          <w:tcPr>
            <w:tcW w:w="868" w:type="dxa"/>
            <w:vAlign w:val="center"/>
          </w:tcPr>
          <w:p>
            <w:pPr>
              <w:jc w:val="center"/>
              <w:rPr>
                <w:noProof/>
                <w:sz w:val="20"/>
              </w:rPr>
            </w:pPr>
            <w:r>
              <w:rPr>
                <w:noProof/>
                <w:sz w:val="20"/>
              </w:rPr>
              <w:t>Année</w:t>
            </w:r>
            <w:r>
              <w:rPr>
                <w:noProof/>
                <w:sz w:val="22"/>
              </w:rPr>
              <w:br/>
            </w:r>
            <w:r>
              <w:rPr>
                <w:b/>
                <w:noProof/>
                <w:sz w:val="20"/>
              </w:rPr>
              <w:t>2022</w:t>
            </w:r>
          </w:p>
        </w:tc>
        <w:tc>
          <w:tcPr>
            <w:tcW w:w="868" w:type="dxa"/>
            <w:vAlign w:val="center"/>
          </w:tcPr>
          <w:p>
            <w:pPr>
              <w:jc w:val="center"/>
              <w:rPr>
                <w:b/>
                <w:noProof/>
                <w:sz w:val="18"/>
              </w:rPr>
            </w:pPr>
            <w:r>
              <w:rPr>
                <w:noProof/>
                <w:sz w:val="20"/>
              </w:rPr>
              <w:t>Année</w:t>
            </w:r>
            <w:r>
              <w:rPr>
                <w:noProof/>
                <w:sz w:val="22"/>
              </w:rPr>
              <w:br/>
            </w:r>
            <w:r>
              <w:rPr>
                <w:b/>
                <w:noProof/>
                <w:sz w:val="20"/>
              </w:rPr>
              <w:t>2023</w:t>
            </w:r>
          </w:p>
        </w:tc>
        <w:tc>
          <w:tcPr>
            <w:tcW w:w="1777" w:type="dxa"/>
            <w:vAlign w:val="center"/>
          </w:tcPr>
          <w:p>
            <w:pPr>
              <w:jc w:val="center"/>
              <w:rPr>
                <w:b/>
                <w:noProof/>
                <w:sz w:val="20"/>
              </w:rPr>
            </w:pPr>
            <w:r>
              <w:rPr>
                <w:b/>
                <w:noProof/>
                <w:sz w:val="20"/>
              </w:rPr>
              <w:t>TOTAL</w:t>
            </w:r>
          </w:p>
        </w:tc>
      </w:tr>
      <w:tr>
        <w:tc>
          <w:tcPr>
            <w:tcW w:w="3960" w:type="dxa"/>
            <w:vMerge w:val="restart"/>
            <w:shd w:val="clear" w:color="auto" w:fill="C0C0C0"/>
            <w:vAlign w:val="center"/>
          </w:tcPr>
          <w:p>
            <w:pPr>
              <w:jc w:val="center"/>
              <w:rPr>
                <w:b/>
                <w:noProof/>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2094" w:type="dxa"/>
            <w:gridSpan w:val="2"/>
            <w:vAlign w:val="center"/>
          </w:tcPr>
          <w:p>
            <w:pPr>
              <w:rPr>
                <w:noProof/>
                <w:sz w:val="14"/>
              </w:rPr>
            </w:pPr>
            <w:r>
              <w:rPr>
                <w:noProof/>
                <w:sz w:val="18"/>
              </w:rPr>
              <w:t>Engagements</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Paiements</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868" w:type="dxa"/>
            <w:vAlign w:val="center"/>
          </w:tcPr>
          <w:p>
            <w:pPr>
              <w:spacing w:before="60" w:after="60"/>
              <w:jc w:val="right"/>
              <w:rPr>
                <w:noProof/>
                <w:sz w:val="20"/>
              </w:rPr>
            </w:pPr>
            <w:r>
              <w:rPr>
                <w:noProof/>
                <w:sz w:val="20"/>
              </w:rPr>
              <w:t>15,6</w:t>
            </w:r>
          </w:p>
        </w:tc>
        <w:tc>
          <w:tcPr>
            <w:tcW w:w="1777" w:type="dxa"/>
            <w:vAlign w:val="center"/>
          </w:tcPr>
          <w:p>
            <w:pPr>
              <w:spacing w:before="60" w:after="60"/>
              <w:jc w:val="right"/>
              <w:rPr>
                <w:b/>
                <w:noProof/>
                <w:sz w:val="20"/>
              </w:rPr>
            </w:pPr>
            <w:r>
              <w:rPr>
                <w:b/>
                <w:noProof/>
                <w:sz w:val="20"/>
              </w:rPr>
              <w:t>78</w:t>
            </w:r>
          </w:p>
        </w:tc>
      </w:tr>
    </w:tbl>
    <w:p>
      <w:pPr>
        <w:rPr>
          <w:noProof/>
        </w:rPr>
      </w:pPr>
    </w:p>
    <w:p>
      <w:pPr>
        <w:pStyle w:val="ManualHeading3"/>
        <w:rPr>
          <w:bCs/>
          <w:noProof/>
          <w:szCs w:val="24"/>
        </w:rPr>
      </w:pPr>
      <w:bookmarkStart w:id="57" w:name="_Toc514938054"/>
      <w:bookmarkStart w:id="58" w:name="_Toc520485053"/>
      <w:r>
        <w:t>3.2.2.</w:t>
      </w:r>
      <w:r>
        <w:tab/>
      </w:r>
      <w:r>
        <w:rPr>
          <w:noProof/>
        </w:rPr>
        <w:t>Estimation des réalisations financées avec des crédits opérationnels</w:t>
      </w:r>
      <w:bookmarkEnd w:id="57"/>
      <w:bookmarkEnd w:id="58"/>
      <w:r>
        <w:rPr>
          <w:noProof/>
        </w:rPr>
        <w:t xml:space="preserve"> </w:t>
      </w:r>
    </w:p>
    <w:p>
      <w:pPr>
        <w:jc w:val="right"/>
        <w:rPr>
          <w:noProof/>
          <w:sz w:val="20"/>
        </w:rPr>
      </w:pPr>
      <w:r>
        <w:rPr>
          <w:noProof/>
          <w:sz w:val="20"/>
        </w:rPr>
        <w:t>Crédits d’engagement en Mio EUR (à la 3</w:t>
      </w:r>
      <w:r>
        <w:rPr>
          <w:noProof/>
          <w:sz w:val="20"/>
          <w:vertAlign w:val="superscript"/>
        </w:rPr>
        <w:t>e</w:t>
      </w:r>
      <w:r>
        <w:rPr>
          <w:noProof/>
          <w:sz w:val="20"/>
        </w:rPr>
        <w:t> décimale)</w:t>
      </w:r>
    </w:p>
    <w:tbl>
      <w:tblPr>
        <w:tblW w:w="11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12"/>
        <w:gridCol w:w="708"/>
        <w:gridCol w:w="900"/>
        <w:gridCol w:w="12"/>
      </w:tblGrid>
      <w:tr>
        <w:trPr>
          <w:jc w:val="center"/>
        </w:trPr>
        <w:tc>
          <w:tcPr>
            <w:tcW w:w="1423" w:type="dxa"/>
            <w:vMerge w:val="restart"/>
            <w:vAlign w:val="center"/>
          </w:tcPr>
          <w:p>
            <w:pPr>
              <w:ind w:right="-29"/>
              <w:jc w:val="center"/>
              <w:rPr>
                <w:b/>
                <w:noProof/>
                <w:sz w:val="18"/>
                <w:szCs w:val="18"/>
              </w:rPr>
            </w:pPr>
            <w:r>
              <w:rPr>
                <w:b/>
                <w:noProof/>
                <w:sz w:val="18"/>
              </w:rPr>
              <w:t xml:space="preserve">Indiquer les objectifs et les réalisations </w:t>
            </w:r>
          </w:p>
          <w:p>
            <w:pPr>
              <w:ind w:right="-29"/>
              <w:jc w:val="center"/>
              <w:rPr>
                <w:b/>
                <w:noProof/>
                <w:sz w:val="18"/>
                <w:szCs w:val="18"/>
              </w:rPr>
            </w:pPr>
          </w:p>
          <w:p>
            <w:pPr>
              <w:ind w:right="-29"/>
              <w:jc w:val="center"/>
              <w:rPr>
                <w:noProof/>
                <w:sz w:val="18"/>
                <w:szCs w:val="18"/>
              </w:rPr>
            </w:pPr>
            <w:r>
              <w:rPr>
                <w:noProof/>
                <w:sz w:val="18"/>
              </w:rPr>
              <w:sym w:font="Wingdings" w:char="F0F2"/>
            </w:r>
          </w:p>
        </w:tc>
        <w:tc>
          <w:tcPr>
            <w:tcW w:w="720" w:type="dxa"/>
            <w:vAlign w:val="center"/>
          </w:tcPr>
          <w:p>
            <w:pPr>
              <w:ind w:right="-29"/>
              <w:jc w:val="center"/>
              <w:rPr>
                <w:noProof/>
                <w:sz w:val="18"/>
                <w:szCs w:val="18"/>
              </w:rPr>
            </w:pPr>
          </w:p>
        </w:tc>
        <w:tc>
          <w:tcPr>
            <w:tcW w:w="701" w:type="dxa"/>
            <w:vAlign w:val="center"/>
          </w:tcPr>
          <w:p>
            <w:pPr>
              <w:ind w:right="-29"/>
              <w:jc w:val="center"/>
              <w:rPr>
                <w:noProof/>
                <w:sz w:val="18"/>
                <w:szCs w:val="18"/>
              </w:rPr>
            </w:pPr>
          </w:p>
        </w:tc>
        <w:tc>
          <w:tcPr>
            <w:tcW w:w="1224" w:type="dxa"/>
            <w:gridSpan w:val="2"/>
            <w:tcBorders>
              <w:left w:val="nil"/>
            </w:tcBorders>
            <w:vAlign w:val="center"/>
          </w:tcPr>
          <w:p>
            <w:pPr>
              <w:ind w:right="-29"/>
              <w:jc w:val="center"/>
              <w:rPr>
                <w:noProof/>
                <w:sz w:val="18"/>
                <w:szCs w:val="18"/>
              </w:rPr>
            </w:pPr>
            <w:r>
              <w:rPr>
                <w:noProof/>
                <w:sz w:val="18"/>
              </w:rPr>
              <w:t>Année</w:t>
            </w:r>
            <w:r>
              <w:rPr>
                <w:noProof/>
                <w:sz w:val="22"/>
              </w:rPr>
              <w:br/>
            </w:r>
            <w:r>
              <w:rPr>
                <w:b/>
                <w:noProof/>
                <w:sz w:val="18"/>
              </w:rPr>
              <w:t>2019</w:t>
            </w:r>
          </w:p>
        </w:tc>
        <w:tc>
          <w:tcPr>
            <w:tcW w:w="1260" w:type="dxa"/>
            <w:gridSpan w:val="2"/>
            <w:vAlign w:val="center"/>
          </w:tcPr>
          <w:p>
            <w:pPr>
              <w:ind w:right="-29"/>
              <w:jc w:val="center"/>
              <w:rPr>
                <w:noProof/>
                <w:sz w:val="18"/>
                <w:szCs w:val="18"/>
              </w:rPr>
            </w:pPr>
            <w:r>
              <w:rPr>
                <w:noProof/>
                <w:sz w:val="18"/>
              </w:rPr>
              <w:t>Année</w:t>
            </w:r>
            <w:r>
              <w:rPr>
                <w:noProof/>
                <w:sz w:val="22"/>
              </w:rPr>
              <w:br/>
            </w:r>
            <w:r>
              <w:rPr>
                <w:b/>
                <w:noProof/>
                <w:sz w:val="18"/>
              </w:rPr>
              <w:t>2020</w:t>
            </w:r>
          </w:p>
        </w:tc>
        <w:tc>
          <w:tcPr>
            <w:tcW w:w="1440" w:type="dxa"/>
            <w:gridSpan w:val="2"/>
            <w:vAlign w:val="center"/>
          </w:tcPr>
          <w:p>
            <w:pPr>
              <w:ind w:right="-29"/>
              <w:jc w:val="center"/>
              <w:rPr>
                <w:noProof/>
                <w:sz w:val="18"/>
                <w:szCs w:val="18"/>
              </w:rPr>
            </w:pPr>
            <w:r>
              <w:rPr>
                <w:noProof/>
                <w:sz w:val="18"/>
              </w:rPr>
              <w:t>Année</w:t>
            </w:r>
            <w:r>
              <w:rPr>
                <w:noProof/>
                <w:sz w:val="22"/>
              </w:rPr>
              <w:br/>
            </w:r>
            <w:r>
              <w:rPr>
                <w:b/>
                <w:noProof/>
                <w:sz w:val="18"/>
              </w:rPr>
              <w:t>2021</w:t>
            </w:r>
          </w:p>
        </w:tc>
        <w:tc>
          <w:tcPr>
            <w:tcW w:w="1620" w:type="dxa"/>
            <w:gridSpan w:val="3"/>
            <w:vAlign w:val="center"/>
          </w:tcPr>
          <w:p>
            <w:pPr>
              <w:ind w:right="-29"/>
              <w:jc w:val="center"/>
              <w:rPr>
                <w:noProof/>
                <w:sz w:val="18"/>
                <w:szCs w:val="18"/>
              </w:rPr>
            </w:pPr>
            <w:r>
              <w:rPr>
                <w:noProof/>
                <w:sz w:val="18"/>
              </w:rPr>
              <w:t>Année</w:t>
            </w:r>
            <w:r>
              <w:rPr>
                <w:noProof/>
                <w:sz w:val="22"/>
              </w:rPr>
              <w:br/>
            </w:r>
            <w:r>
              <w:rPr>
                <w:b/>
                <w:noProof/>
                <w:sz w:val="18"/>
              </w:rPr>
              <w:t>2022</w:t>
            </w:r>
          </w:p>
        </w:tc>
        <w:tc>
          <w:tcPr>
            <w:tcW w:w="1200" w:type="dxa"/>
            <w:gridSpan w:val="3"/>
            <w:vAlign w:val="center"/>
          </w:tcPr>
          <w:p>
            <w:pPr>
              <w:jc w:val="center"/>
              <w:rPr>
                <w:noProof/>
                <w:sz w:val="18"/>
                <w:szCs w:val="18"/>
              </w:rPr>
            </w:pPr>
            <w:r>
              <w:rPr>
                <w:noProof/>
                <w:sz w:val="18"/>
              </w:rPr>
              <w:t>Année</w:t>
            </w:r>
            <w:r>
              <w:rPr>
                <w:noProof/>
                <w:sz w:val="22"/>
              </w:rPr>
              <w:br/>
            </w:r>
            <w:r>
              <w:rPr>
                <w:b/>
                <w:noProof/>
                <w:sz w:val="18"/>
              </w:rPr>
              <w:t>2023</w:t>
            </w:r>
          </w:p>
        </w:tc>
        <w:tc>
          <w:tcPr>
            <w:tcW w:w="1620" w:type="dxa"/>
            <w:gridSpan w:val="3"/>
            <w:tcBorders>
              <w:left w:val="nil"/>
              <w:bottom w:val="nil"/>
            </w:tcBorders>
            <w:vAlign w:val="center"/>
          </w:tcPr>
          <w:p>
            <w:pPr>
              <w:ind w:right="-29"/>
              <w:jc w:val="center"/>
              <w:rPr>
                <w:noProof/>
                <w:sz w:val="18"/>
                <w:szCs w:val="18"/>
              </w:rPr>
            </w:pPr>
            <w:r>
              <w:rPr>
                <w:b/>
                <w:noProof/>
                <w:sz w:val="18"/>
              </w:rPr>
              <w:t>TOTAL</w:t>
            </w:r>
          </w:p>
        </w:tc>
      </w:tr>
      <w:tr>
        <w:trPr>
          <w:gridAfter w:val="17"/>
          <w:wAfter w:w="9785" w:type="dxa"/>
          <w:trHeight w:val="465"/>
          <w:jc w:val="center"/>
        </w:trPr>
        <w:tc>
          <w:tcPr>
            <w:tcW w:w="1423" w:type="dxa"/>
            <w:vMerge/>
            <w:vAlign w:val="center"/>
          </w:tcPr>
          <w:p>
            <w:pPr>
              <w:ind w:right="-29"/>
              <w:jc w:val="center"/>
              <w:rPr>
                <w:noProof/>
                <w:sz w:val="18"/>
                <w:szCs w:val="18"/>
              </w:rPr>
            </w:pPr>
          </w:p>
        </w:tc>
      </w:tr>
      <w:tr>
        <w:trPr>
          <w:gridAfter w:val="1"/>
          <w:wAfter w:w="12" w:type="dxa"/>
          <w:cantSplit/>
          <w:trHeight w:val="1134"/>
          <w:jc w:val="center"/>
        </w:trPr>
        <w:tc>
          <w:tcPr>
            <w:tcW w:w="1423" w:type="dxa"/>
            <w:vMerge/>
            <w:vAlign w:val="center"/>
          </w:tcPr>
          <w:p>
            <w:pPr>
              <w:rPr>
                <w:noProof/>
                <w:sz w:val="18"/>
                <w:szCs w:val="18"/>
              </w:rPr>
            </w:pPr>
          </w:p>
        </w:tc>
        <w:tc>
          <w:tcPr>
            <w:tcW w:w="720" w:type="dxa"/>
            <w:vAlign w:val="center"/>
          </w:tcPr>
          <w:p>
            <w:pPr>
              <w:jc w:val="center"/>
              <w:rPr>
                <w:noProof/>
                <w:sz w:val="18"/>
                <w:szCs w:val="18"/>
              </w:rPr>
            </w:pPr>
            <w:r>
              <w:rPr>
                <w:noProof/>
                <w:sz w:val="18"/>
              </w:rPr>
              <w:t>Type</w:t>
            </w:r>
            <w:r>
              <w:rPr>
                <w:rStyle w:val="FootnoteReference"/>
                <w:noProof/>
                <w:sz w:val="18"/>
              </w:rPr>
              <w:footnoteReference w:id="15"/>
            </w:r>
          </w:p>
          <w:p>
            <w:pPr>
              <w:spacing w:before="0" w:after="0"/>
              <w:jc w:val="center"/>
              <w:rPr>
                <w:noProof/>
                <w:sz w:val="18"/>
                <w:szCs w:val="18"/>
              </w:rPr>
            </w:pPr>
          </w:p>
        </w:tc>
        <w:tc>
          <w:tcPr>
            <w:tcW w:w="701" w:type="dxa"/>
            <w:vAlign w:val="center"/>
          </w:tcPr>
          <w:p>
            <w:pPr>
              <w:jc w:val="center"/>
              <w:rPr>
                <w:noProof/>
                <w:sz w:val="18"/>
                <w:szCs w:val="18"/>
              </w:rPr>
            </w:pPr>
            <w:r>
              <w:rPr>
                <w:noProof/>
                <w:sz w:val="18"/>
              </w:rPr>
              <w:t>Coût moyen</w:t>
            </w:r>
          </w:p>
        </w:tc>
        <w:tc>
          <w:tcPr>
            <w:tcW w:w="504" w:type="dxa"/>
            <w:tcBorders>
              <w:left w:val="nil"/>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90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720" w:type="dxa"/>
            <w:gridSpan w:val="2"/>
            <w:tcBorders>
              <w:left w:val="dashSmallGap" w:sz="4" w:space="0" w:color="auto"/>
            </w:tcBorders>
            <w:shd w:val="pct10" w:color="auto" w:fill="auto"/>
            <w:vAlign w:val="center"/>
          </w:tcPr>
          <w:p>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Nbre</w:t>
            </w:r>
          </w:p>
        </w:tc>
        <w:tc>
          <w:tcPr>
            <w:tcW w:w="648" w:type="dxa"/>
            <w:tcBorders>
              <w:left w:val="dashSmallGap" w:sz="4" w:space="0" w:color="auto"/>
            </w:tcBorders>
            <w:shd w:val="pct10" w:color="auto" w:fill="auto"/>
            <w:vAlign w:val="center"/>
          </w:tcPr>
          <w:p>
            <w:pPr>
              <w:jc w:val="center"/>
              <w:rPr>
                <w:noProof/>
                <w:sz w:val="18"/>
                <w:szCs w:val="18"/>
              </w:rPr>
            </w:pPr>
            <w:r>
              <w:rPr>
                <w:noProof/>
                <w:sz w:val="18"/>
              </w:rPr>
              <w:t>Coût</w:t>
            </w:r>
          </w:p>
        </w:tc>
        <w:tc>
          <w:tcPr>
            <w:tcW w:w="720" w:type="dxa"/>
            <w:gridSpan w:val="2"/>
            <w:tcBorders>
              <w:right w:val="dashSmallGap" w:sz="4" w:space="0" w:color="auto"/>
            </w:tcBorders>
            <w:shd w:val="pct10" w:color="auto" w:fill="auto"/>
            <w:vAlign w:val="center"/>
          </w:tcPr>
          <w:p>
            <w:pPr>
              <w:jc w:val="center"/>
              <w:rPr>
                <w:noProof/>
                <w:sz w:val="18"/>
                <w:szCs w:val="18"/>
              </w:rPr>
            </w:pPr>
            <w:r>
              <w:rPr>
                <w:noProof/>
                <w:sz w:val="18"/>
              </w:rPr>
              <w:t>Nbre total</w:t>
            </w:r>
          </w:p>
        </w:tc>
        <w:tc>
          <w:tcPr>
            <w:tcW w:w="900" w:type="dxa"/>
            <w:tcBorders>
              <w:left w:val="dashSmallGap" w:sz="4" w:space="0" w:color="auto"/>
            </w:tcBorders>
            <w:shd w:val="pct10" w:color="auto" w:fill="auto"/>
            <w:vAlign w:val="center"/>
          </w:tcPr>
          <w:p>
            <w:pPr>
              <w:jc w:val="center"/>
              <w:rPr>
                <w:noProof/>
                <w:sz w:val="18"/>
                <w:szCs w:val="18"/>
              </w:rPr>
            </w:pPr>
            <w:r>
              <w:rPr>
                <w:noProof/>
                <w:sz w:val="18"/>
              </w:rPr>
              <w:t>Coût total</w:t>
            </w: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OBJECTIF SPÉCIFIQUE nº 1</w:t>
            </w:r>
            <w:r>
              <w:rPr>
                <w:rStyle w:val="FootnoteReference"/>
                <w:noProof/>
                <w:sz w:val="18"/>
              </w:rPr>
              <w:footnoteReference w:id="16"/>
            </w:r>
            <w:r>
              <w:rPr>
                <w:noProof/>
                <w:sz w:val="18"/>
              </w:rPr>
              <w:t>...</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xml:space="preserve">- Access </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11,6</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11,6</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11,6</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szCs w:val="18"/>
              </w:rPr>
              <w:t>58</w:t>
            </w:r>
          </w:p>
        </w:tc>
      </w:tr>
      <w:tr>
        <w:trPr>
          <w:gridAfter w:val="1"/>
          <w:wAfter w:w="12" w:type="dxa"/>
          <w:trHeight w:hRule="exact" w:val="369"/>
          <w:jc w:val="center"/>
        </w:trPr>
        <w:tc>
          <w:tcPr>
            <w:tcW w:w="1423" w:type="dxa"/>
          </w:tcPr>
          <w:p>
            <w:pPr>
              <w:ind w:right="-29"/>
              <w:jc w:val="center"/>
              <w:rPr>
                <w:noProof/>
                <w:sz w:val="18"/>
                <w:szCs w:val="18"/>
              </w:rPr>
            </w:pPr>
            <w:r>
              <w:rPr>
                <w:noProof/>
                <w:sz w:val="18"/>
              </w:rPr>
              <w:t>- Sectoriel</w:t>
            </w:r>
          </w:p>
        </w:tc>
        <w:tc>
          <w:tcPr>
            <w:tcW w:w="720" w:type="dxa"/>
          </w:tcPr>
          <w:p>
            <w:pPr>
              <w:ind w:right="-29"/>
              <w:jc w:val="center"/>
              <w:rPr>
                <w:noProof/>
                <w:sz w:val="18"/>
                <w:szCs w:val="18"/>
              </w:rPr>
            </w:pPr>
            <w:r>
              <w:rPr>
                <w:noProof/>
                <w:sz w:val="18"/>
                <w:szCs w:val="18"/>
              </w:rPr>
              <w:t>Annuel</w:t>
            </w:r>
          </w:p>
        </w:tc>
        <w:tc>
          <w:tcPr>
            <w:tcW w:w="701" w:type="dxa"/>
          </w:tcPr>
          <w:p>
            <w:pPr>
              <w:ind w:right="-29"/>
              <w:jc w:val="center"/>
              <w:rPr>
                <w:noProof/>
                <w:sz w:val="18"/>
                <w:szCs w:val="18"/>
              </w:rPr>
            </w:pPr>
          </w:p>
        </w:tc>
        <w:tc>
          <w:tcPr>
            <w:tcW w:w="504"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54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720" w:type="dxa"/>
            <w:tcBorders>
              <w:right w:val="dashSmallGap" w:sz="4" w:space="0" w:color="auto"/>
            </w:tcBorders>
          </w:tcPr>
          <w:p>
            <w:pPr>
              <w:ind w:right="-29"/>
              <w:jc w:val="center"/>
              <w:rPr>
                <w:noProof/>
                <w:sz w:val="18"/>
                <w:szCs w:val="18"/>
              </w:rPr>
            </w:pPr>
          </w:p>
        </w:tc>
        <w:tc>
          <w:tcPr>
            <w:tcW w:w="720" w:type="dxa"/>
            <w:tcBorders>
              <w:left w:val="dashSmallGap" w:sz="4" w:space="0" w:color="auto"/>
            </w:tcBorders>
          </w:tcPr>
          <w:p>
            <w:pPr>
              <w:ind w:right="-29"/>
              <w:jc w:val="center"/>
              <w:rPr>
                <w:noProof/>
                <w:sz w:val="18"/>
                <w:szCs w:val="18"/>
              </w:rPr>
            </w:pPr>
            <w:r>
              <w:rPr>
                <w:noProof/>
                <w:sz w:val="18"/>
                <w:szCs w:val="18"/>
              </w:rPr>
              <w:t>4</w:t>
            </w:r>
          </w:p>
        </w:tc>
        <w:tc>
          <w:tcPr>
            <w:tcW w:w="900" w:type="dxa"/>
            <w:tcBorders>
              <w:right w:val="dashSmallGap" w:sz="4" w:space="0" w:color="auto"/>
            </w:tcBorders>
          </w:tcPr>
          <w:p>
            <w:pPr>
              <w:ind w:right="-29"/>
              <w:jc w:val="center"/>
              <w:rPr>
                <w:noProof/>
                <w:sz w:val="18"/>
                <w:szCs w:val="18"/>
              </w:rPr>
            </w:pPr>
          </w:p>
        </w:tc>
        <w:tc>
          <w:tcPr>
            <w:tcW w:w="720" w:type="dxa"/>
            <w:gridSpan w:val="2"/>
            <w:tcBorders>
              <w:left w:val="dashSmallGap" w:sz="4" w:space="0" w:color="auto"/>
            </w:tcBorders>
          </w:tcPr>
          <w:p>
            <w:pPr>
              <w:ind w:right="-29"/>
              <w:jc w:val="center"/>
              <w:rPr>
                <w:noProof/>
                <w:sz w:val="18"/>
                <w:szCs w:val="18"/>
              </w:rPr>
            </w:pPr>
            <w:r>
              <w:rPr>
                <w:noProof/>
                <w:sz w:val="18"/>
                <w:szCs w:val="18"/>
              </w:rPr>
              <w:t>4</w:t>
            </w:r>
          </w:p>
        </w:tc>
        <w:tc>
          <w:tcPr>
            <w:tcW w:w="540" w:type="dxa"/>
            <w:tcBorders>
              <w:right w:val="dashSmallGap" w:sz="4" w:space="0" w:color="auto"/>
            </w:tcBorders>
          </w:tcPr>
          <w:p>
            <w:pPr>
              <w:ind w:right="-29"/>
              <w:jc w:val="center"/>
              <w:rPr>
                <w:noProof/>
                <w:sz w:val="18"/>
                <w:szCs w:val="18"/>
              </w:rPr>
            </w:pPr>
          </w:p>
        </w:tc>
        <w:tc>
          <w:tcPr>
            <w:tcW w:w="648" w:type="dxa"/>
            <w:tcBorders>
              <w:left w:val="dashSmallGap" w:sz="4" w:space="0" w:color="auto"/>
            </w:tcBorders>
          </w:tcPr>
          <w:p>
            <w:pPr>
              <w:ind w:right="-29"/>
              <w:jc w:val="center"/>
              <w:rPr>
                <w:noProof/>
                <w:sz w:val="18"/>
                <w:szCs w:val="18"/>
              </w:rPr>
            </w:pPr>
            <w:r>
              <w:rPr>
                <w:noProof/>
                <w:sz w:val="18"/>
                <w:szCs w:val="18"/>
              </w:rPr>
              <w:t>4</w:t>
            </w:r>
          </w:p>
        </w:tc>
        <w:tc>
          <w:tcPr>
            <w:tcW w:w="720" w:type="dxa"/>
            <w:gridSpan w:val="2"/>
          </w:tcPr>
          <w:p>
            <w:pPr>
              <w:ind w:right="-29"/>
              <w:jc w:val="center"/>
              <w:rPr>
                <w:noProof/>
                <w:sz w:val="18"/>
                <w:szCs w:val="18"/>
              </w:rPr>
            </w:pPr>
          </w:p>
        </w:tc>
        <w:tc>
          <w:tcPr>
            <w:tcW w:w="900" w:type="dxa"/>
          </w:tcPr>
          <w:p>
            <w:pPr>
              <w:ind w:right="-29"/>
              <w:jc w:val="center"/>
              <w:rPr>
                <w:noProof/>
                <w:sz w:val="18"/>
                <w:szCs w:val="18"/>
              </w:rPr>
            </w:pPr>
            <w:r>
              <w:rPr>
                <w:noProof/>
                <w:sz w:val="18"/>
                <w:szCs w:val="18"/>
              </w:rPr>
              <w:t>20</w:t>
            </w:r>
          </w:p>
        </w:tc>
      </w:tr>
      <w:tr>
        <w:trPr>
          <w:gridAfter w:val="1"/>
          <w:wAfter w:w="12" w:type="dxa"/>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trHeight w:val="77"/>
          <w:jc w:val="center"/>
        </w:trPr>
        <w:tc>
          <w:tcPr>
            <w:tcW w:w="2844" w:type="dxa"/>
            <w:gridSpan w:val="3"/>
            <w:tcBorders>
              <w:bottom w:val="single" w:sz="12" w:space="0" w:color="auto"/>
            </w:tcBorders>
            <w:vAlign w:val="center"/>
          </w:tcPr>
          <w:p>
            <w:pPr>
              <w:ind w:right="-29"/>
              <w:jc w:val="center"/>
              <w:rPr>
                <w:noProof/>
                <w:sz w:val="18"/>
                <w:szCs w:val="18"/>
              </w:rPr>
            </w:pPr>
            <w:r>
              <w:rPr>
                <w:noProof/>
                <w:sz w:val="18"/>
              </w:rPr>
              <w:t>Sous-total objectif spécifique n° 1</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vAlign w:val="center"/>
          </w:tcPr>
          <w:p>
            <w:pPr>
              <w:spacing w:before="60" w:after="60"/>
              <w:ind w:right="-29"/>
              <w:jc w:val="center"/>
              <w:rPr>
                <w:noProof/>
                <w:sz w:val="18"/>
                <w:szCs w:val="18"/>
              </w:rPr>
            </w:pPr>
            <w:r>
              <w:rPr>
                <w:noProof/>
                <w:sz w:val="18"/>
              </w:rPr>
              <w:t>OBJECTIF SPÉCIFIQUE n° 2…</w:t>
            </w:r>
          </w:p>
        </w:tc>
        <w:tc>
          <w:tcPr>
            <w:tcW w:w="504"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540" w:type="dxa"/>
            <w:tcBorders>
              <w:top w:val="nil"/>
              <w:left w:val="nil"/>
              <w:bottom w:val="nil"/>
              <w:right w:val="nil"/>
            </w:tcBorders>
          </w:tcPr>
          <w:p>
            <w:pPr>
              <w:spacing w:before="60" w:after="60"/>
              <w:ind w:right="-29"/>
              <w:jc w:val="center"/>
              <w:rPr>
                <w:noProof/>
                <w:sz w:val="18"/>
                <w:szCs w:val="18"/>
              </w:rPr>
            </w:pPr>
          </w:p>
        </w:tc>
        <w:tc>
          <w:tcPr>
            <w:tcW w:w="648" w:type="dxa"/>
            <w:tcBorders>
              <w:top w:val="nil"/>
              <w:left w:val="nil"/>
              <w:bottom w:val="nil"/>
              <w:right w:val="nil"/>
            </w:tcBorders>
          </w:tcPr>
          <w:p>
            <w:pPr>
              <w:spacing w:before="60" w:after="60"/>
              <w:ind w:right="-29"/>
              <w:jc w:val="center"/>
              <w:rPr>
                <w:noProof/>
                <w:sz w:val="18"/>
                <w:szCs w:val="18"/>
              </w:rPr>
            </w:pPr>
          </w:p>
        </w:tc>
        <w:tc>
          <w:tcPr>
            <w:tcW w:w="720" w:type="dxa"/>
            <w:gridSpan w:val="2"/>
            <w:tcBorders>
              <w:top w:val="nil"/>
              <w:left w:val="nil"/>
              <w:bottom w:val="nil"/>
              <w:right w:val="nil"/>
            </w:tcBorders>
          </w:tcPr>
          <w:p>
            <w:pPr>
              <w:spacing w:before="60" w:after="60"/>
              <w:ind w:right="-29"/>
              <w:jc w:val="center"/>
              <w:rPr>
                <w:noProof/>
                <w:sz w:val="18"/>
                <w:szCs w:val="18"/>
              </w:rPr>
            </w:pPr>
          </w:p>
        </w:tc>
        <w:tc>
          <w:tcPr>
            <w:tcW w:w="900" w:type="dxa"/>
            <w:tcBorders>
              <w:top w:val="nil"/>
              <w:left w:val="nil"/>
              <w:bottom w:val="nil"/>
              <w:right w:val="nil"/>
            </w:tcBorders>
          </w:tcPr>
          <w:p>
            <w:pPr>
              <w:spacing w:before="60" w:after="60"/>
              <w:ind w:right="-29"/>
              <w:jc w:val="center"/>
              <w:rPr>
                <w:noProof/>
                <w:sz w:val="18"/>
                <w:szCs w:val="18"/>
              </w:rPr>
            </w:pPr>
          </w:p>
        </w:tc>
      </w:tr>
      <w:tr>
        <w:trPr>
          <w:gridAfter w:val="1"/>
          <w:wAfter w:w="12" w:type="dxa"/>
          <w:trHeight w:hRule="exact" w:val="369"/>
          <w:jc w:val="center"/>
        </w:trPr>
        <w:tc>
          <w:tcPr>
            <w:tcW w:w="1423" w:type="dxa"/>
          </w:tcPr>
          <w:p>
            <w:pPr>
              <w:ind w:right="-29"/>
              <w:jc w:val="center"/>
              <w:rPr>
                <w:noProof/>
                <w:sz w:val="18"/>
                <w:szCs w:val="18"/>
              </w:rPr>
            </w:pPr>
            <w:r>
              <w:rPr>
                <w:noProof/>
                <w:sz w:val="18"/>
              </w:rPr>
              <w:t>- Réalisation</w:t>
            </w:r>
          </w:p>
        </w:tc>
        <w:tc>
          <w:tcPr>
            <w:tcW w:w="720" w:type="dxa"/>
          </w:tcPr>
          <w:p>
            <w:pPr>
              <w:ind w:right="-29"/>
              <w:jc w:val="center"/>
              <w:rPr>
                <w:noProof/>
                <w:sz w:val="18"/>
                <w:szCs w:val="18"/>
              </w:rPr>
            </w:pPr>
          </w:p>
        </w:tc>
        <w:tc>
          <w:tcPr>
            <w:tcW w:w="701" w:type="dxa"/>
          </w:tcPr>
          <w:p>
            <w:pPr>
              <w:ind w:right="-29"/>
              <w:jc w:val="center"/>
              <w:rPr>
                <w:noProof/>
                <w:sz w:val="18"/>
                <w:szCs w:val="18"/>
              </w:rPr>
            </w:pPr>
          </w:p>
        </w:tc>
        <w:tc>
          <w:tcPr>
            <w:tcW w:w="504" w:type="dxa"/>
          </w:tcPr>
          <w:p>
            <w:pPr>
              <w:ind w:right="-29"/>
              <w:jc w:val="center"/>
              <w:rPr>
                <w:noProof/>
                <w:sz w:val="18"/>
                <w:szCs w:val="18"/>
              </w:rPr>
            </w:pPr>
          </w:p>
        </w:tc>
        <w:tc>
          <w:tcPr>
            <w:tcW w:w="720" w:type="dxa"/>
          </w:tcPr>
          <w:p>
            <w:pPr>
              <w:ind w:right="-29"/>
              <w:jc w:val="center"/>
              <w:rPr>
                <w:noProof/>
                <w:sz w:val="18"/>
                <w:szCs w:val="18"/>
              </w:rPr>
            </w:pPr>
          </w:p>
        </w:tc>
        <w:tc>
          <w:tcPr>
            <w:tcW w:w="54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720" w:type="dxa"/>
          </w:tcPr>
          <w:p>
            <w:pPr>
              <w:ind w:right="-29"/>
              <w:jc w:val="center"/>
              <w:rPr>
                <w:noProof/>
                <w:sz w:val="18"/>
                <w:szCs w:val="18"/>
              </w:rPr>
            </w:pPr>
          </w:p>
        </w:tc>
        <w:tc>
          <w:tcPr>
            <w:tcW w:w="900" w:type="dxa"/>
          </w:tcPr>
          <w:p>
            <w:pPr>
              <w:ind w:right="-29"/>
              <w:jc w:val="center"/>
              <w:rPr>
                <w:noProof/>
                <w:sz w:val="18"/>
                <w:szCs w:val="18"/>
              </w:rPr>
            </w:pPr>
          </w:p>
        </w:tc>
        <w:tc>
          <w:tcPr>
            <w:tcW w:w="720" w:type="dxa"/>
            <w:gridSpan w:val="2"/>
          </w:tcPr>
          <w:p>
            <w:pPr>
              <w:ind w:right="-29"/>
              <w:jc w:val="center"/>
              <w:rPr>
                <w:noProof/>
                <w:sz w:val="18"/>
                <w:szCs w:val="18"/>
              </w:rPr>
            </w:pPr>
          </w:p>
        </w:tc>
        <w:tc>
          <w:tcPr>
            <w:tcW w:w="540" w:type="dxa"/>
          </w:tcPr>
          <w:p>
            <w:pPr>
              <w:ind w:right="-29"/>
              <w:jc w:val="center"/>
              <w:rPr>
                <w:noProof/>
                <w:sz w:val="18"/>
                <w:szCs w:val="18"/>
              </w:rPr>
            </w:pPr>
          </w:p>
        </w:tc>
        <w:tc>
          <w:tcPr>
            <w:tcW w:w="648" w:type="dxa"/>
          </w:tcPr>
          <w:p>
            <w:pPr>
              <w:ind w:right="-29"/>
              <w:jc w:val="center"/>
              <w:rPr>
                <w:noProof/>
                <w:sz w:val="18"/>
                <w:szCs w:val="18"/>
              </w:rPr>
            </w:pPr>
          </w:p>
        </w:tc>
        <w:tc>
          <w:tcPr>
            <w:tcW w:w="720" w:type="dxa"/>
            <w:gridSpan w:val="2"/>
          </w:tcPr>
          <w:p>
            <w:pPr>
              <w:ind w:right="-29"/>
              <w:jc w:val="center"/>
              <w:rPr>
                <w:noProof/>
                <w:sz w:val="18"/>
                <w:szCs w:val="18"/>
              </w:rPr>
            </w:pPr>
          </w:p>
        </w:tc>
        <w:tc>
          <w:tcPr>
            <w:tcW w:w="900" w:type="dxa"/>
          </w:tcPr>
          <w:p>
            <w:pPr>
              <w:ind w:right="-29"/>
              <w:jc w:val="center"/>
              <w:rPr>
                <w:noProof/>
                <w:sz w:val="18"/>
                <w:szCs w:val="18"/>
              </w:rPr>
            </w:pPr>
          </w:p>
        </w:tc>
      </w:tr>
      <w:tr>
        <w:trPr>
          <w:gridAfter w:val="1"/>
          <w:wAfter w:w="12" w:type="dxa"/>
          <w:jc w:val="center"/>
        </w:trPr>
        <w:tc>
          <w:tcPr>
            <w:tcW w:w="2844" w:type="dxa"/>
            <w:gridSpan w:val="3"/>
            <w:tcBorders>
              <w:bottom w:val="single" w:sz="12" w:space="0" w:color="auto"/>
            </w:tcBorders>
            <w:vAlign w:val="center"/>
          </w:tcPr>
          <w:p>
            <w:pPr>
              <w:jc w:val="center"/>
              <w:rPr>
                <w:noProof/>
                <w:sz w:val="18"/>
                <w:szCs w:val="18"/>
              </w:rPr>
            </w:pPr>
            <w:r>
              <w:rPr>
                <w:noProof/>
                <w:sz w:val="18"/>
              </w:rPr>
              <w:t>Sous-total objectif spécifique n° 2</w:t>
            </w:r>
          </w:p>
        </w:tc>
        <w:tc>
          <w:tcPr>
            <w:tcW w:w="504"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951" w:type="dxa"/>
            <w:gridSpan w:val="2"/>
            <w:tcBorders>
              <w:bottom w:val="single" w:sz="12" w:space="0" w:color="auto"/>
            </w:tcBorders>
          </w:tcPr>
          <w:p>
            <w:pPr>
              <w:ind w:right="-29"/>
              <w:jc w:val="center"/>
              <w:rPr>
                <w:noProof/>
                <w:sz w:val="18"/>
                <w:szCs w:val="18"/>
              </w:rPr>
            </w:pPr>
          </w:p>
        </w:tc>
        <w:tc>
          <w:tcPr>
            <w:tcW w:w="669" w:type="dxa"/>
            <w:tcBorders>
              <w:bottom w:val="single" w:sz="12" w:space="0" w:color="auto"/>
            </w:tcBorders>
          </w:tcPr>
          <w:p>
            <w:pPr>
              <w:ind w:right="-29"/>
              <w:jc w:val="center"/>
              <w:rPr>
                <w:noProof/>
                <w:sz w:val="18"/>
                <w:szCs w:val="18"/>
              </w:rPr>
            </w:pPr>
          </w:p>
        </w:tc>
        <w:tc>
          <w:tcPr>
            <w:tcW w:w="540" w:type="dxa"/>
            <w:tcBorders>
              <w:bottom w:val="single" w:sz="12" w:space="0" w:color="auto"/>
            </w:tcBorders>
          </w:tcPr>
          <w:p>
            <w:pPr>
              <w:ind w:right="-29"/>
              <w:jc w:val="center"/>
              <w:rPr>
                <w:noProof/>
                <w:sz w:val="18"/>
                <w:szCs w:val="18"/>
              </w:rPr>
            </w:pPr>
          </w:p>
        </w:tc>
        <w:tc>
          <w:tcPr>
            <w:tcW w:w="648" w:type="dxa"/>
            <w:tcBorders>
              <w:bottom w:val="single" w:sz="12" w:space="0" w:color="auto"/>
            </w:tcBorders>
          </w:tcPr>
          <w:p>
            <w:pPr>
              <w:ind w:right="-29"/>
              <w:jc w:val="center"/>
              <w:rPr>
                <w:noProof/>
                <w:sz w:val="18"/>
                <w:szCs w:val="18"/>
              </w:rPr>
            </w:pPr>
          </w:p>
        </w:tc>
        <w:tc>
          <w:tcPr>
            <w:tcW w:w="720" w:type="dxa"/>
            <w:gridSpan w:val="2"/>
            <w:tcBorders>
              <w:bottom w:val="single" w:sz="12" w:space="0" w:color="auto"/>
            </w:tcBorders>
          </w:tcPr>
          <w:p>
            <w:pPr>
              <w:ind w:right="-29"/>
              <w:jc w:val="center"/>
              <w:rPr>
                <w:noProof/>
                <w:sz w:val="18"/>
                <w:szCs w:val="18"/>
              </w:rPr>
            </w:pPr>
          </w:p>
        </w:tc>
        <w:tc>
          <w:tcPr>
            <w:tcW w:w="900" w:type="dxa"/>
            <w:tcBorders>
              <w:bottom w:val="single" w:sz="12" w:space="0" w:color="auto"/>
            </w:tcBorders>
          </w:tcPr>
          <w:p>
            <w:pPr>
              <w:ind w:right="-29"/>
              <w:jc w:val="center"/>
              <w:rPr>
                <w:noProof/>
                <w:sz w:val="18"/>
                <w:szCs w:val="18"/>
              </w:rPr>
            </w:pPr>
          </w:p>
        </w:tc>
      </w:tr>
      <w:tr>
        <w:trPr>
          <w:gridAfter w:val="1"/>
          <w:wAfter w:w="12" w:type="dxa"/>
          <w:jc w:val="center"/>
        </w:trPr>
        <w:tc>
          <w:tcPr>
            <w:tcW w:w="2844" w:type="dxa"/>
            <w:gridSpan w:val="3"/>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TOTAUX</w:t>
            </w:r>
          </w:p>
        </w:tc>
        <w:tc>
          <w:tcPr>
            <w:tcW w:w="504"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720" w:type="dxa"/>
            <w:tcBorders>
              <w:top w:val="single" w:sz="12" w:space="0" w:color="auto"/>
              <w:bottom w:val="single" w:sz="12" w:space="0" w:color="auto"/>
            </w:tcBorders>
          </w:tcPr>
          <w:p>
            <w:pPr>
              <w:spacing w:before="180" w:after="180"/>
              <w:ind w:right="-29"/>
              <w:jc w:val="center"/>
              <w:rPr>
                <w:noProof/>
                <w:sz w:val="18"/>
                <w:szCs w:val="18"/>
              </w:rPr>
            </w:pPr>
          </w:p>
        </w:tc>
        <w:tc>
          <w:tcPr>
            <w:tcW w:w="720"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900" w:type="dxa"/>
            <w:tcBorders>
              <w:top w:val="single" w:sz="12" w:space="0" w:color="auto"/>
              <w:bottom w:val="single" w:sz="12" w:space="0" w:color="auto"/>
            </w:tcBorders>
          </w:tcPr>
          <w:p>
            <w:pPr>
              <w:spacing w:before="180" w:after="180"/>
              <w:ind w:right="-29"/>
              <w:jc w:val="center"/>
              <w:rPr>
                <w:noProof/>
                <w:sz w:val="18"/>
                <w:szCs w:val="18"/>
              </w:rPr>
            </w:pP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540" w:type="dxa"/>
            <w:tcBorders>
              <w:top w:val="single" w:sz="12" w:space="0" w:color="auto"/>
              <w:bottom w:val="single" w:sz="12" w:space="0" w:color="auto"/>
            </w:tcBorders>
          </w:tcPr>
          <w:p>
            <w:pPr>
              <w:spacing w:before="180" w:after="180"/>
              <w:ind w:right="-29"/>
              <w:jc w:val="center"/>
              <w:rPr>
                <w:noProof/>
                <w:sz w:val="18"/>
                <w:szCs w:val="18"/>
              </w:rPr>
            </w:pPr>
          </w:p>
        </w:tc>
        <w:tc>
          <w:tcPr>
            <w:tcW w:w="648" w:type="dxa"/>
            <w:tcBorders>
              <w:top w:val="single" w:sz="12" w:space="0" w:color="auto"/>
              <w:bottom w:val="single" w:sz="12" w:space="0" w:color="auto"/>
            </w:tcBorders>
          </w:tcPr>
          <w:p>
            <w:pPr>
              <w:spacing w:before="180" w:after="180"/>
              <w:ind w:right="-29"/>
              <w:jc w:val="center"/>
              <w:rPr>
                <w:noProof/>
                <w:sz w:val="18"/>
                <w:szCs w:val="18"/>
              </w:rPr>
            </w:pPr>
            <w:r>
              <w:rPr>
                <w:noProof/>
                <w:sz w:val="18"/>
                <w:szCs w:val="18"/>
              </w:rPr>
              <w:t>15,6</w:t>
            </w:r>
          </w:p>
        </w:tc>
        <w:tc>
          <w:tcPr>
            <w:tcW w:w="720" w:type="dxa"/>
            <w:gridSpan w:val="2"/>
            <w:tcBorders>
              <w:top w:val="single" w:sz="12" w:space="0" w:color="auto"/>
              <w:bottom w:val="single" w:sz="12" w:space="0" w:color="auto"/>
            </w:tcBorders>
          </w:tcPr>
          <w:p>
            <w:pPr>
              <w:spacing w:before="180" w:after="180"/>
              <w:ind w:right="-29"/>
              <w:jc w:val="center"/>
              <w:rPr>
                <w:noProof/>
                <w:sz w:val="18"/>
                <w:szCs w:val="18"/>
              </w:rPr>
            </w:pPr>
          </w:p>
        </w:tc>
        <w:tc>
          <w:tcPr>
            <w:tcW w:w="900" w:type="dxa"/>
            <w:tcBorders>
              <w:top w:val="single" w:sz="12" w:space="0" w:color="auto"/>
              <w:bottom w:val="single" w:sz="12" w:space="0" w:color="auto"/>
              <w:right w:val="single" w:sz="12" w:space="0" w:color="auto"/>
            </w:tcBorders>
          </w:tcPr>
          <w:p>
            <w:pPr>
              <w:spacing w:before="180" w:after="180"/>
              <w:ind w:right="-29"/>
              <w:jc w:val="center"/>
              <w:rPr>
                <w:noProof/>
                <w:sz w:val="18"/>
                <w:szCs w:val="18"/>
              </w:rPr>
            </w:pPr>
            <w:r>
              <w:rPr>
                <w:noProof/>
                <w:sz w:val="18"/>
                <w:szCs w:val="18"/>
              </w:rPr>
              <w:t>78</w:t>
            </w:r>
          </w:p>
        </w:tc>
      </w:tr>
    </w:tbl>
    <w:p>
      <w:pPr>
        <w:rPr>
          <w:noProof/>
        </w:rPr>
        <w:sectPr>
          <w:headerReference w:type="default" r:id="rId19"/>
          <w:footerReference w:type="default" r:id="rId20"/>
          <w:headerReference w:type="first" r:id="rId21"/>
          <w:footerReference w:type="first" r:id="rId22"/>
          <w:pgSz w:w="16840" w:h="11907" w:orient="landscape" w:code="9"/>
          <w:pgMar w:top="1134" w:right="1418" w:bottom="567" w:left="1418" w:header="709" w:footer="709" w:gutter="0"/>
          <w:cols w:space="708"/>
          <w:docGrid w:linePitch="360"/>
        </w:sectPr>
      </w:pPr>
    </w:p>
    <w:p>
      <w:pPr>
        <w:pStyle w:val="ManualHeading3"/>
        <w:rPr>
          <w:bCs/>
          <w:noProof/>
          <w:szCs w:val="24"/>
        </w:rPr>
      </w:pPr>
      <w:bookmarkStart w:id="59" w:name="_Toc514938055"/>
      <w:bookmarkStart w:id="60" w:name="_Toc520485054"/>
      <w:r>
        <w:t>3.2.3.</w:t>
      </w:r>
      <w:r>
        <w:tab/>
      </w:r>
      <w:r>
        <w:rPr>
          <w:noProof/>
        </w:rPr>
        <w:t>Synthèse de l’incidence estimée sur les crédits administratifs</w:t>
      </w:r>
      <w:bookmarkEnd w:id="59"/>
      <w:bookmarkEnd w:id="60"/>
      <w:r>
        <w:rPr>
          <w:noProof/>
        </w:rPr>
        <w:t xml:space="preserve"> </w:t>
      </w:r>
    </w:p>
    <w:p>
      <w:pPr>
        <w:pStyle w:val="ListDash1"/>
        <w:rPr>
          <w:noProof/>
        </w:rPr>
      </w:pPr>
      <w:r>
        <w:rPr>
          <w:noProof/>
        </w:rPr>
        <w:t>X</w:t>
      </w:r>
      <w:r>
        <w:rPr>
          <w:noProof/>
        </w:rPr>
        <w:tab/>
        <w:t xml:space="preserve">La proposition/l’initiative n’engendre pas l’utilisation de crédits de nature administrative. </w:t>
      </w:r>
    </w:p>
    <w:p>
      <w:pPr>
        <w:pStyle w:val="ListDash1"/>
        <w:rPr>
          <w:noProof/>
        </w:rPr>
      </w:pPr>
      <w:r>
        <w:rPr>
          <w:noProof/>
        </w:rPr>
        <w:sym w:font="Wingdings" w:char="F0A8"/>
      </w:r>
      <w:r>
        <w:rPr>
          <w:noProof/>
        </w:rPr>
        <w:tab/>
        <w:t>La proposition/l’initiative engendre l’utilisation de crédits de nature administrative, comme expliqué ci-après:</w:t>
      </w:r>
    </w:p>
    <w:p>
      <w:pPr>
        <w:jc w:val="right"/>
        <w:rPr>
          <w:noProof/>
          <w:sz w:val="20"/>
        </w:rPr>
      </w:pPr>
      <w:r>
        <w:rPr>
          <w:noProof/>
          <w:sz w:val="20"/>
        </w:rPr>
        <w:t>En Mio EUR (à la 3</w:t>
      </w:r>
      <w:r>
        <w:rPr>
          <w:noProof/>
          <w:sz w:val="20"/>
          <w:vertAlign w:val="superscript"/>
        </w:rPr>
        <w:t>e</w:t>
      </w:r>
      <w:r>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trPr>
          <w:trHeight w:val="585"/>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 xml:space="preserve">N </w:t>
            </w:r>
            <w:r>
              <w:rPr>
                <w:rStyle w:val="FootnoteReference"/>
                <w:b/>
                <w:noProof/>
                <w:sz w:val="16"/>
              </w:rPr>
              <w:footnoteReference w:id="17"/>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N+1</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N+2</w:t>
            </w:r>
          </w:p>
        </w:tc>
        <w:tc>
          <w:tcPr>
            <w:tcW w:w="1080" w:type="dxa"/>
            <w:vAlign w:val="center"/>
          </w:tcPr>
          <w:p>
            <w:pPr>
              <w:spacing w:before="60" w:after="60" w:line="200" w:lineRule="exact"/>
              <w:jc w:val="center"/>
              <w:rPr>
                <w:noProof/>
                <w:sz w:val="16"/>
                <w:szCs w:val="16"/>
              </w:rPr>
            </w:pPr>
            <w:r>
              <w:rPr>
                <w:noProof/>
                <w:sz w:val="16"/>
              </w:rPr>
              <w:t>Année</w:t>
            </w:r>
            <w:r>
              <w:rPr>
                <w:noProof/>
                <w:sz w:val="22"/>
              </w:rPr>
              <w:br/>
            </w:r>
            <w:r>
              <w:rPr>
                <w:b/>
                <w:noProof/>
                <w:sz w:val="16"/>
              </w:rPr>
              <w:t>N+3</w:t>
            </w:r>
          </w:p>
        </w:tc>
        <w:tc>
          <w:tcPr>
            <w:tcW w:w="3240" w:type="dxa"/>
            <w:vAlign w:val="center"/>
          </w:tcPr>
          <w:p>
            <w:pPr>
              <w:spacing w:line="200" w:lineRule="exact"/>
              <w:jc w:val="center"/>
              <w:rPr>
                <w:b/>
                <w:noProof/>
                <w:sz w:val="16"/>
                <w:szCs w:val="16"/>
              </w:rPr>
            </w:pPr>
            <w:r>
              <w:rPr>
                <w:noProof/>
                <w:sz w:val="16"/>
              </w:rPr>
              <w:t>Insérer autant d'années que nécessaire, pour refléter la durée de l'incidence (cf. point 1.6)</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administratives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Hors RUBRIQUE 5</w:t>
            </w:r>
            <w:r>
              <w:rPr>
                <w:rStyle w:val="FootnoteReference"/>
                <w:b/>
                <w:noProof/>
                <w:sz w:val="16"/>
              </w:rPr>
              <w:footnoteReference w:id="18"/>
            </w:r>
            <w:r>
              <w:rPr>
                <w:noProof/>
                <w:sz w:val="22"/>
              </w:rPr>
              <w:br/>
            </w:r>
            <w:r>
              <w:rPr>
                <w:b/>
                <w:noProof/>
                <w:sz w:val="16"/>
              </w:rPr>
              <w:t xml:space="preserve">du cadre financier pluriannuel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Ressources humaines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de nature administrative</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Sous-total </w:t>
            </w:r>
            <w:r>
              <w:rPr>
                <w:noProof/>
                <w:sz w:val="22"/>
              </w:rPr>
              <w:br/>
            </w:r>
            <w:r>
              <w:rPr>
                <w:b/>
                <w:noProof/>
                <w:sz w:val="16"/>
              </w:rPr>
              <w:t>hors RUBRIQUE 5</w:t>
            </w:r>
            <w:r>
              <w:rPr>
                <w:noProof/>
                <w:sz w:val="22"/>
              </w:rPr>
              <w:br/>
            </w:r>
            <w:r>
              <w:rPr>
                <w:b/>
                <w:noProof/>
                <w:sz w:val="16"/>
              </w:rPr>
              <w:t xml:space="preserve">du cadre financier pluriannuel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p>
        </w:tc>
      </w:tr>
    </w:tbl>
    <w:p>
      <w:pPr>
        <w:rPr>
          <w:noProof/>
          <w:sz w:val="18"/>
        </w:rPr>
      </w:pPr>
      <w:r>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p>
    <w:p>
      <w:pPr>
        <w:pStyle w:val="ManualHeading4"/>
        <w:rPr>
          <w:bCs/>
          <w:noProof/>
          <w:szCs w:val="24"/>
        </w:rPr>
      </w:pPr>
      <w:r>
        <w:t>3.2.3.1.</w:t>
      </w:r>
      <w:r>
        <w:tab/>
      </w:r>
      <w:r>
        <w:rPr>
          <w:noProof/>
        </w:rPr>
        <w:t xml:space="preserve">Besoins estimés en ressources humaines </w:t>
      </w:r>
    </w:p>
    <w:p>
      <w:pPr>
        <w:pStyle w:val="ListDash1"/>
        <w:rPr>
          <w:noProof/>
        </w:rPr>
      </w:pPr>
      <w:r>
        <w:rPr>
          <w:noProof/>
        </w:rPr>
        <w:t>X</w:t>
      </w:r>
      <w:r>
        <w:rPr>
          <w:noProof/>
        </w:rPr>
        <w:tab/>
        <w:t xml:space="preserve">La proposition/l’initiative n’engendre pas l’utilisation de ressources humaines. </w:t>
      </w:r>
    </w:p>
    <w:p>
      <w:pPr>
        <w:pStyle w:val="ListDash1"/>
        <w:rPr>
          <w:noProof/>
        </w:rPr>
      </w:pPr>
      <w:r>
        <w:rPr>
          <w:noProof/>
        </w:rPr>
        <w:sym w:font="Wingdings" w:char="F0A8"/>
      </w:r>
      <w:r>
        <w:rPr>
          <w:noProof/>
        </w:rPr>
        <w:tab/>
        <w:t>La proposition/l’initiative engendre l’utilisation de ressources humaines, comme expliqué ci-après:</w:t>
      </w:r>
    </w:p>
    <w:p>
      <w:pPr>
        <w:spacing w:after="60"/>
        <w:jc w:val="right"/>
        <w:rPr>
          <w:i/>
          <w:noProof/>
          <w:sz w:val="20"/>
        </w:rPr>
      </w:pPr>
      <w:r>
        <w:rPr>
          <w:i/>
          <w:noProof/>
          <w:sz w:val="20"/>
        </w:rPr>
        <w:t>Estimation à exprimer en équivalents temps plein</w:t>
      </w:r>
    </w:p>
    <w:tbl>
      <w:tblPr>
        <w:tblW w:w="988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
        <w:gridCol w:w="2376"/>
        <w:gridCol w:w="2378"/>
        <w:gridCol w:w="731"/>
        <w:gridCol w:w="731"/>
        <w:gridCol w:w="731"/>
        <w:gridCol w:w="731"/>
        <w:gridCol w:w="731"/>
        <w:gridCol w:w="731"/>
        <w:gridCol w:w="731"/>
      </w:tblGrid>
      <w:tr>
        <w:trPr>
          <w:gridBefore w:val="1"/>
          <w:wBefore w:w="13" w:type="dxa"/>
          <w:trHeight w:val="289"/>
          <w:jc w:val="center"/>
        </w:trPr>
        <w:tc>
          <w:tcPr>
            <w:tcW w:w="3906" w:type="dxa"/>
            <w:gridSpan w:val="2"/>
            <w:shd w:val="clear" w:color="auto" w:fill="auto"/>
          </w:tcPr>
          <w:p>
            <w:pPr>
              <w:pStyle w:val="Text1"/>
              <w:spacing w:before="40" w:after="40"/>
              <w:ind w:left="0"/>
              <w:jc w:val="center"/>
              <w:rPr>
                <w:i/>
                <w:noProof/>
                <w:sz w:val="16"/>
                <w:szCs w:val="16"/>
              </w:rPr>
            </w:pP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w:t>
            </w:r>
          </w:p>
        </w:tc>
        <w:tc>
          <w:tcPr>
            <w:tcW w:w="600" w:type="dxa"/>
            <w:shd w:val="clear" w:color="auto" w:fill="auto"/>
            <w:vAlign w:val="center"/>
          </w:tcPr>
          <w:p>
            <w:pPr>
              <w:spacing w:before="20" w:after="20"/>
              <w:jc w:val="center"/>
              <w:rPr>
                <w:noProof/>
                <w:sz w:val="16"/>
                <w:szCs w:val="16"/>
              </w:rPr>
            </w:pPr>
            <w:r>
              <w:rPr>
                <w:noProof/>
                <w:sz w:val="16"/>
              </w:rPr>
              <w:t>Année</w:t>
            </w:r>
            <w:r>
              <w:rPr>
                <w:noProof/>
                <w:sz w:val="22"/>
              </w:rPr>
              <w:br/>
            </w:r>
            <w:r>
              <w:rPr>
                <w:b/>
                <w:noProof/>
                <w:sz w:val="16"/>
              </w:rPr>
              <w:t>N+1</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N+2</w:t>
            </w:r>
          </w:p>
        </w:tc>
        <w:tc>
          <w:tcPr>
            <w:tcW w:w="600" w:type="dxa"/>
            <w:shd w:val="clear" w:color="auto" w:fill="auto"/>
            <w:vAlign w:val="center"/>
          </w:tcPr>
          <w:p>
            <w:pPr>
              <w:spacing w:before="20" w:after="20"/>
              <w:jc w:val="center"/>
              <w:rPr>
                <w:noProof/>
                <w:sz w:val="16"/>
                <w:szCs w:val="16"/>
              </w:rPr>
            </w:pPr>
            <w:r>
              <w:rPr>
                <w:noProof/>
                <w:sz w:val="16"/>
              </w:rPr>
              <w:t xml:space="preserve">Année </w:t>
            </w:r>
            <w:r>
              <w:rPr>
                <w:b/>
                <w:noProof/>
                <w:sz w:val="16"/>
              </w:rPr>
              <w:t>N+3</w:t>
            </w:r>
          </w:p>
        </w:tc>
        <w:tc>
          <w:tcPr>
            <w:tcW w:w="600" w:type="dxa"/>
            <w:gridSpan w:val="3"/>
            <w:shd w:val="clear" w:color="auto" w:fill="auto"/>
            <w:vAlign w:val="center"/>
          </w:tcPr>
          <w:p>
            <w:pPr>
              <w:jc w:val="center"/>
              <w:rPr>
                <w:b/>
                <w:noProof/>
                <w:sz w:val="16"/>
                <w:szCs w:val="16"/>
              </w:rPr>
            </w:pPr>
            <w:r>
              <w:rPr>
                <w:noProof/>
                <w:sz w:val="16"/>
              </w:rPr>
              <w:t>Insérer autant d'années que nécessaire, pour refléter la durée de l'incidence (cf. point 1.6)</w:t>
            </w:r>
          </w:p>
        </w:tc>
      </w:tr>
      <w:tr>
        <w:trPr>
          <w:gridBefore w:val="1"/>
          <w:wBefore w:w="13" w:type="dxa"/>
          <w:trHeight w:val="289"/>
          <w:jc w:val="center"/>
        </w:trPr>
        <w:tc>
          <w:tcPr>
            <w:tcW w:w="600" w:type="dxa"/>
            <w:gridSpan w:val="9"/>
            <w:shd w:val="clear" w:color="auto" w:fill="auto"/>
          </w:tcPr>
          <w:p>
            <w:pPr>
              <w:jc w:val="left"/>
              <w:rPr>
                <w:noProof/>
                <w:sz w:val="16"/>
                <w:szCs w:val="16"/>
              </w:rPr>
            </w:pPr>
            <w:r>
              <w:rPr>
                <w:b/>
                <w:noProof/>
                <w:sz w:val="16"/>
              </w:rPr>
              <w:sym w:font="Wingdings" w:char="F09F"/>
            </w:r>
            <w:r>
              <w:rPr>
                <w:b/>
                <w:noProof/>
                <w:sz w:val="16"/>
              </w:rPr>
              <w:t xml:space="preserve"> Emplois du tableau des effectifs (fonctionnaires et agents temporaires)</w:t>
            </w: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(au siège et dans les bureaux de représentation de la Commission)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(en délégation)</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trHeight w:val="248"/>
          <w:jc w:val="center"/>
        </w:trPr>
        <w:tc>
          <w:tcPr>
            <w:tcW w:w="600" w:type="dxa"/>
            <w:gridSpan w:val="10"/>
            <w:shd w:val="clear" w:color="auto" w:fill="auto"/>
            <w:vAlign w:val="center"/>
          </w:tcPr>
          <w:p>
            <w:pPr>
              <w:pStyle w:val="Text1"/>
              <w:spacing w:before="60" w:after="60"/>
              <w:ind w:left="0"/>
              <w:jc w:val="left"/>
              <w:rPr>
                <w:b/>
                <w:noProof/>
                <w:sz w:val="16"/>
                <w:szCs w:val="16"/>
              </w:rPr>
            </w:pPr>
            <w:r>
              <w:rPr>
                <w:b/>
                <w:noProof/>
                <w:sz w:val="16"/>
              </w:rPr>
              <w:sym w:font="Wingdings" w:char="F09F"/>
            </w:r>
            <w:r>
              <w:rPr>
                <w:b/>
                <w:noProof/>
                <w:sz w:val="16"/>
              </w:rPr>
              <w:t xml:space="preserve"> Personnel externe (en équivalents temps plein: ETP)</w:t>
            </w:r>
            <w:r>
              <w:rPr>
                <w:rStyle w:val="FootnoteReference"/>
                <w:b/>
                <w:noProof/>
                <w:sz w:val="16"/>
              </w:rPr>
              <w:footnoteReference w:id="19"/>
            </w:r>
          </w:p>
          <w:p>
            <w:pPr>
              <w:pStyle w:val="Text1"/>
              <w:spacing w:before="0" w:after="0"/>
              <w:ind w:left="0"/>
              <w:jc w:val="left"/>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(AC, END, INT de l'enveloppe globale)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(AC, AL, END, INT et JPD dans les délégations)</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b/>
                <w:i/>
                <w:noProof/>
                <w:sz w:val="16"/>
              </w:rPr>
              <w:footnoteReference w:id="20"/>
            </w:r>
          </w:p>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au siège</w:t>
            </w:r>
          </w:p>
          <w:p>
            <w:pPr>
              <w:pStyle w:val="Text1"/>
              <w:spacing w:beforeLines="20" w:before="48" w:afterLines="20" w:after="48"/>
              <w:ind w:left="136"/>
              <w:jc w:val="left"/>
              <w:rPr>
                <w:b/>
                <w:noProof/>
                <w:sz w:val="16"/>
                <w:szCs w:val="16"/>
              </w:rPr>
            </w:pP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1952" w:type="dxa"/>
            <w:vMerge/>
            <w:shd w:val="clear" w:color="auto" w:fill="auto"/>
            <w:vAlign w:val="center"/>
          </w:tcPr>
          <w:p>
            <w:pPr>
              <w:pStyle w:val="Text1"/>
              <w:spacing w:beforeLines="20" w:before="48" w:afterLines="20" w:after="48"/>
              <w:ind w:left="136"/>
              <w:jc w:val="left"/>
              <w:rPr>
                <w:b/>
                <w:noProof/>
                <w:sz w:val="16"/>
                <w:szCs w:val="16"/>
              </w:rPr>
            </w:pPr>
          </w:p>
        </w:tc>
        <w:tc>
          <w:tcPr>
            <w:tcW w:w="1954"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en délégation </w:t>
            </w:r>
          </w:p>
        </w:tc>
        <w:tc>
          <w:tcPr>
            <w:tcW w:w="600" w:type="dxa"/>
            <w:shd w:val="clear" w:color="auto" w:fill="auto"/>
            <w:vAlign w:val="center"/>
          </w:tcPr>
          <w:p>
            <w:pPr>
              <w:pStyle w:val="Text1"/>
              <w:spacing w:beforeLines="20" w:before="48" w:afterLines="20" w:after="48"/>
              <w:ind w:left="0"/>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 xml:space="preserve"> 01 05 02/12/22 (AC, END, INT sur recherche indirecte)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(AC, END, INT sur recherche directe)</w:t>
            </w: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c>
          <w:tcPr>
            <w:tcW w:w="600" w:type="dxa"/>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Autres lignes budgétaires (à préciser)</w:t>
            </w: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600"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Before w:val="1"/>
          <w:wBefore w:w="13" w:type="dxa"/>
          <w:trHeight w:val="289"/>
          <w:jc w:val="center"/>
        </w:trPr>
        <w:tc>
          <w:tcPr>
            <w:tcW w:w="3906"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TOTAL</w:t>
            </w: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c>
          <w:tcPr>
            <w:tcW w:w="600" w:type="dxa"/>
            <w:tcBorders>
              <w:top w:val="double" w:sz="4" w:space="0" w:color="auto"/>
            </w:tcBorders>
            <w:shd w:val="clear" w:color="auto" w:fill="auto"/>
            <w:vAlign w:val="center"/>
          </w:tcPr>
          <w:p>
            <w:pPr>
              <w:spacing w:beforeLines="20" w:before="48" w:afterLines="20" w:after="48"/>
              <w:jc w:val="center"/>
              <w:rPr>
                <w:b/>
                <w:noProof/>
                <w:sz w:val="16"/>
                <w:szCs w:val="16"/>
              </w:rPr>
            </w:pPr>
          </w:p>
        </w:tc>
      </w:tr>
    </w:tbl>
    <w:p>
      <w:pPr>
        <w:pStyle w:val="Text1"/>
        <w:spacing w:before="60" w:after="60"/>
        <w:ind w:left="851"/>
        <w:rPr>
          <w:noProof/>
          <w:sz w:val="18"/>
          <w:szCs w:val="18"/>
        </w:rPr>
      </w:pPr>
      <w:r>
        <w:rPr>
          <w:b/>
          <w:noProof/>
          <w:sz w:val="18"/>
        </w:rPr>
        <w:t>XX</w:t>
      </w:r>
      <w:r>
        <w:rPr>
          <w:noProof/>
          <w:sz w:val="18"/>
        </w:rPr>
        <w:t xml:space="preserve"> est le domaine politique ou le titre concerné.</w:t>
      </w:r>
    </w:p>
    <w:p>
      <w:pPr>
        <w:pStyle w:val="Text1"/>
        <w:rPr>
          <w:noProof/>
          <w:sz w:val="18"/>
          <w:szCs w:val="18"/>
        </w:rPr>
      </w:pPr>
      <w:r>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Fonctionnaires et agents temporaires</w:t>
            </w:r>
          </w:p>
        </w:tc>
        <w:tc>
          <w:tcPr>
            <w:tcW w:w="7200" w:type="dxa"/>
          </w:tcPr>
          <w:p>
            <w:pPr>
              <w:rPr>
                <w:noProof/>
                <w:sz w:val="20"/>
              </w:rPr>
            </w:pPr>
            <w:r>
              <w:rPr>
                <w:noProof/>
              </w:rPr>
              <w:t>Mise en œuvre du protocole (paiements, accès aux eaux de Guinée Bissau par les navires de l’Union, traitement des autorisations de pêche), préparation et suivi des commissions mixtes, préparation du renouvellement du protocole, évaluation externe, procédures législatives, négociations.</w:t>
            </w:r>
          </w:p>
        </w:tc>
      </w:tr>
      <w:tr>
        <w:tc>
          <w:tcPr>
            <w:tcW w:w="3240" w:type="dxa"/>
          </w:tcPr>
          <w:p>
            <w:pPr>
              <w:spacing w:before="60" w:after="60"/>
              <w:rPr>
                <w:noProof/>
                <w:sz w:val="20"/>
              </w:rPr>
            </w:pPr>
            <w:r>
              <w:rPr>
                <w:noProof/>
                <w:sz w:val="20"/>
              </w:rPr>
              <w:t>Personnel externe</w:t>
            </w:r>
          </w:p>
        </w:tc>
        <w:tc>
          <w:tcPr>
            <w:tcW w:w="7200" w:type="dxa"/>
          </w:tcPr>
          <w:p>
            <w:pPr>
              <w:rPr>
                <w:noProof/>
                <w:sz w:val="20"/>
              </w:rPr>
            </w:pPr>
            <w:r>
              <w:rPr>
                <w:noProof/>
              </w:rPr>
              <w:t xml:space="preserve">Mise en œuvre du protocole: contacts avec les autorités de </w:t>
            </w:r>
            <w:r>
              <w:rPr>
                <w:noProof/>
                <w:lang w:val="fr-BE"/>
              </w:rPr>
              <w:t>Guinée Bissau</w:t>
            </w:r>
            <w:r>
              <w:rPr>
                <w:noProof/>
              </w:rPr>
              <w:t xml:space="preserve"> concernant l’accès aux eaux de </w:t>
            </w:r>
            <w:r>
              <w:rPr>
                <w:noProof/>
                <w:lang w:val="fr-BE"/>
              </w:rPr>
              <w:t>Guinée Bissau</w:t>
            </w:r>
            <w:r>
              <w:rPr>
                <w:noProof/>
              </w:rPr>
              <w:t xml:space="preserve"> par les navires de l’Union, traitement des autorisations de pêche, préparation et suivi des commissions mixtes, notamment mise en œuvre de l’appui sectoriel.</w:t>
            </w:r>
          </w:p>
        </w:tc>
      </w:tr>
    </w:tbl>
    <w:p>
      <w:pPr>
        <w:rPr>
          <w:noProof/>
        </w:rPr>
        <w:sectPr>
          <w:pgSz w:w="11907" w:h="16840"/>
          <w:pgMar w:top="1134" w:right="1418" w:bottom="1134" w:left="1418" w:header="709" w:footer="709" w:gutter="0"/>
          <w:cols w:space="708"/>
          <w:docGrid w:linePitch="360"/>
        </w:sectPr>
      </w:pPr>
    </w:p>
    <w:p>
      <w:pPr>
        <w:pStyle w:val="ManualHeading3"/>
        <w:rPr>
          <w:noProof/>
        </w:rPr>
      </w:pPr>
      <w:bookmarkStart w:id="61" w:name="_Toc514938056"/>
      <w:bookmarkStart w:id="62" w:name="_Toc520485055"/>
      <w:r>
        <w:t>3.2.4.</w:t>
      </w:r>
      <w:r>
        <w:tab/>
      </w:r>
      <w:r>
        <w:rPr>
          <w:noProof/>
        </w:rPr>
        <w:t>Compatibilité avec le cadre financier pluriannuel actuel</w:t>
      </w:r>
      <w:bookmarkEnd w:id="61"/>
      <w:bookmarkEnd w:id="62"/>
      <w:r>
        <w:rPr>
          <w:noProof/>
        </w:rPr>
        <w:t xml:space="preserve"> </w:t>
      </w:r>
    </w:p>
    <w:p>
      <w:pPr>
        <w:pStyle w:val="Text1"/>
        <w:rPr>
          <w:noProof/>
        </w:rPr>
      </w:pPr>
      <w:r>
        <w:rPr>
          <w:noProof/>
        </w:rPr>
        <w:t>La proposition/l’initiative:</w:t>
      </w:r>
    </w:p>
    <w:p>
      <w:pPr>
        <w:pStyle w:val="ListDash1"/>
        <w:rPr>
          <w:noProof/>
        </w:rPr>
      </w:pPr>
      <w:r>
        <w:rPr>
          <w:noProof/>
        </w:rPr>
        <w:t>X</w:t>
      </w:r>
      <w:r>
        <w:rPr>
          <w:noProof/>
        </w:rPr>
        <w:tab/>
        <w:t>peut être intégralement financée par voie de redéploiement au sein de la rubrique concernée du cadre financier pluriannuel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Cela concerne l’utilisation de la ligne de resérve ( Chapitre 40).</w:t>
      </w:r>
    </w:p>
    <w:p>
      <w:pPr>
        <w:pStyle w:val="ListDash1"/>
        <w:rPr>
          <w:noProof/>
        </w:rPr>
      </w:pPr>
      <w:r>
        <w:rPr>
          <w:noProof/>
        </w:rPr>
        <w:sym w:font="Wingdings" w:char="F0A8"/>
      </w:r>
      <w:r>
        <w:rPr>
          <w:noProof/>
        </w:rPr>
        <w:tab/>
        <w:t>nécessite l’utilisation de la marge non allouée sous la rubrique correspondante du CFP et/ou le recours aux instruments spéciaux comme le prévoit le règlement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les montants correspondants et les instruments dont le recours est proposé.</w:t>
      </w:r>
    </w:p>
    <w:p>
      <w:pPr>
        <w:pStyle w:val="ListDash1"/>
        <w:rPr>
          <w:noProof/>
        </w:rPr>
      </w:pPr>
      <w:r>
        <w:rPr>
          <w:noProof/>
        </w:rPr>
        <w:sym w:font="Wingdings" w:char="F0A8"/>
      </w:r>
      <w:r>
        <w:rPr>
          <w:noProof/>
        </w:rPr>
        <w:tab/>
        <w:t>nécessite une révision du CFP.</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Expliquez le besoin, en précisant les rubriques et lignes budgétaires concernées et les montants correspondants.</w:t>
      </w:r>
    </w:p>
    <w:p>
      <w:pPr>
        <w:pStyle w:val="ManualHeading3"/>
        <w:rPr>
          <w:bCs/>
          <w:noProof/>
          <w:szCs w:val="24"/>
        </w:rPr>
      </w:pPr>
      <w:bookmarkStart w:id="63" w:name="_Toc514938058"/>
      <w:bookmarkStart w:id="64" w:name="_Toc520485056"/>
      <w:r>
        <w:t>3.2.5.</w:t>
      </w:r>
      <w:r>
        <w:tab/>
      </w:r>
      <w:r>
        <w:rPr>
          <w:noProof/>
        </w:rPr>
        <w:t>Participation de tiers au financement</w:t>
      </w:r>
      <w:bookmarkEnd w:id="63"/>
      <w:bookmarkEnd w:id="64"/>
      <w:r>
        <w:rPr>
          <w:noProof/>
        </w:rPr>
        <w:t xml:space="preserve"> </w:t>
      </w:r>
    </w:p>
    <w:p>
      <w:pPr>
        <w:pStyle w:val="Text1"/>
        <w:rPr>
          <w:noProof/>
        </w:rPr>
      </w:pPr>
      <w:r>
        <w:rPr>
          <w:noProof/>
        </w:rPr>
        <w:t>La proposition/l’initiative:</w:t>
      </w:r>
    </w:p>
    <w:p>
      <w:pPr>
        <w:pStyle w:val="ListDash1"/>
        <w:rPr>
          <w:noProof/>
        </w:rPr>
      </w:pPr>
      <w:r>
        <w:rPr>
          <w:noProof/>
        </w:rPr>
        <w:t>X</w:t>
      </w:r>
      <w:r>
        <w:rPr>
          <w:noProof/>
        </w:rPr>
        <w:tab/>
        <w:t>ne prévoit pas de cofinancement par des tierces parties</w:t>
      </w:r>
    </w:p>
    <w:p>
      <w:pPr>
        <w:pStyle w:val="ListDash1"/>
        <w:rPr>
          <w:noProof/>
        </w:rPr>
      </w:pPr>
      <w:r>
        <w:rPr>
          <w:noProof/>
        </w:rPr>
        <w:sym w:font="Wingdings" w:char="F0A8"/>
      </w:r>
      <w:r>
        <w:rPr>
          <w:noProof/>
        </w:rPr>
        <w:tab/>
        <w:t>prévoit le cofinancement par des tierces parties estimé ci</w:t>
      </w:r>
      <w:r>
        <w:rPr>
          <w:noProof/>
        </w:rPr>
        <w:noBreakHyphen/>
        <w:t>après:</w:t>
      </w:r>
    </w:p>
    <w:p>
      <w:pPr>
        <w:jc w:val="right"/>
        <w:rPr>
          <w:noProof/>
          <w:sz w:val="20"/>
        </w:rPr>
      </w:pPr>
      <w:r>
        <w:rPr>
          <w:noProof/>
          <w:sz w:val="20"/>
        </w:rPr>
        <w:t>Crédits en Mio EUR (à la 3</w:t>
      </w:r>
      <w:r>
        <w:rPr>
          <w:noProof/>
          <w:sz w:val="20"/>
          <w:vertAlign w:val="superscript"/>
        </w:rPr>
        <w:t>e</w:t>
      </w:r>
      <w:r>
        <w:rPr>
          <w:noProof/>
          <w:sz w:val="20"/>
        </w:rPr>
        <w:t xml:space="preserv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Année</w:t>
            </w:r>
            <w:r>
              <w:rPr>
                <w:noProof/>
                <w:sz w:val="22"/>
              </w:rPr>
              <w:br/>
            </w:r>
            <w:r>
              <w:rPr>
                <w:b/>
                <w:noProof/>
                <w:sz w:val="20"/>
              </w:rPr>
              <w:t>N</w:t>
            </w:r>
            <w:r>
              <w:rPr>
                <w:rStyle w:val="FootnoteReference"/>
                <w:b/>
                <w:noProof/>
                <w:sz w:val="20"/>
              </w:rPr>
              <w:footnoteReference w:id="21"/>
            </w:r>
          </w:p>
        </w:tc>
        <w:tc>
          <w:tcPr>
            <w:tcW w:w="964" w:type="dxa"/>
            <w:vAlign w:val="center"/>
          </w:tcPr>
          <w:p>
            <w:pPr>
              <w:jc w:val="center"/>
              <w:rPr>
                <w:noProof/>
                <w:sz w:val="20"/>
              </w:rPr>
            </w:pPr>
            <w:r>
              <w:rPr>
                <w:noProof/>
                <w:sz w:val="20"/>
              </w:rPr>
              <w:t>Année</w:t>
            </w:r>
            <w:r>
              <w:rPr>
                <w:noProof/>
                <w:sz w:val="22"/>
              </w:rPr>
              <w:br/>
            </w:r>
            <w:r>
              <w:rPr>
                <w:b/>
                <w:noProof/>
                <w:sz w:val="20"/>
              </w:rPr>
              <w:t>N+1</w:t>
            </w:r>
          </w:p>
        </w:tc>
        <w:tc>
          <w:tcPr>
            <w:tcW w:w="964" w:type="dxa"/>
            <w:vAlign w:val="center"/>
          </w:tcPr>
          <w:p>
            <w:pPr>
              <w:jc w:val="center"/>
              <w:rPr>
                <w:noProof/>
                <w:sz w:val="20"/>
              </w:rPr>
            </w:pPr>
            <w:r>
              <w:rPr>
                <w:noProof/>
                <w:sz w:val="20"/>
              </w:rPr>
              <w:t>Année</w:t>
            </w:r>
            <w:r>
              <w:rPr>
                <w:noProof/>
                <w:sz w:val="22"/>
              </w:rPr>
              <w:br/>
            </w:r>
            <w:r>
              <w:rPr>
                <w:b/>
                <w:noProof/>
                <w:sz w:val="20"/>
              </w:rPr>
              <w:t>N+2</w:t>
            </w:r>
          </w:p>
        </w:tc>
        <w:tc>
          <w:tcPr>
            <w:tcW w:w="964" w:type="dxa"/>
            <w:vAlign w:val="center"/>
          </w:tcPr>
          <w:p>
            <w:pPr>
              <w:jc w:val="center"/>
              <w:rPr>
                <w:noProof/>
                <w:sz w:val="20"/>
              </w:rPr>
            </w:pPr>
            <w:r>
              <w:rPr>
                <w:noProof/>
                <w:sz w:val="20"/>
              </w:rPr>
              <w:t>Année</w:t>
            </w:r>
            <w:r>
              <w:rPr>
                <w:noProof/>
                <w:sz w:val="22"/>
              </w:rPr>
              <w:br/>
            </w:r>
            <w:r>
              <w:rPr>
                <w:b/>
                <w:noProof/>
                <w:sz w:val="20"/>
              </w:rPr>
              <w:t>N+3</w:t>
            </w:r>
          </w:p>
        </w:tc>
        <w:tc>
          <w:tcPr>
            <w:tcW w:w="2892" w:type="dxa"/>
            <w:gridSpan w:val="3"/>
            <w:vAlign w:val="center"/>
          </w:tcPr>
          <w:p>
            <w:pPr>
              <w:jc w:val="center"/>
              <w:rPr>
                <w:b/>
                <w:noProof/>
                <w:sz w:val="20"/>
              </w:rPr>
            </w:pPr>
            <w:r>
              <w:rPr>
                <w:noProof/>
                <w:sz w:val="20"/>
              </w:rPr>
              <w:t>Insérer autant d'années que nécessaire, pour refléter la durée de l'incidence (cf. point 1.6)</w:t>
            </w:r>
          </w:p>
        </w:tc>
        <w:tc>
          <w:tcPr>
            <w:tcW w:w="1158" w:type="dxa"/>
            <w:vAlign w:val="center"/>
          </w:tcPr>
          <w:p>
            <w:pPr>
              <w:spacing w:before="60" w:after="60"/>
              <w:jc w:val="center"/>
              <w:rPr>
                <w:noProof/>
                <w:sz w:val="20"/>
              </w:rPr>
            </w:pPr>
            <w:r>
              <w:rPr>
                <w:noProof/>
                <w:sz w:val="20"/>
              </w:rPr>
              <w:t>Total</w:t>
            </w:r>
          </w:p>
        </w:tc>
      </w:tr>
      <w:tr>
        <w:trPr>
          <w:cantSplit/>
        </w:trPr>
        <w:tc>
          <w:tcPr>
            <w:tcW w:w="2340" w:type="dxa"/>
          </w:tcPr>
          <w:p>
            <w:pPr>
              <w:rPr>
                <w:noProof/>
              </w:rPr>
            </w:pPr>
            <w:r>
              <w:rPr>
                <w:noProof/>
                <w:sz w:val="20"/>
              </w:rPr>
              <w:t>Préciser l'organisme de cofinancement</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TOTAL crédits cofinancés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rPr>
          <w:noProof/>
        </w:rPr>
        <w:br w:type="page"/>
      </w:r>
      <w:bookmarkStart w:id="65" w:name="_Toc514938059"/>
      <w:bookmarkStart w:id="66" w:name="_Toc520485057"/>
      <w:r>
        <w:t>3.3.</w:t>
      </w:r>
      <w:r>
        <w:tab/>
      </w:r>
      <w:r>
        <w:rPr>
          <w:noProof/>
        </w:rPr>
        <w:t>Incidence estimée sur les recettes</w:t>
      </w:r>
      <w:bookmarkEnd w:id="65"/>
      <w:bookmarkEnd w:id="66"/>
      <w:r>
        <w:rPr>
          <w:noProof/>
        </w:rPr>
        <w:t xml:space="preserve"> </w:t>
      </w:r>
    </w:p>
    <w:p>
      <w:pPr>
        <w:pStyle w:val="ListDash1"/>
        <w:rPr>
          <w:noProof/>
        </w:rPr>
      </w:pPr>
      <w:r>
        <w:rPr>
          <w:noProof/>
        </w:rPr>
        <w:t>X</w:t>
      </w:r>
      <w:r>
        <w:rPr>
          <w:noProof/>
        </w:rPr>
        <w:tab/>
        <w:t>La proposition/l’initiative est sans incidence financière sur les recettes.</w:t>
      </w:r>
    </w:p>
    <w:p>
      <w:pPr>
        <w:pStyle w:val="ListDash1"/>
        <w:rPr>
          <w:noProof/>
        </w:rPr>
      </w:pPr>
      <w:r>
        <w:rPr>
          <w:noProof/>
        </w:rPr>
        <w:sym w:font="Wingdings" w:char="F0A8"/>
      </w:r>
      <w:r>
        <w:rPr>
          <w:noProof/>
        </w:rPr>
        <w:tab/>
        <w:t>La proposition/l’initiative a une incidence financière décrite ci</w:t>
      </w:r>
      <w:r>
        <w:rPr>
          <w:noProof/>
        </w:rPr>
        <w:noBreakHyphen/>
        <w:t>après:</w:t>
      </w:r>
    </w:p>
    <w:p>
      <w:pPr>
        <w:pStyle w:val="ListNumberLevel3"/>
        <w:rPr>
          <w:noProof/>
        </w:rPr>
      </w:pPr>
      <w:r>
        <w:rPr>
          <w:noProof/>
        </w:rPr>
        <w:sym w:font="Wingdings" w:char="F0A8"/>
      </w:r>
      <w:r>
        <w:rPr>
          <w:noProof/>
        </w:rPr>
        <w:tab/>
        <w:t xml:space="preserve">sur les ressources propres </w:t>
      </w:r>
    </w:p>
    <w:p>
      <w:pPr>
        <w:pStyle w:val="ListNumberLevel3"/>
        <w:rPr>
          <w:noProof/>
        </w:rPr>
      </w:pPr>
      <w:r>
        <w:rPr>
          <w:noProof/>
        </w:rPr>
        <w:sym w:font="Wingdings" w:char="F0A8"/>
      </w:r>
      <w:r>
        <w:rPr>
          <w:noProof/>
        </w:rPr>
        <w:tab/>
        <w:t>sur les autres recettes</w:t>
      </w:r>
    </w:p>
    <w:p>
      <w:pPr>
        <w:pStyle w:val="ListNumberLevel3"/>
        <w:rPr>
          <w:noProof/>
        </w:rPr>
      </w:pPr>
      <w:r>
        <w:rPr>
          <w:noProof/>
        </w:rPr>
        <w:t>veuillez indiquer si les recettes sont affectées à des lignes de dépenses </w:t>
      </w:r>
      <w:r>
        <w:rPr>
          <w:noProof/>
        </w:rPr>
        <w:sym w:font="Wingdings" w:char="F0A8"/>
      </w:r>
      <w:r>
        <w:rPr>
          <w:noProof/>
        </w:rPr>
        <w:tab/>
      </w:r>
    </w:p>
    <w:p>
      <w:pPr>
        <w:ind w:left="4320"/>
        <w:rPr>
          <w:i/>
          <w:noProof/>
          <w:sz w:val="20"/>
        </w:rPr>
      </w:pPr>
      <w:r>
        <w:rPr>
          <w:noProof/>
        </w:rPr>
        <w:t xml:space="preserve">     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325"/>
        <w:gridCol w:w="1031"/>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Ligne budgétaire de recettes:</w:t>
            </w:r>
          </w:p>
        </w:tc>
        <w:tc>
          <w:tcPr>
            <w:tcW w:w="1325" w:type="dxa"/>
            <w:vMerge w:val="restart"/>
            <w:vAlign w:val="center"/>
          </w:tcPr>
          <w:p>
            <w:pPr>
              <w:jc w:val="center"/>
              <w:rPr>
                <w:noProof/>
                <w:sz w:val="18"/>
              </w:rPr>
            </w:pPr>
            <w:r>
              <w:rPr>
                <w:noProof/>
                <w:sz w:val="18"/>
              </w:rPr>
              <w:t>Montants inscrits pour l'exercice en cours</w:t>
            </w:r>
          </w:p>
        </w:tc>
        <w:tc>
          <w:tcPr>
            <w:tcW w:w="7151" w:type="dxa"/>
            <w:gridSpan w:val="7"/>
            <w:vAlign w:val="center"/>
          </w:tcPr>
          <w:p>
            <w:pPr>
              <w:jc w:val="center"/>
              <w:rPr>
                <w:noProof/>
                <w:sz w:val="18"/>
              </w:rPr>
            </w:pPr>
            <w:r>
              <w:rPr>
                <w:noProof/>
                <w:sz w:val="18"/>
              </w:rPr>
              <w:t>Incidence de la proposition/de l’initiative</w:t>
            </w:r>
            <w:r>
              <w:rPr>
                <w:rStyle w:val="FootnoteReference"/>
                <w:noProof/>
                <w:sz w:val="18"/>
              </w:rPr>
              <w:footnoteReference w:id="22"/>
            </w:r>
          </w:p>
        </w:tc>
      </w:tr>
      <w:tr>
        <w:trPr>
          <w:trHeight w:val="388"/>
        </w:trPr>
        <w:tc>
          <w:tcPr>
            <w:tcW w:w="2144" w:type="dxa"/>
            <w:vMerge/>
          </w:tcPr>
          <w:p>
            <w:pPr>
              <w:spacing w:before="40" w:after="40"/>
              <w:rPr>
                <w:noProof/>
                <w:sz w:val="18"/>
              </w:rPr>
            </w:pPr>
          </w:p>
        </w:tc>
        <w:tc>
          <w:tcPr>
            <w:tcW w:w="1325" w:type="dxa"/>
            <w:vMerge/>
          </w:tcPr>
          <w:p>
            <w:pPr>
              <w:spacing w:beforeLines="40" w:before="96" w:afterLines="40" w:after="96"/>
              <w:rPr>
                <w:i/>
                <w:noProof/>
                <w:sz w:val="18"/>
              </w:rPr>
            </w:pPr>
          </w:p>
        </w:tc>
        <w:tc>
          <w:tcPr>
            <w:tcW w:w="1031" w:type="dxa"/>
            <w:vAlign w:val="center"/>
          </w:tcPr>
          <w:p>
            <w:pPr>
              <w:jc w:val="center"/>
              <w:rPr>
                <w:noProof/>
                <w:sz w:val="18"/>
              </w:rPr>
            </w:pPr>
            <w:r>
              <w:rPr>
                <w:noProof/>
                <w:sz w:val="18"/>
              </w:rPr>
              <w:t>Année</w:t>
            </w:r>
            <w:r>
              <w:rPr>
                <w:noProof/>
                <w:sz w:val="22"/>
              </w:rPr>
              <w:br/>
            </w:r>
            <w:r>
              <w:rPr>
                <w:b/>
                <w:noProof/>
                <w:sz w:val="18"/>
              </w:rPr>
              <w:t>N</w:t>
            </w:r>
          </w:p>
        </w:tc>
        <w:tc>
          <w:tcPr>
            <w:tcW w:w="900" w:type="dxa"/>
            <w:vAlign w:val="center"/>
          </w:tcPr>
          <w:p>
            <w:pPr>
              <w:jc w:val="center"/>
              <w:rPr>
                <w:noProof/>
                <w:sz w:val="18"/>
              </w:rPr>
            </w:pPr>
            <w:r>
              <w:rPr>
                <w:noProof/>
                <w:sz w:val="18"/>
              </w:rPr>
              <w:t>Année</w:t>
            </w:r>
            <w:r>
              <w:rPr>
                <w:noProof/>
                <w:sz w:val="22"/>
              </w:rPr>
              <w:br/>
            </w:r>
            <w:r>
              <w:rPr>
                <w:b/>
                <w:noProof/>
                <w:sz w:val="18"/>
              </w:rPr>
              <w:t>N+1</w:t>
            </w:r>
          </w:p>
        </w:tc>
        <w:tc>
          <w:tcPr>
            <w:tcW w:w="900" w:type="dxa"/>
            <w:vAlign w:val="center"/>
          </w:tcPr>
          <w:p>
            <w:pPr>
              <w:jc w:val="center"/>
              <w:rPr>
                <w:noProof/>
                <w:sz w:val="18"/>
              </w:rPr>
            </w:pPr>
            <w:r>
              <w:rPr>
                <w:noProof/>
                <w:sz w:val="18"/>
              </w:rPr>
              <w:t>Année</w:t>
            </w:r>
            <w:r>
              <w:rPr>
                <w:noProof/>
                <w:sz w:val="22"/>
              </w:rPr>
              <w:br/>
            </w:r>
            <w:r>
              <w:rPr>
                <w:b/>
                <w:noProof/>
                <w:sz w:val="18"/>
              </w:rPr>
              <w:t>N+2</w:t>
            </w:r>
          </w:p>
        </w:tc>
        <w:tc>
          <w:tcPr>
            <w:tcW w:w="1080" w:type="dxa"/>
            <w:vAlign w:val="center"/>
          </w:tcPr>
          <w:p>
            <w:pPr>
              <w:jc w:val="center"/>
              <w:rPr>
                <w:noProof/>
                <w:sz w:val="18"/>
              </w:rPr>
            </w:pPr>
            <w:r>
              <w:rPr>
                <w:noProof/>
                <w:sz w:val="18"/>
              </w:rPr>
              <w:t>Année</w:t>
            </w:r>
            <w:r>
              <w:rPr>
                <w:noProof/>
                <w:sz w:val="22"/>
              </w:rPr>
              <w:br/>
            </w:r>
            <w:r>
              <w:rPr>
                <w:b/>
                <w:noProof/>
                <w:sz w:val="18"/>
              </w:rPr>
              <w:t>N+3</w:t>
            </w:r>
          </w:p>
        </w:tc>
        <w:tc>
          <w:tcPr>
            <w:tcW w:w="3240" w:type="dxa"/>
            <w:gridSpan w:val="3"/>
            <w:vAlign w:val="center"/>
          </w:tcPr>
          <w:p>
            <w:pPr>
              <w:jc w:val="center"/>
              <w:rPr>
                <w:b/>
                <w:noProof/>
                <w:sz w:val="18"/>
              </w:rPr>
            </w:pPr>
            <w:r>
              <w:rPr>
                <w:noProof/>
                <w:sz w:val="18"/>
              </w:rPr>
              <w:t>Insérer autant d'années que nécessaire, pour refléter la durée de l'incidence (cf. point 1.6)</w:t>
            </w:r>
          </w:p>
        </w:tc>
      </w:tr>
      <w:tr>
        <w:trPr>
          <w:trHeight w:val="388"/>
        </w:trPr>
        <w:tc>
          <w:tcPr>
            <w:tcW w:w="2144" w:type="dxa"/>
            <w:vAlign w:val="center"/>
          </w:tcPr>
          <w:p>
            <w:pPr>
              <w:spacing w:before="40" w:after="40"/>
              <w:rPr>
                <w:noProof/>
                <w:sz w:val="18"/>
              </w:rPr>
            </w:pPr>
            <w:r>
              <w:rPr>
                <w:noProof/>
                <w:sz w:val="18"/>
              </w:rPr>
              <w:t>Article ………….</w:t>
            </w:r>
          </w:p>
        </w:tc>
        <w:tc>
          <w:tcPr>
            <w:tcW w:w="1325" w:type="dxa"/>
          </w:tcPr>
          <w:p>
            <w:pPr>
              <w:spacing w:beforeLines="40" w:before="96" w:afterLines="40" w:after="96"/>
              <w:jc w:val="center"/>
              <w:rPr>
                <w:i/>
                <w:noProof/>
                <w:sz w:val="18"/>
              </w:rPr>
            </w:pPr>
          </w:p>
        </w:tc>
        <w:tc>
          <w:tcPr>
            <w:tcW w:w="1031"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Pour les recettes affectées, préciser la(les) ligne(s) budgétaire(s) de dépenses concernée(s).</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Autres remarques (relatives par exemple à la méthode/formule utilisée pour le calcul de l’incidence sur les recettes ou toute autre information).</w:t>
      </w:r>
    </w:p>
    <w:p>
      <w:pPr>
        <w:pStyle w:val="Text1"/>
        <w:pBdr>
          <w:top w:val="single" w:sz="4" w:space="1" w:color="auto"/>
          <w:left w:val="single" w:sz="4" w:space="4" w:color="auto"/>
          <w:bottom w:val="single" w:sz="4" w:space="1" w:color="auto"/>
          <w:right w:val="single" w:sz="4" w:space="4" w:color="auto"/>
        </w:pBdr>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Adoptées par le Conseil Environnement du 28 février 2017</w:t>
      </w:r>
      <w:r>
        <w:rPr>
          <w:highlight w:val="yellow"/>
          <w:lang w:val="fr-BE"/>
        </w:rPr>
        <w:t>.</w:t>
      </w:r>
    </w:p>
  </w:footnote>
  <w:footnote w:id="2">
    <w:p>
      <w:pPr>
        <w:pStyle w:val="FootnoteText"/>
        <w:rPr>
          <w:lang w:val="nb-NO"/>
        </w:rPr>
      </w:pPr>
      <w:r>
        <w:rPr>
          <w:rStyle w:val="FootnoteReference"/>
        </w:rPr>
        <w:footnoteRef/>
      </w:r>
      <w:r>
        <w:rPr>
          <w:lang w:val="nb-NO"/>
        </w:rPr>
        <w:tab/>
        <w:t>JO L 342 du 27.12.2007, p. 5.</w:t>
      </w:r>
    </w:p>
  </w:footnote>
  <w:footnote w:id="3">
    <w:p>
      <w:pPr>
        <w:pStyle w:val="FootnoteText"/>
        <w:rPr>
          <w:lang w:val="nb-NO"/>
        </w:rPr>
      </w:pPr>
      <w:r>
        <w:rPr>
          <w:rStyle w:val="FootnoteReference"/>
        </w:rPr>
        <w:footnoteRef/>
      </w:r>
      <w:r>
        <w:rPr>
          <w:lang w:val="nb-NO"/>
        </w:rPr>
        <w:tab/>
        <w:t>JO L 354 du 28.12.2013, p. 22.</w:t>
      </w:r>
    </w:p>
  </w:footnote>
  <w:footnote w:id="4">
    <w:p>
      <w:pPr>
        <w:pStyle w:val="FootnoteText"/>
        <w:rPr>
          <w:lang w:val="fr-BE"/>
        </w:rPr>
      </w:pPr>
      <w:r>
        <w:rPr>
          <w:rStyle w:val="FootnoteReference"/>
        </w:rPr>
        <w:footnoteRef/>
      </w:r>
      <w:r>
        <w:rPr>
          <w:lang w:val="fr-BE"/>
        </w:rPr>
        <w:tab/>
        <w:t>SWD (2017) 19 final, 18.01.2017</w:t>
      </w:r>
    </w:p>
  </w:footnote>
  <w:footnote w:id="5">
    <w:p>
      <w:pPr>
        <w:pStyle w:val="FootnoteText"/>
        <w:rPr>
          <w:lang w:val="fr-BE"/>
        </w:rPr>
      </w:pPr>
      <w:r>
        <w:rPr>
          <w:rStyle w:val="FootnoteReference"/>
        </w:rPr>
        <w:footnoteRef/>
      </w:r>
      <w:r>
        <w:rPr>
          <w:lang w:val="fr-BE"/>
        </w:rPr>
        <w:tab/>
        <w:t>En conformité avec l'accord interinstitutionnel sur la coopération en matière budgétaire (2013/C 373/01)</w:t>
      </w:r>
    </w:p>
  </w:footnote>
  <w:footnote w:id="6">
    <w:p>
      <w:pPr>
        <w:pStyle w:val="FootnoteText"/>
        <w:ind w:left="0" w:firstLine="0"/>
        <w:rPr>
          <w:lang w:val="fr-BE"/>
        </w:rPr>
      </w:pPr>
      <w:r>
        <w:rPr>
          <w:rStyle w:val="FootnoteReference"/>
        </w:rPr>
        <w:footnoteRef/>
      </w:r>
      <w:r>
        <w:rPr>
          <w:lang w:val="fr-BE"/>
        </w:rPr>
        <w:tab/>
        <w:t>Règlement (CE) n° 241/2008 du Conseil du 17 mars 2008 relatif à la conclusion de l'accord de partenariat dans le secteur de la pêche entre la Communauté européenne et la République de Guinée-Bissau (JO L 75 du 18.3.2008, p. 49).</w:t>
      </w:r>
    </w:p>
  </w:footnote>
  <w:footnote w:id="7">
    <w:p>
      <w:pPr>
        <w:pStyle w:val="FootnoteText"/>
        <w:rPr>
          <w:lang w:val="fr-BE"/>
        </w:rPr>
      </w:pPr>
      <w:r>
        <w:rPr>
          <w:rStyle w:val="FootnoteReference"/>
        </w:rPr>
        <w:footnoteRef/>
      </w:r>
      <w:r>
        <w:tab/>
        <w:t>J</w:t>
      </w:r>
      <w:r>
        <w:rPr>
          <w:lang w:val="fr-BE"/>
        </w:rPr>
        <w:t>O L 342 du 27.12.2007, p. 5.</w:t>
      </w:r>
    </w:p>
  </w:footnote>
  <w:footnote w:id="8">
    <w:p>
      <w:pPr>
        <w:pStyle w:val="FootnoteText"/>
        <w:rPr>
          <w:szCs w:val="24"/>
        </w:rPr>
      </w:pPr>
      <w:r>
        <w:rPr>
          <w:rStyle w:val="FootnoteReference"/>
        </w:rPr>
        <w:footnoteRef/>
      </w:r>
      <w:r>
        <w:tab/>
        <w:t>Tel(le) que visé(e) à l'article 58, paragraphe 2, point a) ou b), du règlement financier.</w:t>
      </w:r>
    </w:p>
  </w:footnote>
  <w:footnote w:id="9">
    <w:p>
      <w:pPr>
        <w:pStyle w:val="FootnoteText"/>
        <w:jc w:val="left"/>
        <w:rPr>
          <w:szCs w:val="24"/>
        </w:rPr>
      </w:pPr>
      <w:r>
        <w:rPr>
          <w:rStyle w:val="FootnoteReference"/>
        </w:rPr>
        <w:footnoteRef/>
      </w:r>
      <w:r>
        <w:tab/>
        <w:t xml:space="preserve">Les explications sur les modes de gestion ainsi que les références au règlement financier sont disponibles sur le site BudgWeb: </w:t>
      </w:r>
      <w:hyperlink r:id="rId1">
        <w:r>
          <w:rPr>
            <w:rStyle w:val="Hyperlink"/>
          </w:rPr>
          <w:t>https://myintracomm.ec.europa.eu/budgweb/FR/man/budgmanag/Pages/budgmanag.aspx</w:t>
        </w:r>
      </w:hyperlink>
      <w:r>
        <w:t xml:space="preserve"> </w:t>
      </w:r>
    </w:p>
  </w:footnote>
  <w:footnote w:id="10">
    <w:p>
      <w:pPr>
        <w:pStyle w:val="FootnoteText"/>
        <w:rPr>
          <w:szCs w:val="24"/>
        </w:rPr>
      </w:pPr>
      <w:r>
        <w:rPr>
          <w:rStyle w:val="FootnoteReference"/>
        </w:rPr>
        <w:footnoteRef/>
      </w:r>
      <w:r>
        <w:tab/>
        <w:t>CD = crédits dissociés / CND = crédits non dissociés.</w:t>
      </w:r>
    </w:p>
  </w:footnote>
  <w:footnote w:id="11">
    <w:p>
      <w:pPr>
        <w:pStyle w:val="FootnoteText"/>
        <w:rPr>
          <w:szCs w:val="24"/>
        </w:rPr>
      </w:pPr>
      <w:r>
        <w:rPr>
          <w:rStyle w:val="FootnoteReference"/>
        </w:rPr>
        <w:footnoteRef/>
      </w:r>
      <w:r>
        <w:tab/>
        <w:t xml:space="preserve">AELE: Association européenne de libre-échange. </w:t>
      </w:r>
    </w:p>
  </w:footnote>
  <w:footnote w:id="12">
    <w:p>
      <w:pPr>
        <w:pStyle w:val="FootnoteText"/>
        <w:rPr>
          <w:szCs w:val="24"/>
        </w:rPr>
      </w:pPr>
      <w:r>
        <w:rPr>
          <w:rStyle w:val="FootnoteReference"/>
        </w:rPr>
        <w:footnoteRef/>
      </w:r>
      <w:r>
        <w:tab/>
        <w:t>Pays candidats et, le cas échéant, pays candidats potentiels des Balkans occidentaux.</w:t>
      </w:r>
    </w:p>
  </w:footnote>
  <w:footnote w:id="13">
    <w:p>
      <w:pPr>
        <w:pStyle w:val="FootnoteText"/>
        <w:rPr>
          <w:sz w:val="18"/>
          <w:szCs w:val="18"/>
        </w:rPr>
      </w:pPr>
      <w:r>
        <w:rPr>
          <w:rStyle w:val="FootnoteReference"/>
        </w:rPr>
        <w:footnoteRef/>
      </w:r>
      <w:r>
        <w:tab/>
      </w:r>
      <w:r>
        <w:rPr>
          <w:sz w:val="18"/>
        </w:rPr>
        <w:t>Selon la nomenclature budgétaire officielle.</w:t>
      </w:r>
    </w:p>
  </w:footnote>
  <w:footnote w:id="14">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5">
    <w:p>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16">
    <w:p>
      <w:pPr>
        <w:pStyle w:val="FootnoteText"/>
        <w:rPr>
          <w:szCs w:val="24"/>
        </w:rPr>
      </w:pPr>
      <w:r>
        <w:rPr>
          <w:rStyle w:val="FootnoteReference"/>
        </w:rPr>
        <w:footnoteRef/>
      </w:r>
      <w:r>
        <w:tab/>
        <w:t xml:space="preserve">Tel que décrit dans la partie 1.4.2. «Objectif(s) spécifique(s)…». </w:t>
      </w:r>
    </w:p>
  </w:footnote>
  <w:footnote w:id="17">
    <w:p>
      <w:pPr>
        <w:pStyle w:val="FootnoteText"/>
        <w:rPr>
          <w:sz w:val="18"/>
          <w:szCs w:val="18"/>
        </w:rPr>
      </w:pPr>
      <w:r>
        <w:rPr>
          <w:rStyle w:val="FootnoteReference"/>
        </w:rPr>
        <w:footnoteRef/>
      </w:r>
      <w:r>
        <w:tab/>
      </w:r>
      <w:r>
        <w:rPr>
          <w:sz w:val="18"/>
        </w:rPr>
        <w:t>L'année N est l'année du début de la mise en œuvre de la proposition/de l'initiative. Veuillez remplacer «N» par la première année de mise en œuvre prévue (par exemple: 2021). Procédez de la même façon pour les années suivantes.</w:t>
      </w:r>
    </w:p>
  </w:footnote>
  <w:footnote w:id="18">
    <w:p>
      <w:pPr>
        <w:pStyle w:val="FootnoteText"/>
        <w:rPr>
          <w:szCs w:val="24"/>
        </w:rPr>
      </w:pPr>
      <w:r>
        <w:rPr>
          <w:rStyle w:val="FootnoteReference"/>
        </w:rPr>
        <w:footnoteRef/>
      </w:r>
      <w:r>
        <w:tab/>
      </w:r>
      <w:r>
        <w:rPr>
          <w:sz w:val="18"/>
        </w:rPr>
        <w:t>Assistance technique et/ou administrative et dépenses d'appui à la mise en œuvre de programmes et/ou d'actions de l'UE (anciennes lignes «BA»), recherche indirecte, recherche directe.</w:t>
      </w:r>
    </w:p>
  </w:footnote>
  <w:footnote w:id="19">
    <w:p>
      <w:pPr>
        <w:pStyle w:val="FootnoteText"/>
        <w:rPr>
          <w:szCs w:val="24"/>
        </w:rPr>
      </w:pPr>
      <w:r>
        <w:rPr>
          <w:rStyle w:val="FootnoteReference"/>
        </w:rPr>
        <w:footnoteRef/>
      </w:r>
      <w:r>
        <w:tab/>
        <w:t xml:space="preserve">AC = agent contractuel; AL = agent local; END = expert national détaché; INT = intérimaire; JPD = jeune professionnel en délégation. </w:t>
      </w:r>
    </w:p>
  </w:footnote>
  <w:footnote w:id="20">
    <w:p>
      <w:pPr>
        <w:pStyle w:val="FootnoteText"/>
        <w:rPr>
          <w:szCs w:val="24"/>
        </w:rPr>
      </w:pPr>
      <w:r>
        <w:rPr>
          <w:rStyle w:val="FootnoteReference"/>
        </w:rPr>
        <w:footnoteRef/>
      </w:r>
      <w:r>
        <w:tab/>
        <w:t>Sous-plafonds de personnel externe financés sur crédits opérationnels (anciennes lignes «BA»).</w:t>
      </w:r>
    </w:p>
  </w:footnote>
  <w:footnote w:id="21">
    <w:p>
      <w:pPr>
        <w:pStyle w:val="FootnoteText"/>
      </w:pPr>
      <w:r>
        <w:rPr>
          <w:rStyle w:val="FootnoteReference"/>
        </w:rPr>
        <w:footnoteRef/>
      </w:r>
      <w:r>
        <w:tab/>
        <w:t>L'année N est l'année du début de la mise en œuvre de la proposition/de l'initiative. Veuillez remplacer «N» par la première année de mise en œuvre prévue (par exemple: 2021). Procédez de la même façon pour les années suivantes.</w:t>
      </w:r>
    </w:p>
  </w:footnote>
  <w:footnote w:id="22">
    <w:p>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20 %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11"/>
  </w:num>
  <w:num w:numId="21">
    <w:abstractNumId w:val="24"/>
  </w:num>
  <w:num w:numId="22">
    <w:abstractNumId w:val="6"/>
  </w:num>
  <w:num w:numId="23">
    <w:abstractNumId w:val="12"/>
  </w:num>
  <w:num w:numId="24">
    <w:abstractNumId w:val="4"/>
  </w:num>
  <w:num w:numId="25">
    <w:abstractNumId w:val="23"/>
  </w:num>
  <w:num w:numId="26">
    <w:abstractNumId w:val="3"/>
  </w:num>
  <w:num w:numId="27">
    <w:abstractNumId w:val="13"/>
  </w:num>
  <w:num w:numId="28">
    <w:abstractNumId w:val="19"/>
  </w:num>
  <w:num w:numId="29">
    <w:abstractNumId w:val="20"/>
  </w:num>
  <w:num w:numId="30">
    <w:abstractNumId w:val="5"/>
  </w:num>
  <w:num w:numId="31">
    <w:abstractNumId w:val="17"/>
  </w:num>
  <w:num w:numId="32">
    <w:abstractNumId w:val="28"/>
  </w:num>
  <w:num w:numId="33">
    <w:abstractNumId w:val="21"/>
  </w:num>
  <w:num w:numId="34">
    <w:abstractNumId w:val="11"/>
  </w:num>
  <w:num w:numId="35">
    <w:abstractNumId w:val="24"/>
  </w:num>
  <w:num w:numId="36">
    <w:abstractNumId w:val="6"/>
  </w:num>
  <w:num w:numId="37">
    <w:abstractNumId w:val="12"/>
  </w:num>
  <w:num w:numId="38">
    <w:abstractNumId w:val="4"/>
  </w:num>
  <w:num w:numId="39">
    <w:abstractNumId w:val="23"/>
  </w:num>
  <w:num w:numId="40">
    <w:abstractNumId w:val="3"/>
  </w:num>
  <w:num w:numId="41">
    <w:abstractNumId w:val="13"/>
  </w:num>
  <w:num w:numId="42">
    <w:abstractNumId w:val="19"/>
  </w:num>
  <w:num w:numId="43">
    <w:abstractNumId w:val="20"/>
  </w:num>
  <w:num w:numId="44">
    <w:abstractNumId w:val="5"/>
  </w:num>
  <w:num w:numId="45">
    <w:abstractNumId w:val="17"/>
  </w:num>
  <w:num w:numId="4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26 15:17: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209C0D2D-AD9C-499B-9962-C5D8C4454422"/>
    <w:docVar w:name="LW_COVERPAGE_TYPE" w:val="1"/>
    <w:docVar w:name="LW_CROSSREFERENCE" w:val="&lt;UNUSED&gt;"/>
    <w:docVar w:name="LW_DocType" w:val="COM"/>
    <w:docVar w:name="LW_EMISSION" w:val="10.4.2019"/>
    <w:docVar w:name="LW_EMISSION_ISODATE" w:val="2019-04-10"/>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91"/>
    <w:docVar w:name="LW_REF.II.NEW.CP_YEAR" w:val="2019"/>
    <w:docVar w:name="LW_REF.INST.NEW" w:val="COM"/>
    <w:docVar w:name="LW_REF.INST.NEW_ADOPTED" w:val="final"/>
    <w:docVar w:name="LW_REF.INST.NEW_TEXT" w:val="(2019) 1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nion, et à l'application provisoire du protocole relatif à la mise en \u339?uvre de l'accord de partenariat dans le secteur de la pêche entre la Communauté européenne et la République de Guinée Bissau (2019-2024) "/>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fr-FR" w:bidi="fr-FR"/>
    </w:rPr>
  </w:style>
  <w:style w:type="paragraph" w:styleId="ListNumber">
    <w:name w:val="List Number"/>
    <w:basedOn w:val="Normal"/>
    <w:pPr>
      <w:numPr>
        <w:numId w:val="6"/>
      </w:numPr>
    </w:pPr>
    <w:rPr>
      <w:rFonts w:eastAsia="Times New Roman"/>
      <w:lang w:eastAsia="fr-FR" w:bidi="fr-FR"/>
    </w:rPr>
  </w:style>
  <w:style w:type="paragraph" w:customStyle="1" w:styleId="ListBullet1">
    <w:name w:val="List Bullet 1"/>
    <w:basedOn w:val="Normal"/>
    <w:pPr>
      <w:numPr>
        <w:numId w:val="1"/>
      </w:numPr>
    </w:pPr>
    <w:rPr>
      <w:rFonts w:eastAsia="Times New Roman"/>
      <w:lang w:eastAsia="fr-FR" w:bidi="fr-FR"/>
    </w:rPr>
  </w:style>
  <w:style w:type="paragraph" w:customStyle="1" w:styleId="ListDash">
    <w:name w:val="List Dash"/>
    <w:basedOn w:val="Normal"/>
    <w:pPr>
      <w:numPr>
        <w:numId w:val="3"/>
      </w:numPr>
    </w:pPr>
    <w:rPr>
      <w:rFonts w:eastAsia="Times New Roman"/>
      <w:lang w:eastAsia="fr-FR" w:bidi="fr-FR"/>
    </w:rPr>
  </w:style>
  <w:style w:type="paragraph" w:customStyle="1" w:styleId="ListDash1">
    <w:name w:val="List Dash 1"/>
    <w:basedOn w:val="Normal"/>
    <w:pPr>
      <w:numPr>
        <w:numId w:val="4"/>
      </w:numPr>
    </w:pPr>
    <w:rPr>
      <w:rFonts w:eastAsia="Times New Roman"/>
      <w:lang w:eastAsia="fr-FR" w:bidi="fr-FR"/>
    </w:rPr>
  </w:style>
  <w:style w:type="paragraph" w:customStyle="1" w:styleId="ListDash2">
    <w:name w:val="List Dash 2"/>
    <w:basedOn w:val="Normal"/>
    <w:pPr>
      <w:numPr>
        <w:numId w:val="5"/>
      </w:numPr>
    </w:pPr>
    <w:rPr>
      <w:rFonts w:eastAsia="Times New Roman"/>
      <w:lang w:eastAsia="fr-FR" w:bidi="fr-FR"/>
    </w:rPr>
  </w:style>
  <w:style w:type="paragraph" w:customStyle="1" w:styleId="ListNumberLevel2">
    <w:name w:val="List Number (Level 2)"/>
    <w:basedOn w:val="Normal"/>
    <w:pPr>
      <w:numPr>
        <w:ilvl w:val="1"/>
        <w:numId w:val="6"/>
      </w:numPr>
    </w:pPr>
    <w:rPr>
      <w:rFonts w:eastAsia="Times New Roman"/>
      <w:lang w:eastAsia="fr-FR" w:bidi="fr-FR"/>
    </w:rPr>
  </w:style>
  <w:style w:type="paragraph" w:customStyle="1" w:styleId="ListNumberLevel3">
    <w:name w:val="List Number (Level 3)"/>
    <w:basedOn w:val="Normal"/>
    <w:pPr>
      <w:numPr>
        <w:ilvl w:val="2"/>
        <w:numId w:val="6"/>
      </w:numPr>
    </w:pPr>
    <w:rPr>
      <w:rFonts w:eastAsia="Times New Roman"/>
      <w:lang w:eastAsia="fr-FR" w:bidi="fr-FR"/>
    </w:rPr>
  </w:style>
  <w:style w:type="paragraph" w:customStyle="1" w:styleId="ListNumberLevel4">
    <w:name w:val="List Number (Level 4)"/>
    <w:basedOn w:val="Normal"/>
    <w:pPr>
      <w:numPr>
        <w:ilvl w:val="3"/>
        <w:numId w:val="6"/>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fr-FR" w:bidi="fr-FR"/>
    </w:rPr>
  </w:style>
  <w:style w:type="paragraph" w:styleId="ListBullet2">
    <w:name w:val="List Bullet 2"/>
    <w:basedOn w:val="Normal"/>
    <w:pPr>
      <w:numPr>
        <w:numId w:val="8"/>
      </w:numPr>
    </w:pPr>
    <w:rPr>
      <w:rFonts w:eastAsia="Times New Roman"/>
      <w:lang w:eastAsia="fr-FR" w:bidi="fr-FR"/>
    </w:rPr>
  </w:style>
  <w:style w:type="paragraph" w:styleId="ListBullet3">
    <w:name w:val="List Bullet 3"/>
    <w:basedOn w:val="Normal"/>
    <w:pPr>
      <w:numPr>
        <w:numId w:val="9"/>
      </w:numPr>
    </w:pPr>
    <w:rPr>
      <w:rFonts w:eastAsia="Times New Roman"/>
      <w:lang w:eastAsia="fr-FR" w:bidi="fr-FR"/>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fr-FR" w:bidi="fr-FR"/>
    </w:rPr>
  </w:style>
  <w:style w:type="paragraph" w:styleId="ListNumber">
    <w:name w:val="List Number"/>
    <w:basedOn w:val="Normal"/>
    <w:pPr>
      <w:numPr>
        <w:numId w:val="6"/>
      </w:numPr>
    </w:pPr>
    <w:rPr>
      <w:rFonts w:eastAsia="Times New Roman"/>
      <w:lang w:eastAsia="fr-FR" w:bidi="fr-FR"/>
    </w:rPr>
  </w:style>
  <w:style w:type="paragraph" w:customStyle="1" w:styleId="ListBullet1">
    <w:name w:val="List Bullet 1"/>
    <w:basedOn w:val="Normal"/>
    <w:pPr>
      <w:numPr>
        <w:numId w:val="1"/>
      </w:numPr>
    </w:pPr>
    <w:rPr>
      <w:rFonts w:eastAsia="Times New Roman"/>
      <w:lang w:eastAsia="fr-FR" w:bidi="fr-FR"/>
    </w:rPr>
  </w:style>
  <w:style w:type="paragraph" w:customStyle="1" w:styleId="ListDash">
    <w:name w:val="List Dash"/>
    <w:basedOn w:val="Normal"/>
    <w:pPr>
      <w:numPr>
        <w:numId w:val="3"/>
      </w:numPr>
    </w:pPr>
    <w:rPr>
      <w:rFonts w:eastAsia="Times New Roman"/>
      <w:lang w:eastAsia="fr-FR" w:bidi="fr-FR"/>
    </w:rPr>
  </w:style>
  <w:style w:type="paragraph" w:customStyle="1" w:styleId="ListDash1">
    <w:name w:val="List Dash 1"/>
    <w:basedOn w:val="Normal"/>
    <w:pPr>
      <w:numPr>
        <w:numId w:val="4"/>
      </w:numPr>
    </w:pPr>
    <w:rPr>
      <w:rFonts w:eastAsia="Times New Roman"/>
      <w:lang w:eastAsia="fr-FR" w:bidi="fr-FR"/>
    </w:rPr>
  </w:style>
  <w:style w:type="paragraph" w:customStyle="1" w:styleId="ListDash2">
    <w:name w:val="List Dash 2"/>
    <w:basedOn w:val="Normal"/>
    <w:pPr>
      <w:numPr>
        <w:numId w:val="5"/>
      </w:numPr>
    </w:pPr>
    <w:rPr>
      <w:rFonts w:eastAsia="Times New Roman"/>
      <w:lang w:eastAsia="fr-FR" w:bidi="fr-FR"/>
    </w:rPr>
  </w:style>
  <w:style w:type="paragraph" w:customStyle="1" w:styleId="ListNumberLevel2">
    <w:name w:val="List Number (Level 2)"/>
    <w:basedOn w:val="Normal"/>
    <w:pPr>
      <w:numPr>
        <w:ilvl w:val="1"/>
        <w:numId w:val="6"/>
      </w:numPr>
    </w:pPr>
    <w:rPr>
      <w:rFonts w:eastAsia="Times New Roman"/>
      <w:lang w:eastAsia="fr-FR" w:bidi="fr-FR"/>
    </w:rPr>
  </w:style>
  <w:style w:type="paragraph" w:customStyle="1" w:styleId="ListNumberLevel3">
    <w:name w:val="List Number (Level 3)"/>
    <w:basedOn w:val="Normal"/>
    <w:pPr>
      <w:numPr>
        <w:ilvl w:val="2"/>
        <w:numId w:val="6"/>
      </w:numPr>
    </w:pPr>
    <w:rPr>
      <w:rFonts w:eastAsia="Times New Roman"/>
      <w:lang w:eastAsia="fr-FR" w:bidi="fr-FR"/>
    </w:rPr>
  </w:style>
  <w:style w:type="paragraph" w:customStyle="1" w:styleId="ListNumberLevel4">
    <w:name w:val="List Number (Level 4)"/>
    <w:basedOn w:val="Normal"/>
    <w:pPr>
      <w:numPr>
        <w:ilvl w:val="3"/>
        <w:numId w:val="6"/>
      </w:numPr>
    </w:pPr>
    <w:rPr>
      <w:rFonts w:eastAsia="Times New Roman"/>
      <w:lang w:eastAsia="fr-FR" w:bidi="fr-FR"/>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Pr>
      <w:color w:val="0000FF"/>
      <w:u w:val="single"/>
    </w:rPr>
  </w:style>
  <w:style w:type="paragraph" w:styleId="ListBullet">
    <w:name w:val="List Bullet"/>
    <w:basedOn w:val="Normal"/>
    <w:pPr>
      <w:numPr>
        <w:numId w:val="7"/>
      </w:numPr>
    </w:pPr>
    <w:rPr>
      <w:rFonts w:eastAsia="Times New Roman"/>
      <w:lang w:eastAsia="fr-FR" w:bidi="fr-FR"/>
    </w:rPr>
  </w:style>
  <w:style w:type="paragraph" w:styleId="ListBullet2">
    <w:name w:val="List Bullet 2"/>
    <w:basedOn w:val="Normal"/>
    <w:pPr>
      <w:numPr>
        <w:numId w:val="8"/>
      </w:numPr>
    </w:pPr>
    <w:rPr>
      <w:rFonts w:eastAsia="Times New Roman"/>
      <w:lang w:eastAsia="fr-FR" w:bidi="fr-FR"/>
    </w:rPr>
  </w:style>
  <w:style w:type="paragraph" w:styleId="ListBullet3">
    <w:name w:val="List Bullet 3"/>
    <w:basedOn w:val="Normal"/>
    <w:pPr>
      <w:numPr>
        <w:numId w:val="9"/>
      </w:numPr>
    </w:pPr>
    <w:rPr>
      <w:rFonts w:eastAsia="Times New Roman"/>
      <w:lang w:eastAsia="fr-FR" w:bidi="fr-FR"/>
    </w:rPr>
  </w:style>
  <w:style w:type="paragraph" w:styleId="ListNumber2">
    <w:name w:val="List Number 2"/>
    <w:basedOn w:val="Normal"/>
    <w:pPr>
      <w:numPr>
        <w:numId w:val="13"/>
      </w:numPr>
    </w:pPr>
    <w:rPr>
      <w:rFonts w:eastAsia="Times New Roman"/>
      <w:lang w:eastAsia="fr-FR" w:bidi="fr-FR"/>
    </w:rPr>
  </w:style>
  <w:style w:type="paragraph" w:styleId="ListNumber3">
    <w:name w:val="List Number 3"/>
    <w:basedOn w:val="Normal"/>
    <w:pPr>
      <w:numPr>
        <w:numId w:val="14"/>
      </w:numPr>
    </w:pPr>
    <w:rPr>
      <w:rFonts w:eastAsia="Times New Roman"/>
      <w:lang w:eastAsia="fr-FR" w:bidi="fr-FR"/>
    </w:rPr>
  </w:style>
  <w:style w:type="paragraph" w:styleId="ListNumber4">
    <w:name w:val="List Number 4"/>
    <w:basedOn w:val="Normal"/>
    <w:pPr>
      <w:numPr>
        <w:numId w:val="15"/>
      </w:numPr>
    </w:pPr>
    <w:rPr>
      <w:rFonts w:eastAsia="Times New Roman"/>
      <w:lang w:eastAsia="fr-FR" w:bidi="fr-FR"/>
    </w:rPr>
  </w:style>
  <w:style w:type="paragraph" w:customStyle="1" w:styleId="ListDash3">
    <w:name w:val="List Dash 3"/>
    <w:basedOn w:val="Normal"/>
    <w:pPr>
      <w:numPr>
        <w:numId w:val="10"/>
      </w:numPr>
    </w:pPr>
    <w:rPr>
      <w:rFonts w:eastAsia="Times New Roman"/>
      <w:lang w:eastAsia="fr-FR" w:bidi="fr-FR"/>
    </w:rPr>
  </w:style>
  <w:style w:type="paragraph" w:customStyle="1" w:styleId="ListDash4">
    <w:name w:val="List Dash 4"/>
    <w:basedOn w:val="Normal"/>
    <w:pPr>
      <w:numPr>
        <w:numId w:val="11"/>
      </w:numPr>
    </w:pPr>
    <w:rPr>
      <w:rFonts w:eastAsia="Times New Roman"/>
      <w:lang w:eastAsia="fr-FR" w:bidi="fr-FR"/>
    </w:rPr>
  </w:style>
  <w:style w:type="paragraph" w:customStyle="1" w:styleId="ListNumber1">
    <w:name w:val="List Number 1"/>
    <w:basedOn w:val="Text1"/>
    <w:pPr>
      <w:numPr>
        <w:numId w:val="12"/>
      </w:numPr>
    </w:pPr>
    <w:rPr>
      <w:rFonts w:eastAsia="Times New Roman"/>
      <w:lang w:eastAsia="fr-FR" w:bidi="fr-FR"/>
    </w:rPr>
  </w:style>
  <w:style w:type="paragraph" w:customStyle="1" w:styleId="ListNumber1Level2">
    <w:name w:val="List Number 1 (Level 2)"/>
    <w:basedOn w:val="Text1"/>
    <w:pPr>
      <w:numPr>
        <w:ilvl w:val="1"/>
        <w:numId w:val="12"/>
      </w:numPr>
    </w:pPr>
    <w:rPr>
      <w:rFonts w:eastAsia="Times New Roman"/>
      <w:lang w:eastAsia="fr-FR" w:bidi="fr-FR"/>
    </w:rPr>
  </w:style>
  <w:style w:type="paragraph" w:customStyle="1" w:styleId="ListNumber2Level2">
    <w:name w:val="List Number 2 (Level 2)"/>
    <w:basedOn w:val="Text2"/>
    <w:pPr>
      <w:numPr>
        <w:ilvl w:val="1"/>
        <w:numId w:val="13"/>
      </w:numPr>
    </w:pPr>
    <w:rPr>
      <w:rFonts w:eastAsia="Times New Roman"/>
      <w:lang w:eastAsia="fr-FR" w:bidi="fr-FR"/>
    </w:rPr>
  </w:style>
  <w:style w:type="paragraph" w:customStyle="1" w:styleId="ListNumber3Level2">
    <w:name w:val="List Number 3 (Level 2)"/>
    <w:basedOn w:val="Text3"/>
    <w:pPr>
      <w:numPr>
        <w:ilvl w:val="1"/>
        <w:numId w:val="14"/>
      </w:numPr>
    </w:pPr>
    <w:rPr>
      <w:rFonts w:eastAsia="Times New Roman"/>
      <w:lang w:eastAsia="fr-FR" w:bidi="fr-FR"/>
    </w:rPr>
  </w:style>
  <w:style w:type="paragraph" w:customStyle="1" w:styleId="ListNumber4Level2">
    <w:name w:val="List Number 4 (Level 2)"/>
    <w:basedOn w:val="Text4"/>
    <w:pPr>
      <w:numPr>
        <w:ilvl w:val="1"/>
        <w:numId w:val="15"/>
      </w:numPr>
    </w:pPr>
    <w:rPr>
      <w:rFonts w:eastAsia="Times New Roman"/>
      <w:lang w:eastAsia="fr-FR" w:bidi="fr-FR"/>
    </w:rPr>
  </w:style>
  <w:style w:type="paragraph" w:customStyle="1" w:styleId="ListNumber1Level3">
    <w:name w:val="List Number 1 (Level 3)"/>
    <w:basedOn w:val="Text1"/>
    <w:pPr>
      <w:numPr>
        <w:ilvl w:val="2"/>
        <w:numId w:val="12"/>
      </w:numPr>
    </w:pPr>
    <w:rPr>
      <w:rFonts w:eastAsia="Times New Roman"/>
      <w:lang w:eastAsia="fr-FR" w:bidi="fr-FR"/>
    </w:rPr>
  </w:style>
  <w:style w:type="paragraph" w:customStyle="1" w:styleId="ListNumber2Level3">
    <w:name w:val="List Number 2 (Level 3)"/>
    <w:basedOn w:val="Text2"/>
    <w:pPr>
      <w:numPr>
        <w:ilvl w:val="2"/>
        <w:numId w:val="13"/>
      </w:numPr>
    </w:pPr>
    <w:rPr>
      <w:rFonts w:eastAsia="Times New Roman"/>
      <w:lang w:eastAsia="fr-FR" w:bidi="fr-FR"/>
    </w:rPr>
  </w:style>
  <w:style w:type="paragraph" w:customStyle="1" w:styleId="ListNumber3Level3">
    <w:name w:val="List Number 3 (Level 3)"/>
    <w:basedOn w:val="Text3"/>
    <w:pPr>
      <w:numPr>
        <w:ilvl w:val="2"/>
        <w:numId w:val="14"/>
      </w:numPr>
    </w:pPr>
    <w:rPr>
      <w:rFonts w:eastAsia="Times New Roman"/>
      <w:lang w:eastAsia="fr-FR" w:bidi="fr-FR"/>
    </w:rPr>
  </w:style>
  <w:style w:type="paragraph" w:customStyle="1" w:styleId="ListNumber4Level3">
    <w:name w:val="List Number 4 (Level 3)"/>
    <w:basedOn w:val="Text4"/>
    <w:pPr>
      <w:numPr>
        <w:ilvl w:val="2"/>
        <w:numId w:val="15"/>
      </w:numPr>
    </w:pPr>
    <w:rPr>
      <w:rFonts w:eastAsia="Times New Roman"/>
      <w:lang w:eastAsia="fr-FR" w:bidi="fr-FR"/>
    </w:rPr>
  </w:style>
  <w:style w:type="paragraph" w:customStyle="1" w:styleId="ListNumber1Level4">
    <w:name w:val="List Number 1 (Level 4)"/>
    <w:basedOn w:val="Text1"/>
    <w:pPr>
      <w:numPr>
        <w:ilvl w:val="3"/>
        <w:numId w:val="12"/>
      </w:numPr>
    </w:pPr>
    <w:rPr>
      <w:rFonts w:eastAsia="Times New Roman"/>
      <w:lang w:eastAsia="fr-FR" w:bidi="fr-FR"/>
    </w:rPr>
  </w:style>
  <w:style w:type="paragraph" w:customStyle="1" w:styleId="ListNumber2Level4">
    <w:name w:val="List Number 2 (Level 4)"/>
    <w:basedOn w:val="Text2"/>
    <w:pPr>
      <w:numPr>
        <w:ilvl w:val="3"/>
        <w:numId w:val="13"/>
      </w:numPr>
    </w:pPr>
    <w:rPr>
      <w:rFonts w:eastAsia="Times New Roman"/>
      <w:lang w:eastAsia="fr-FR" w:bidi="fr-FR"/>
    </w:rPr>
  </w:style>
  <w:style w:type="paragraph" w:customStyle="1" w:styleId="ListNumber3Level4">
    <w:name w:val="List Number 3 (Level 4)"/>
    <w:basedOn w:val="Text3"/>
    <w:pPr>
      <w:numPr>
        <w:ilvl w:val="3"/>
        <w:numId w:val="14"/>
      </w:numPr>
    </w:pPr>
    <w:rPr>
      <w:rFonts w:eastAsia="Times New Roman"/>
      <w:lang w:eastAsia="fr-FR" w:bidi="fr-FR"/>
    </w:rPr>
  </w:style>
  <w:style w:type="paragraph" w:customStyle="1" w:styleId="ListNumber4Level4">
    <w:name w:val="List Number 4 (Level 4)"/>
    <w:basedOn w:val="Text4"/>
    <w:pPr>
      <w:numPr>
        <w:ilvl w:val="3"/>
        <w:numId w:val="15"/>
      </w:numPr>
    </w:pPr>
    <w:rPr>
      <w:rFonts w:eastAsia="Times New Roman"/>
      <w:lang w:eastAsia="fr-FR" w:bidi="fr-FR"/>
    </w:rPr>
  </w:style>
  <w:style w:type="paragraph" w:customStyle="1" w:styleId="Annexetitreacte">
    <w:name w:val="Annexe titre (acte)"/>
    <w:basedOn w:val="Normal"/>
    <w:next w:val="Normal"/>
    <w:pPr>
      <w:jc w:val="center"/>
    </w:pPr>
    <w:rPr>
      <w:rFonts w:eastAsia="Times New Roman"/>
      <w:b/>
      <w:u w:val="single"/>
      <w:lang w:eastAsia="fr-FR" w:bidi="fr-FR"/>
    </w:rPr>
  </w:style>
  <w:style w:type="paragraph" w:customStyle="1" w:styleId="Annexetitreexposglobal">
    <w:name w:val="Annexe titre (exposé global)"/>
    <w:basedOn w:val="Normal"/>
    <w:next w:val="Normal"/>
    <w:pPr>
      <w:jc w:val="center"/>
    </w:pPr>
    <w:rPr>
      <w:rFonts w:eastAsia="Times New Roman"/>
      <w:b/>
      <w:u w:val="single"/>
      <w:lang w:eastAsia="fr-FR" w:bidi="fr-FR"/>
    </w:rPr>
  </w:style>
  <w:style w:type="paragraph" w:customStyle="1" w:styleId="Annexetitrefichefinacte">
    <w:name w:val="Annexe titre (fiche fin. acte)"/>
    <w:basedOn w:val="Normal"/>
    <w:next w:val="Normal"/>
    <w:pPr>
      <w:jc w:val="center"/>
    </w:pPr>
    <w:rPr>
      <w:rFonts w:eastAsia="Times New Roman"/>
      <w:b/>
      <w:u w:val="single"/>
      <w:lang w:eastAsia="fr-FR" w:bidi="fr-FR"/>
    </w:rPr>
  </w:style>
  <w:style w:type="paragraph" w:customStyle="1" w:styleId="Annexetitrefichefinglobale">
    <w:name w:val="Annexe titre (fiche fin. globale)"/>
    <w:basedOn w:val="Normal"/>
    <w:next w:val="Normal"/>
    <w:pPr>
      <w:jc w:val="center"/>
    </w:pPr>
    <w:rPr>
      <w:rFonts w:eastAsia="Times New Roman"/>
      <w:b/>
      <w:u w:val="single"/>
      <w:lang w:eastAsia="fr-FR" w:bidi="fr-FR"/>
    </w:rPr>
  </w:style>
  <w:style w:type="paragraph" w:customStyle="1" w:styleId="Annexetitreglobale">
    <w:name w:val="Annexe titre (globale)"/>
    <w:basedOn w:val="Normal"/>
    <w:next w:val="Normal"/>
    <w:pPr>
      <w:jc w:val="center"/>
    </w:pPr>
    <w:rPr>
      <w:rFonts w:eastAsia="Times New Roman"/>
      <w:b/>
      <w:u w:val="single"/>
      <w:lang w:eastAsia="fr-FR" w:bidi="fr-FR"/>
    </w:rPr>
  </w:style>
  <w:style w:type="paragraph" w:customStyle="1" w:styleId="Exposdesmotifstitreglobal">
    <w:name w:val="Exposé des motifs titre (global)"/>
    <w:basedOn w:val="Normal"/>
    <w:next w:val="Normal"/>
    <w:pPr>
      <w:jc w:val="center"/>
    </w:pPr>
    <w:rPr>
      <w:rFonts w:eastAsia="Times New Roman"/>
      <w:b/>
      <w:u w:val="single"/>
      <w:lang w:eastAsia="fr-FR" w:bidi="fr-FR"/>
    </w:rPr>
  </w:style>
  <w:style w:type="paragraph" w:customStyle="1" w:styleId="Langueoriginale">
    <w:name w:val="Langue originale"/>
    <w:basedOn w:val="Normal"/>
    <w:pPr>
      <w:spacing w:before="360"/>
      <w:jc w:val="center"/>
    </w:pPr>
    <w:rPr>
      <w:rFonts w:eastAsia="Times New Roman"/>
      <w:caps/>
      <w:lang w:eastAsia="fr-FR" w:bidi="fr-FR"/>
    </w:rPr>
  </w:style>
  <w:style w:type="paragraph" w:customStyle="1" w:styleId="Phrasefinale">
    <w:name w:val="Phrase finale"/>
    <w:basedOn w:val="Normal"/>
    <w:next w:val="Normal"/>
    <w:pPr>
      <w:spacing w:before="360" w:after="0"/>
      <w:jc w:val="center"/>
    </w:pPr>
    <w:rPr>
      <w:rFonts w:eastAsia="Times New Roman"/>
      <w:lang w:eastAsia="fr-FR" w:bidi="fr-FR"/>
    </w:rPr>
  </w:style>
  <w:style w:type="paragraph" w:customStyle="1" w:styleId="Prliminairetitre">
    <w:name w:val="Préliminaire titre"/>
    <w:basedOn w:val="Normal"/>
    <w:next w:val="Normal"/>
    <w:pPr>
      <w:spacing w:before="360" w:after="360"/>
      <w:jc w:val="center"/>
    </w:pPr>
    <w:rPr>
      <w:rFonts w:eastAsia="Times New Roman"/>
      <w:b/>
      <w:lang w:eastAsia="fr-FR" w:bidi="fr-FR"/>
    </w:rPr>
  </w:style>
  <w:style w:type="paragraph" w:customStyle="1" w:styleId="Prliminairetype">
    <w:name w:val="Préliminaire type"/>
    <w:basedOn w:val="Normal"/>
    <w:next w:val="Normal"/>
    <w:pPr>
      <w:spacing w:before="360" w:after="0"/>
      <w:jc w:val="center"/>
    </w:pPr>
    <w:rPr>
      <w:rFonts w:eastAsia="Times New Roman"/>
      <w:b/>
      <w:lang w:eastAsia="fr-FR" w:bidi="fr-FR"/>
    </w:rPr>
  </w:style>
  <w:style w:type="paragraph" w:customStyle="1" w:styleId="Rfrenceinstitutionelle">
    <w:name w:val="Référence institutionelle"/>
    <w:basedOn w:val="Normal"/>
    <w:next w:val="Statut"/>
    <w:pPr>
      <w:spacing w:before="0" w:after="240"/>
      <w:ind w:left="5103"/>
      <w:jc w:val="left"/>
    </w:pPr>
    <w:rPr>
      <w:rFonts w:eastAsia="Times New Roman"/>
      <w:lang w:eastAsia="fr-FR" w:bidi="fr-FR"/>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fr-FR" w:bidi="fr-FR"/>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fr-FR" w:bidi="fr-FR"/>
    </w:rPr>
  </w:style>
  <w:style w:type="paragraph" w:customStyle="1" w:styleId="Sous-titreobjetprliminaire">
    <w:name w:val="Sous-titre objet (préliminaire)"/>
    <w:basedOn w:val="Normal"/>
    <w:pPr>
      <w:spacing w:before="0" w:after="0"/>
      <w:jc w:val="center"/>
    </w:pPr>
    <w:rPr>
      <w:rFonts w:eastAsia="Times New Roman"/>
      <w:b/>
      <w:lang w:eastAsia="fr-FR" w:bidi="fr-FR"/>
    </w:rPr>
  </w:style>
  <w:style w:type="paragraph" w:customStyle="1" w:styleId="Statutprliminaire">
    <w:name w:val="Statut (préliminaire)"/>
    <w:basedOn w:val="Normal"/>
    <w:next w:val="Normal"/>
    <w:pPr>
      <w:spacing w:before="360" w:after="0"/>
      <w:jc w:val="center"/>
    </w:pPr>
    <w:rPr>
      <w:rFonts w:eastAsia="Times New Roman"/>
      <w:lang w:eastAsia="fr-FR" w:bidi="fr-FR"/>
    </w:rPr>
  </w:style>
  <w:style w:type="paragraph" w:customStyle="1" w:styleId="Titreobjetprliminaire">
    <w:name w:val="Titre objet (préliminaire)"/>
    <w:basedOn w:val="Normal"/>
    <w:next w:val="Normal"/>
    <w:pPr>
      <w:spacing w:before="360" w:after="360"/>
      <w:jc w:val="center"/>
    </w:pPr>
    <w:rPr>
      <w:rFonts w:eastAsia="Times New Roman"/>
      <w:b/>
      <w:lang w:eastAsia="fr-FR" w:bidi="fr-FR"/>
    </w:rPr>
  </w:style>
  <w:style w:type="paragraph" w:customStyle="1" w:styleId="Typedudocumentprliminaire">
    <w:name w:val="Type du document (préliminaire)"/>
    <w:basedOn w:val="Normal"/>
    <w:next w:val="Normal"/>
    <w:pPr>
      <w:spacing w:before="360" w:after="0"/>
      <w:jc w:val="center"/>
    </w:pPr>
    <w:rPr>
      <w:rFonts w:eastAsia="Times New Roman"/>
      <w:b/>
      <w:lang w:eastAsia="fr-FR" w:bidi="fr-FR"/>
    </w:rPr>
  </w:style>
  <w:style w:type="paragraph" w:customStyle="1" w:styleId="Fichefinancirestandardtitre">
    <w:name w:val="Fiche financière (standard) titre"/>
    <w:basedOn w:val="Normal"/>
    <w:next w:val="Normal"/>
    <w:pPr>
      <w:jc w:val="center"/>
    </w:pPr>
    <w:rPr>
      <w:rFonts w:eastAsia="Times New Roman"/>
      <w:b/>
      <w:u w:val="single"/>
      <w:lang w:eastAsia="fr-FR" w:bidi="fr-FR"/>
    </w:rPr>
  </w:style>
  <w:style w:type="paragraph" w:customStyle="1" w:styleId="Fichefinancirestandardtitreacte">
    <w:name w:val="Fiche financière (standard) titre (acte)"/>
    <w:basedOn w:val="Normal"/>
    <w:next w:val="Normal"/>
    <w:pPr>
      <w:jc w:val="center"/>
    </w:pPr>
    <w:rPr>
      <w:rFonts w:eastAsia="Times New Roman"/>
      <w:b/>
      <w:u w:val="single"/>
      <w:lang w:eastAsia="fr-FR" w:bidi="fr-FR"/>
    </w:rPr>
  </w:style>
  <w:style w:type="paragraph" w:customStyle="1" w:styleId="Fichefinanciretravailtitre">
    <w:name w:val="Fiche financière (travail) titre"/>
    <w:basedOn w:val="Normal"/>
    <w:next w:val="Normal"/>
    <w:pPr>
      <w:jc w:val="center"/>
    </w:pPr>
    <w:rPr>
      <w:rFonts w:eastAsia="Times New Roman"/>
      <w:b/>
      <w:u w:val="single"/>
      <w:lang w:eastAsia="fr-FR" w:bidi="fr-FR"/>
    </w:rPr>
  </w:style>
  <w:style w:type="paragraph" w:customStyle="1" w:styleId="Fichefinanciretravailtitreacte">
    <w:name w:val="Fiche financière (travail) titre (acte)"/>
    <w:basedOn w:val="Normal"/>
    <w:next w:val="Normal"/>
    <w:pPr>
      <w:jc w:val="center"/>
    </w:pPr>
    <w:rPr>
      <w:rFonts w:eastAsia="Times New Roman"/>
      <w:b/>
      <w:u w:val="single"/>
      <w:lang w:eastAsia="fr-FR" w:bidi="fr-FR"/>
    </w:rPr>
  </w:style>
  <w:style w:type="paragraph" w:customStyle="1" w:styleId="Fichefinancireattributiontitre">
    <w:name w:val="Fiche financière (attribution) titre"/>
    <w:basedOn w:val="Normal"/>
    <w:next w:val="Normal"/>
    <w:pPr>
      <w:jc w:val="center"/>
    </w:pPr>
    <w:rPr>
      <w:rFonts w:eastAsia="Times New Roman"/>
      <w:b/>
      <w:u w:val="single"/>
      <w:lang w:eastAsia="fr-FR" w:bidi="fr-FR"/>
    </w:rPr>
  </w:style>
  <w:style w:type="paragraph" w:customStyle="1" w:styleId="Fichefinancireattributiontitreacte">
    <w:name w:val="Fiche financière (attribution) titre (acte)"/>
    <w:basedOn w:val="Normal"/>
    <w:next w:val="Normal"/>
    <w:pPr>
      <w:jc w:val="center"/>
    </w:pPr>
    <w:rPr>
      <w:rFonts w:eastAsia="Times New Roman"/>
      <w:b/>
      <w:u w:val="single"/>
      <w:lang w:eastAsia="fr-FR" w:bidi="fr-FR"/>
    </w:rPr>
  </w:style>
  <w:style w:type="character" w:styleId="CommentReference">
    <w:name w:val="annotation reference"/>
    <w:rPr>
      <w:rFonts w:cs="Times New Roman"/>
      <w:sz w:val="16"/>
      <w:szCs w:val="16"/>
    </w:rPr>
  </w:style>
  <w:style w:type="paragraph" w:styleId="CommentText">
    <w:name w:val="annotation text"/>
    <w:basedOn w:val="Normal"/>
    <w:link w:val="CommentTextChar"/>
    <w:rPr>
      <w:rFonts w:eastAsia="Times New Roman"/>
      <w:sz w:val="20"/>
      <w:szCs w:val="20"/>
      <w:lang w:eastAsia="fr-FR" w:bidi="fr-FR"/>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lang w:val="fr-FR" w:eastAsia="fr-FR" w:bidi="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fr-FR" w:eastAsia="fr-FR" w:bidi="fr-FR"/>
    </w:rPr>
  </w:style>
  <w:style w:type="paragraph" w:styleId="BalloonText">
    <w:name w:val="Balloon Text"/>
    <w:basedOn w:val="Normal"/>
    <w:link w:val="BalloonTextChar"/>
    <w:rPr>
      <w:rFonts w:ascii="Tahoma" w:eastAsia="Times New Roman" w:hAnsi="Tahoma" w:cs="Tahoma"/>
      <w:sz w:val="16"/>
      <w:szCs w:val="16"/>
      <w:lang w:eastAsia="fr-FR" w:bidi="fr-FR"/>
    </w:rPr>
  </w:style>
  <w:style w:type="character" w:customStyle="1" w:styleId="BalloonTextChar">
    <w:name w:val="Balloon Text Char"/>
    <w:basedOn w:val="DefaultParagraphFont"/>
    <w:link w:val="BalloonText"/>
    <w:rPr>
      <w:rFonts w:ascii="Tahoma" w:eastAsia="Times New Roman" w:hAnsi="Tahoma" w:cs="Tahoma"/>
      <w:sz w:val="16"/>
      <w:szCs w:val="16"/>
      <w:lang w:val="fr-FR" w:eastAsia="fr-FR" w:bidi="fr-FR"/>
    </w:rPr>
  </w:style>
  <w:style w:type="paragraph" w:styleId="Caption">
    <w:name w:val="caption"/>
    <w:basedOn w:val="Normal"/>
    <w:next w:val="Normal"/>
    <w:qFormat/>
    <w:rPr>
      <w:rFonts w:eastAsia="Times New Roman"/>
      <w:b/>
      <w:bCs/>
      <w:sz w:val="20"/>
      <w:szCs w:val="20"/>
      <w:lang w:eastAsia="fr-FR" w:bidi="fr-FR"/>
    </w:rPr>
  </w:style>
  <w:style w:type="paragraph" w:styleId="TableofFigures">
    <w:name w:val="table of figures"/>
    <w:basedOn w:val="Normal"/>
    <w:next w:val="Normal"/>
    <w:rPr>
      <w:rFonts w:eastAsia="Times New Roman"/>
      <w:lang w:eastAsia="fr-FR" w:bidi="fr-FR"/>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fr-FR" w:bidi="fr-FR"/>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lang w:eastAsia="fr-FR" w:bidi="fr-FR"/>
    </w:rPr>
  </w:style>
  <w:style w:type="character" w:customStyle="1" w:styleId="FooterCoverPageChar">
    <w:name w:val="Footer Cover Page Char"/>
    <w:link w:val="FooterCoverPage"/>
    <w:rPr>
      <w:rFonts w:ascii="Times New Roman" w:eastAsia="Calibri" w:hAnsi="Times New Roman" w:cs="Times New Roman"/>
      <w:sz w:val="24"/>
      <w:lang w:val="fr-FR" w:eastAsia="fr-FR" w:bidi="fr-FR"/>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fr-FR" w:bidi="fr-FR"/>
    </w:rPr>
  </w:style>
  <w:style w:type="character" w:customStyle="1" w:styleId="HeaderCoverPageChar">
    <w:name w:val="Header Cover Page Char"/>
    <w:link w:val="HeaderCoverPage"/>
    <w:rPr>
      <w:rFonts w:ascii="Times New Roman" w:eastAsia="Calibri" w:hAnsi="Times New Roman" w:cs="Times New Roman"/>
      <w:sz w:val="24"/>
      <w:lang w:val="fr-FR" w:eastAsia="fr-FR" w:bidi="fr-FR"/>
    </w:rPr>
  </w:style>
  <w:style w:type="paragraph" w:customStyle="1" w:styleId="Normal1">
    <w:name w:val="Normal1"/>
    <w:basedOn w:val="Normal"/>
    <w:pPr>
      <w:spacing w:after="0"/>
    </w:pPr>
    <w:rPr>
      <w:szCs w:val="24"/>
      <w:lang w:val="en-GB" w:eastAsia="en-GB"/>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3"/>
      </w:numPr>
    </w:pPr>
  </w:style>
  <w:style w:type="paragraph" w:customStyle="1" w:styleId="Tiret1">
    <w:name w:val="Tiret 1"/>
    <w:basedOn w:val="Point1"/>
    <w:pPr>
      <w:numPr>
        <w:numId w:val="34"/>
      </w:numPr>
    </w:pPr>
  </w:style>
  <w:style w:type="paragraph" w:customStyle="1" w:styleId="Tiret2">
    <w:name w:val="Tiret 2"/>
    <w:basedOn w:val="Point2"/>
    <w:pPr>
      <w:numPr>
        <w:numId w:val="35"/>
      </w:numPr>
    </w:pPr>
  </w:style>
  <w:style w:type="paragraph" w:customStyle="1" w:styleId="Tiret3">
    <w:name w:val="Tiret 3"/>
    <w:basedOn w:val="Point3"/>
    <w:pPr>
      <w:numPr>
        <w:numId w:val="36"/>
      </w:numPr>
    </w:pPr>
  </w:style>
  <w:style w:type="paragraph" w:customStyle="1" w:styleId="Tiret4">
    <w:name w:val="Tiret 4"/>
    <w:basedOn w:val="Point4"/>
    <w:pPr>
      <w:numPr>
        <w:numId w:val="3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8"/>
      </w:numPr>
    </w:pPr>
  </w:style>
  <w:style w:type="paragraph" w:customStyle="1" w:styleId="NumPar2">
    <w:name w:val="NumPar 2"/>
    <w:basedOn w:val="Normal"/>
    <w:next w:val="Text1"/>
    <w:pPr>
      <w:numPr>
        <w:ilvl w:val="1"/>
        <w:numId w:val="38"/>
      </w:numPr>
    </w:pPr>
  </w:style>
  <w:style w:type="paragraph" w:customStyle="1" w:styleId="NumPar3">
    <w:name w:val="NumPar 3"/>
    <w:basedOn w:val="Normal"/>
    <w:next w:val="Text1"/>
    <w:pPr>
      <w:numPr>
        <w:ilvl w:val="2"/>
        <w:numId w:val="38"/>
      </w:numPr>
    </w:pPr>
  </w:style>
  <w:style w:type="paragraph" w:customStyle="1" w:styleId="NumPar4">
    <w:name w:val="NumPar 4"/>
    <w:basedOn w:val="Normal"/>
    <w:next w:val="Text1"/>
    <w:pPr>
      <w:numPr>
        <w:ilvl w:val="3"/>
        <w:numId w:val="3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0"/>
      </w:numPr>
    </w:pPr>
  </w:style>
  <w:style w:type="paragraph" w:customStyle="1" w:styleId="Point1number">
    <w:name w:val="Point 1 (number)"/>
    <w:basedOn w:val="Normal"/>
    <w:pPr>
      <w:numPr>
        <w:ilvl w:val="2"/>
        <w:numId w:val="40"/>
      </w:numPr>
    </w:pPr>
  </w:style>
  <w:style w:type="paragraph" w:customStyle="1" w:styleId="Point2number">
    <w:name w:val="Point 2 (number)"/>
    <w:basedOn w:val="Normal"/>
    <w:pPr>
      <w:numPr>
        <w:ilvl w:val="4"/>
        <w:numId w:val="40"/>
      </w:numPr>
    </w:pPr>
  </w:style>
  <w:style w:type="paragraph" w:customStyle="1" w:styleId="Point3number">
    <w:name w:val="Point 3 (number)"/>
    <w:basedOn w:val="Normal"/>
    <w:pPr>
      <w:numPr>
        <w:ilvl w:val="6"/>
        <w:numId w:val="40"/>
      </w:numPr>
    </w:pPr>
  </w:style>
  <w:style w:type="paragraph" w:customStyle="1" w:styleId="Point0letter">
    <w:name w:val="Point 0 (letter)"/>
    <w:basedOn w:val="Normal"/>
    <w:pPr>
      <w:numPr>
        <w:ilvl w:val="1"/>
        <w:numId w:val="40"/>
      </w:numPr>
    </w:pPr>
  </w:style>
  <w:style w:type="paragraph" w:customStyle="1" w:styleId="Point1letter">
    <w:name w:val="Point 1 (letter)"/>
    <w:basedOn w:val="Normal"/>
    <w:pPr>
      <w:numPr>
        <w:ilvl w:val="3"/>
        <w:numId w:val="40"/>
      </w:numPr>
    </w:pPr>
  </w:style>
  <w:style w:type="paragraph" w:customStyle="1" w:styleId="Point2letter">
    <w:name w:val="Point 2 (letter)"/>
    <w:basedOn w:val="Normal"/>
    <w:pPr>
      <w:numPr>
        <w:ilvl w:val="5"/>
        <w:numId w:val="40"/>
      </w:numPr>
    </w:pPr>
  </w:style>
  <w:style w:type="paragraph" w:customStyle="1" w:styleId="Point3letter">
    <w:name w:val="Point 3 (letter)"/>
    <w:basedOn w:val="Normal"/>
    <w:pPr>
      <w:numPr>
        <w:ilvl w:val="7"/>
        <w:numId w:val="40"/>
      </w:numPr>
    </w:pPr>
  </w:style>
  <w:style w:type="paragraph" w:customStyle="1" w:styleId="Point4letter">
    <w:name w:val="Point 4 (letter)"/>
    <w:basedOn w:val="Normal"/>
    <w:pPr>
      <w:numPr>
        <w:ilvl w:val="8"/>
        <w:numId w:val="40"/>
      </w:numPr>
    </w:pPr>
  </w:style>
  <w:style w:type="paragraph" w:customStyle="1" w:styleId="Bullet0">
    <w:name w:val="Bullet 0"/>
    <w:basedOn w:val="Normal"/>
    <w:pPr>
      <w:numPr>
        <w:numId w:val="41"/>
      </w:numPr>
    </w:pPr>
  </w:style>
  <w:style w:type="paragraph" w:customStyle="1" w:styleId="Bullet1">
    <w:name w:val="Bullet 1"/>
    <w:basedOn w:val="Normal"/>
    <w:pPr>
      <w:numPr>
        <w:numId w:val="42"/>
      </w:numPr>
    </w:pPr>
  </w:style>
  <w:style w:type="paragraph" w:customStyle="1" w:styleId="Bullet2">
    <w:name w:val="Bullet 2"/>
    <w:basedOn w:val="Normal"/>
    <w:pPr>
      <w:numPr>
        <w:numId w:val="43"/>
      </w:numPr>
    </w:pPr>
  </w:style>
  <w:style w:type="paragraph" w:customStyle="1" w:styleId="Bullet3">
    <w:name w:val="Bullet 3"/>
    <w:basedOn w:val="Normal"/>
    <w:pPr>
      <w:numPr>
        <w:numId w:val="44"/>
      </w:numPr>
    </w:pPr>
  </w:style>
  <w:style w:type="paragraph" w:customStyle="1" w:styleId="Bullet4">
    <w:name w:val="Bullet 4"/>
    <w:basedOn w:val="Normal"/>
    <w:pPr>
      <w:numPr>
        <w:numId w:val="4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myintracomm.ec.europa.eu/budgweb/FR/leg/internal/Documents/2016-5-legislative-financial-statement-ann-fr.docx"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FR/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5DB9C5E-1844-400A-9155-47602B825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22</Pages>
  <Words>5331</Words>
  <Characters>29805</Characters>
  <Application>Microsoft Office Word</Application>
  <DocSecurity>0</DocSecurity>
  <Lines>1354</Lines>
  <Paragraphs>627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18</cp:revision>
  <cp:lastPrinted>2019-02-19T18:13:00Z</cp:lastPrinted>
  <dcterms:created xsi:type="dcterms:W3CDTF">2019-03-26T14:16:00Z</dcterms:created>
  <dcterms:modified xsi:type="dcterms:W3CDTF">2019-04-04T07:15:00Z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