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8A8DE" w14:textId="6B426636" w:rsidR="007E372F" w:rsidRPr="00EF0619" w:rsidRDefault="00977AC9" w:rsidP="00977AC9">
      <w:pPr>
        <w:pStyle w:val="Pagedecouverture"/>
      </w:pPr>
      <w:r>
        <w:pict w14:anchorId="6F9BA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3F4A188-D203-40CC-9807-D1FE5B0B467C" style="width:450.75pt;height:422.25pt">
            <v:imagedata r:id="rId8" o:title=""/>
          </v:shape>
        </w:pict>
      </w:r>
    </w:p>
    <w:p w14:paraId="1F72E1C1" w14:textId="77777777" w:rsidR="00CE392C" w:rsidRPr="00EF0619" w:rsidRDefault="00CE392C" w:rsidP="00CE392C">
      <w:pPr>
        <w:pStyle w:val="Pagedecouverture"/>
        <w:sectPr w:rsidR="00CE392C" w:rsidRPr="00EF0619" w:rsidSect="00977AC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2AA34031" w14:textId="77777777" w:rsidR="003D39D5" w:rsidRPr="00EF0619" w:rsidRDefault="003D39D5" w:rsidP="00A47064">
      <w:pPr>
        <w:pStyle w:val="Exposdesmotifstitre"/>
      </w:pPr>
      <w:bookmarkStart w:id="0" w:name="_GoBack"/>
      <w:bookmarkEnd w:id="0"/>
      <w:r w:rsidRPr="00EF0619">
        <w:lastRenderedPageBreak/>
        <w:t>EXPLANATORY MEMORANDUM</w:t>
      </w:r>
    </w:p>
    <w:p w14:paraId="07DB0AFA" w14:textId="71014372" w:rsidR="00C75CB8" w:rsidRPr="00EF0619" w:rsidRDefault="003D39D5" w:rsidP="006720AB">
      <w:pPr>
        <w:pBdr>
          <w:top w:val="nil"/>
          <w:left w:val="nil"/>
          <w:bottom w:val="nil"/>
          <w:right w:val="nil"/>
          <w:between w:val="nil"/>
          <w:bar w:val="nil"/>
        </w:pBdr>
        <w:spacing w:before="240" w:after="240"/>
        <w:rPr>
          <w:szCs w:val="24"/>
        </w:rPr>
      </w:pPr>
      <w:r w:rsidRPr="00EF0619">
        <w:rPr>
          <w:szCs w:val="24"/>
        </w:rPr>
        <w:t xml:space="preserve">On 29 March 2017, the United Kingdom notified the European Council pursuant to Article 50 of the Treaty on European Union of its intention to withdraw from the </w:t>
      </w:r>
      <w:r w:rsidR="00854BA0" w:rsidRPr="00EF0619">
        <w:rPr>
          <w:szCs w:val="24"/>
        </w:rPr>
        <w:t xml:space="preserve">European </w:t>
      </w:r>
      <w:r w:rsidRPr="00EF0619">
        <w:rPr>
          <w:szCs w:val="24"/>
        </w:rPr>
        <w:t xml:space="preserve">Union and from the European Atomic Energy Community. In accordance with </w:t>
      </w:r>
      <w:r w:rsidR="00C75CB8" w:rsidRPr="00EF0619">
        <w:rPr>
          <w:szCs w:val="24"/>
        </w:rPr>
        <w:t xml:space="preserve">that provision, the </w:t>
      </w:r>
      <w:r w:rsidRPr="00EF0619">
        <w:rPr>
          <w:szCs w:val="24"/>
        </w:rPr>
        <w:t>European Union negotiate</w:t>
      </w:r>
      <w:r w:rsidR="00C75CB8" w:rsidRPr="00EF0619">
        <w:rPr>
          <w:szCs w:val="24"/>
        </w:rPr>
        <w:t>d</w:t>
      </w:r>
      <w:r w:rsidRPr="00EF0619">
        <w:rPr>
          <w:szCs w:val="24"/>
        </w:rPr>
        <w:t xml:space="preserve"> with the </w:t>
      </w:r>
      <w:r w:rsidR="00C75CB8" w:rsidRPr="00EF0619">
        <w:rPr>
          <w:szCs w:val="24"/>
        </w:rPr>
        <w:t xml:space="preserve">United Kingdom </w:t>
      </w:r>
      <w:r w:rsidRPr="00EF0619">
        <w:rPr>
          <w:szCs w:val="24"/>
        </w:rPr>
        <w:t>an agreement setting out the arrangements for its withdrawal</w:t>
      </w:r>
      <w:r w:rsidR="00CF7538" w:rsidRPr="00EF0619">
        <w:rPr>
          <w:szCs w:val="24"/>
        </w:rPr>
        <w:t xml:space="preserve"> (hereinafter “the Withdrawal Agreement”)</w:t>
      </w:r>
      <w:r w:rsidRPr="00EF0619">
        <w:rPr>
          <w:szCs w:val="24"/>
        </w:rPr>
        <w:t xml:space="preserve">, taking account </w:t>
      </w:r>
      <w:r w:rsidR="00854BA0" w:rsidRPr="00EF0619">
        <w:rPr>
          <w:szCs w:val="24"/>
        </w:rPr>
        <w:t xml:space="preserve">of </w:t>
      </w:r>
      <w:r w:rsidRPr="00EF0619">
        <w:rPr>
          <w:szCs w:val="24"/>
        </w:rPr>
        <w:t xml:space="preserve">the framework for </w:t>
      </w:r>
      <w:r w:rsidR="00854BA0" w:rsidRPr="00EF0619">
        <w:rPr>
          <w:szCs w:val="24"/>
        </w:rPr>
        <w:t>its</w:t>
      </w:r>
      <w:r w:rsidRPr="00EF0619">
        <w:rPr>
          <w:szCs w:val="24"/>
        </w:rPr>
        <w:t xml:space="preserve"> future relationship with the Union. </w:t>
      </w:r>
    </w:p>
    <w:p w14:paraId="100C55B2" w14:textId="670DE737" w:rsidR="00C22177" w:rsidRPr="00EF0619" w:rsidRDefault="00C22177" w:rsidP="00C75CB8">
      <w:pPr>
        <w:pBdr>
          <w:top w:val="nil"/>
          <w:left w:val="nil"/>
          <w:bottom w:val="nil"/>
          <w:right w:val="nil"/>
          <w:between w:val="nil"/>
          <w:bar w:val="nil"/>
        </w:pBdr>
        <w:spacing w:after="240"/>
        <w:rPr>
          <w:szCs w:val="24"/>
        </w:rPr>
      </w:pPr>
      <w:r w:rsidRPr="00EF0619">
        <w:rPr>
          <w:szCs w:val="24"/>
        </w:rPr>
        <w:t xml:space="preserve">On 5 December 2018, the Commission </w:t>
      </w:r>
      <w:r w:rsidR="00C75CB8" w:rsidRPr="00EF0619">
        <w:rPr>
          <w:szCs w:val="24"/>
        </w:rPr>
        <w:t>presented p</w:t>
      </w:r>
      <w:r w:rsidRPr="00EF0619">
        <w:rPr>
          <w:szCs w:val="24"/>
        </w:rPr>
        <w:t>roposals for a Council Decision on the signing, on behalf of the European Union and of the European Atomic Energy Community, of the Agreement on the withdrawal of the United Kingdom of Great Britain and Northern Ireland from the European Union and the European Atomic Energy Community (COM(2018) 833), and a Council Decision on the conclusion of the Agreement on the withdrawal of the United Kingdom of Great Britain and Northern Ireland from the European Union and the European Ato</w:t>
      </w:r>
      <w:r w:rsidR="00200C6A" w:rsidRPr="00EF0619">
        <w:rPr>
          <w:szCs w:val="24"/>
        </w:rPr>
        <w:t>mic Energy Community (COM(2018)</w:t>
      </w:r>
      <w:r w:rsidRPr="00EF0619">
        <w:rPr>
          <w:szCs w:val="24"/>
        </w:rPr>
        <w:t>834).</w:t>
      </w:r>
    </w:p>
    <w:p w14:paraId="1E67E54F" w14:textId="0068623E" w:rsidR="00C75CB8" w:rsidRPr="00EF0619" w:rsidRDefault="00C22177" w:rsidP="005B3331">
      <w:pPr>
        <w:rPr>
          <w:szCs w:val="24"/>
        </w:rPr>
      </w:pPr>
      <w:r w:rsidRPr="00EF0619">
        <w:rPr>
          <w:szCs w:val="24"/>
        </w:rPr>
        <w:t xml:space="preserve">On 11 January 2019, the Council </w:t>
      </w:r>
      <w:r w:rsidR="005B3331" w:rsidRPr="00EF0619">
        <w:rPr>
          <w:szCs w:val="24"/>
        </w:rPr>
        <w:t xml:space="preserve">adopted </w:t>
      </w:r>
      <w:r w:rsidR="005B3331" w:rsidRPr="00EF0619">
        <w:t xml:space="preserve">Decision (EU) 2019/274 </w:t>
      </w:r>
      <w:r w:rsidRPr="00EF0619">
        <w:rPr>
          <w:szCs w:val="24"/>
        </w:rPr>
        <w:t>authoris</w:t>
      </w:r>
      <w:r w:rsidR="005B3331" w:rsidRPr="00EF0619">
        <w:rPr>
          <w:szCs w:val="24"/>
        </w:rPr>
        <w:t>ing</w:t>
      </w:r>
      <w:r w:rsidRPr="00EF0619">
        <w:rPr>
          <w:szCs w:val="24"/>
        </w:rPr>
        <w:t xml:space="preserve"> the signature of the Withdrawal Agreement</w:t>
      </w:r>
      <w:r w:rsidRPr="00EF0619">
        <w:rPr>
          <w:rStyle w:val="FootnoteReference"/>
          <w:szCs w:val="24"/>
        </w:rPr>
        <w:footnoteReference w:id="1"/>
      </w:r>
      <w:r w:rsidRPr="00EF0619">
        <w:rPr>
          <w:szCs w:val="24"/>
        </w:rPr>
        <w:t xml:space="preserve"> and transmitted the draft Council Decision on the conclusion of the Withdrawal Agreement to the European Parliament for its consent.</w:t>
      </w:r>
      <w:r w:rsidR="005B3331" w:rsidRPr="00EF0619">
        <w:rPr>
          <w:szCs w:val="24"/>
        </w:rPr>
        <w:t xml:space="preserve"> </w:t>
      </w:r>
    </w:p>
    <w:p w14:paraId="54A4D9FE" w14:textId="3AE5F150" w:rsidR="005B3331" w:rsidRPr="00EF0619" w:rsidRDefault="005B3331" w:rsidP="005B3331">
      <w:pPr>
        <w:rPr>
          <w:szCs w:val="24"/>
        </w:rPr>
      </w:pPr>
      <w:r w:rsidRPr="00EF0619">
        <w:rPr>
          <w:szCs w:val="24"/>
        </w:rPr>
        <w:t xml:space="preserve">The Withdrawal Agreement attached to </w:t>
      </w:r>
      <w:r w:rsidRPr="00EF0619">
        <w:t>Decision (EU) 2019/274</w:t>
      </w:r>
      <w:r w:rsidR="0075021A" w:rsidRPr="00EF0619">
        <w:t xml:space="preserve">, </w:t>
      </w:r>
      <w:r w:rsidRPr="00EF0619">
        <w:rPr>
          <w:szCs w:val="24"/>
        </w:rPr>
        <w:t>published in the Official Journal C 66I on 19 February 2019</w:t>
      </w:r>
      <w:r w:rsidR="0075021A" w:rsidRPr="00EF0619">
        <w:rPr>
          <w:szCs w:val="24"/>
        </w:rPr>
        <w:t>, provides</w:t>
      </w:r>
      <w:r w:rsidR="00C75CB8" w:rsidRPr="00EF0619">
        <w:rPr>
          <w:szCs w:val="24"/>
        </w:rPr>
        <w:t xml:space="preserve"> </w:t>
      </w:r>
      <w:r w:rsidR="00472102" w:rsidRPr="00EF0619">
        <w:rPr>
          <w:szCs w:val="24"/>
        </w:rPr>
        <w:t>30 March 2019 as</w:t>
      </w:r>
      <w:r w:rsidR="00C75CB8" w:rsidRPr="00EF0619">
        <w:rPr>
          <w:szCs w:val="24"/>
        </w:rPr>
        <w:t xml:space="preserve"> date of entry into force</w:t>
      </w:r>
      <w:r w:rsidR="00472102" w:rsidRPr="00EF0619">
        <w:rPr>
          <w:szCs w:val="24"/>
        </w:rPr>
        <w:t xml:space="preserve"> of the agreement.</w:t>
      </w:r>
      <w:r w:rsidR="00C75CB8" w:rsidRPr="00EF0619">
        <w:rPr>
          <w:szCs w:val="24"/>
        </w:rPr>
        <w:t xml:space="preserve"> </w:t>
      </w:r>
    </w:p>
    <w:p w14:paraId="50786A16" w14:textId="71D55915" w:rsidR="00B72599" w:rsidRPr="00EF0619" w:rsidRDefault="00B72599" w:rsidP="00DB629F">
      <w:r w:rsidRPr="00EF0619">
        <w:rPr>
          <w:lang w:val="en-US"/>
        </w:rPr>
        <w:t xml:space="preserve">However, the </w:t>
      </w:r>
      <w:r w:rsidR="00DB4F24" w:rsidRPr="00EF0619">
        <w:rPr>
          <w:lang w:val="en-US"/>
        </w:rPr>
        <w:t xml:space="preserve">Government of the </w:t>
      </w:r>
      <w:r w:rsidRPr="00EF0619">
        <w:rPr>
          <w:lang w:val="en-US"/>
        </w:rPr>
        <w:t>United Kingdom did not obtain the necessary support from</w:t>
      </w:r>
      <w:r w:rsidRPr="00EF0619">
        <w:t xml:space="preserve"> its</w:t>
      </w:r>
      <w:r w:rsidRPr="00EF0619">
        <w:rPr>
          <w:lang w:val="en-US"/>
        </w:rPr>
        <w:t xml:space="preserve"> Parliament to proceed </w:t>
      </w:r>
      <w:r w:rsidRPr="00EF0619">
        <w:t xml:space="preserve">with </w:t>
      </w:r>
      <w:r w:rsidRPr="00EF0619">
        <w:rPr>
          <w:lang w:val="en-US"/>
        </w:rPr>
        <w:t xml:space="preserve">the signature and ratification of the Withdrawal Agreement. Additional reassurances for the United Kingdom were provided in an exchange of letters between Presidents Tusk and Juncker and Prime Minister May on 14 January 2019. </w:t>
      </w:r>
    </w:p>
    <w:p w14:paraId="368ABACA" w14:textId="06D76C89" w:rsidR="00B72599" w:rsidRPr="00EF0619" w:rsidRDefault="00B72599" w:rsidP="008813A6">
      <w:pPr>
        <w:rPr>
          <w:szCs w:val="24"/>
          <w:lang w:val="en-US"/>
        </w:rPr>
      </w:pPr>
      <w:r w:rsidRPr="00EF0619">
        <w:rPr>
          <w:szCs w:val="24"/>
          <w:lang w:val="en-US"/>
        </w:rPr>
        <w:t>Following the meeting between President Juncker and Prime Minister May of 20 February 2019, discussions resumed and intensified on three strands: possible guarantees with regard to the backstop that underline once again its temporary nature and give the appropriate legal assurance to both sides; the process the European Commission and the United Kingdom will follow when working in detail on the role alternative arrangements could play in replacing the backstop in</w:t>
      </w:r>
      <w:r w:rsidR="00A33832" w:rsidRPr="00EF0619">
        <w:rPr>
          <w:szCs w:val="24"/>
          <w:lang w:val="en-US"/>
        </w:rPr>
        <w:t xml:space="preserve"> the</w:t>
      </w:r>
      <w:r w:rsidRPr="00EF0619">
        <w:rPr>
          <w:szCs w:val="24"/>
          <w:lang w:val="en-US"/>
        </w:rPr>
        <w:t xml:space="preserve"> future; and whether additions or changes to the Political Declaration could be made. Discussions between the Commission and United Kingdom negotiators continued between 21 February and 10 March 2019. On 11 March 2019, they resulted in an agreement between Prime Minister May and the President of the European Commission Juncker on the Instrument relating to the Withdrawal Agreement and the Joint Statement supplementing the Political Declaration. On 21 March 2019, the European Council approved those two texts.</w:t>
      </w:r>
    </w:p>
    <w:p w14:paraId="62D81D79" w14:textId="717BC86D" w:rsidR="0075021A" w:rsidRPr="00EF0619" w:rsidRDefault="00C22177" w:rsidP="00AD0A82">
      <w:r w:rsidRPr="00EF0619">
        <w:t>On</w:t>
      </w:r>
      <w:r w:rsidR="0075021A" w:rsidRPr="00EF0619">
        <w:t xml:space="preserve"> 20 March 2019, </w:t>
      </w:r>
      <w:r w:rsidRPr="00EF0619">
        <w:t xml:space="preserve">the United Kingdom submitted a request to the European Council for an extension of the period </w:t>
      </w:r>
      <w:r w:rsidR="0075021A" w:rsidRPr="00EF0619">
        <w:t>provided for</w:t>
      </w:r>
      <w:r w:rsidRPr="00EF0619">
        <w:t xml:space="preserve"> in Article 50(3) of the Treaty on European Union. The European Council </w:t>
      </w:r>
      <w:r w:rsidR="008D68E3" w:rsidRPr="00EF0619">
        <w:t xml:space="preserve">in agreement with the United Kingdom </w:t>
      </w:r>
      <w:r w:rsidRPr="00EF0619">
        <w:t xml:space="preserve">decided to </w:t>
      </w:r>
      <w:r w:rsidR="0075021A" w:rsidRPr="00EF0619">
        <w:t>extend that period until 22 May 2019, provided the House of Commons approved the Withdrawal Agreement</w:t>
      </w:r>
      <w:r w:rsidR="0075021A" w:rsidRPr="00EF0619">
        <w:rPr>
          <w:rStyle w:val="FootnoteReference"/>
        </w:rPr>
        <w:footnoteReference w:id="2"/>
      </w:r>
      <w:r w:rsidR="0075021A" w:rsidRPr="00EF0619">
        <w:t xml:space="preserve">. On </w:t>
      </w:r>
      <w:r w:rsidR="002E3596" w:rsidRPr="00EF0619">
        <w:t xml:space="preserve">5 April </w:t>
      </w:r>
      <w:r w:rsidR="0075021A" w:rsidRPr="00EF0619">
        <w:t xml:space="preserve">2019, </w:t>
      </w:r>
      <w:r w:rsidR="002E3596" w:rsidRPr="00EF0619">
        <w:t xml:space="preserve">the United Kingdom submitted another request to the European Council for an extension of the period provided for in Article 50(3) of the Treaty on European Union. On </w:t>
      </w:r>
      <w:r w:rsidR="00B23250" w:rsidRPr="00EF0619">
        <w:t>11 April 2019</w:t>
      </w:r>
      <w:r w:rsidR="002E3596" w:rsidRPr="00EF0619">
        <w:t>, the European Council</w:t>
      </w:r>
      <w:r w:rsidR="00465BFA" w:rsidRPr="00EF0619">
        <w:t>,</w:t>
      </w:r>
      <w:r w:rsidR="002E3596" w:rsidRPr="00EF0619">
        <w:t xml:space="preserve"> in agreement with the United Kingdom</w:t>
      </w:r>
      <w:r w:rsidR="00465BFA" w:rsidRPr="00EF0619">
        <w:t>,</w:t>
      </w:r>
      <w:r w:rsidR="002E3596" w:rsidRPr="00EF0619">
        <w:t xml:space="preserve"> decided to </w:t>
      </w:r>
      <w:r w:rsidR="00B23250" w:rsidRPr="00EF0619">
        <w:t xml:space="preserve">further </w:t>
      </w:r>
      <w:r w:rsidR="002E3596" w:rsidRPr="00EF0619">
        <w:t xml:space="preserve">extend that period until </w:t>
      </w:r>
      <w:r w:rsidR="00B23250" w:rsidRPr="00EF0619">
        <w:rPr>
          <w:szCs w:val="24"/>
        </w:rPr>
        <w:t xml:space="preserve">31 October 2019. </w:t>
      </w:r>
      <w:r w:rsidR="00153AF0" w:rsidRPr="00EF0619">
        <w:rPr>
          <w:szCs w:val="24"/>
        </w:rPr>
        <w:t>The European Council recalled that, under Article 50(3) TEU, the Withdrawal Agreement may enter into force on an earlier date, should the Parties complete their respective ratification procedures before 31 October 2019. Consequently, the withdrawal should take place on the first day of the month following the completion of the ratification procedures or on 1 November 2019, wh</w:t>
      </w:r>
      <w:r w:rsidR="00AD0A82" w:rsidRPr="00EF0619">
        <w:rPr>
          <w:szCs w:val="24"/>
        </w:rPr>
        <w:t>ichever</w:t>
      </w:r>
      <w:r w:rsidR="00153AF0" w:rsidRPr="00EF0619">
        <w:rPr>
          <w:szCs w:val="24"/>
        </w:rPr>
        <w:t xml:space="preserve"> is the earliest. Furthermore, a</w:t>
      </w:r>
      <w:r w:rsidR="00B23250" w:rsidRPr="00EF0619">
        <w:rPr>
          <w:szCs w:val="24"/>
        </w:rPr>
        <w:t xml:space="preserve">s indicated in its Article 2, second paragraph, the Decision will cease to apply on 31 May 2019 in the event that the United Kingdom has not held elections to the European Parliament in accordance with applicable Union law and has not ratified the Withdrawal Agreement by 22 May 2019.  </w:t>
      </w:r>
    </w:p>
    <w:p w14:paraId="2A04FA05" w14:textId="4CB090E5" w:rsidR="00880DEA" w:rsidRPr="00EF0619" w:rsidRDefault="0075021A" w:rsidP="008813A6">
      <w:r w:rsidRPr="00EF0619">
        <w:t>As a consequence, the date of entry into force of the Withdrawal Agreement has to be brought in line with</w:t>
      </w:r>
      <w:r w:rsidR="008C70F3">
        <w:t xml:space="preserve"> the</w:t>
      </w:r>
      <w:r w:rsidRPr="00EF0619">
        <w:t xml:space="preserve"> </w:t>
      </w:r>
      <w:r w:rsidR="00880DEA" w:rsidRPr="00EF0619">
        <w:t xml:space="preserve">European Council </w:t>
      </w:r>
      <w:r w:rsidR="00B23250" w:rsidRPr="00EF0619">
        <w:t>Decision referred above</w:t>
      </w:r>
      <w:r w:rsidR="004C2554" w:rsidRPr="00EF0619">
        <w:t>.</w:t>
      </w:r>
      <w:r w:rsidR="00880DEA" w:rsidRPr="00EF0619">
        <w:t xml:space="preserve"> </w:t>
      </w:r>
      <w:r w:rsidR="006B68FE" w:rsidRPr="00EF0619">
        <w:t xml:space="preserve">In agreement with </w:t>
      </w:r>
      <w:r w:rsidR="00CF7538" w:rsidRPr="00EF0619">
        <w:t xml:space="preserve">the </w:t>
      </w:r>
      <w:r w:rsidR="006B68FE" w:rsidRPr="00EF0619">
        <w:t>United Kingdom, t</w:t>
      </w:r>
      <w:r w:rsidR="00C22177" w:rsidRPr="00EF0619">
        <w:t xml:space="preserve">he Withdrawal Agreement </w:t>
      </w:r>
      <w:r w:rsidR="006B68FE" w:rsidRPr="00EF0619">
        <w:t>was</w:t>
      </w:r>
      <w:r w:rsidR="00C22177" w:rsidRPr="00EF0619">
        <w:t xml:space="preserve"> </w:t>
      </w:r>
      <w:r w:rsidR="009D423A" w:rsidRPr="00EF0619">
        <w:t xml:space="preserve">adapted </w:t>
      </w:r>
      <w:r w:rsidR="00C86CBE" w:rsidRPr="00EF0619">
        <w:t>in</w:t>
      </w:r>
      <w:r w:rsidR="00880DEA" w:rsidRPr="00EF0619">
        <w:t xml:space="preserve"> three</w:t>
      </w:r>
      <w:r w:rsidR="007E5146" w:rsidRPr="00EF0619">
        <w:t xml:space="preserve"> instances</w:t>
      </w:r>
      <w:r w:rsidR="00E23848" w:rsidRPr="00EF0619">
        <w:t xml:space="preserve"> as follows</w:t>
      </w:r>
      <w:r w:rsidR="00880DEA" w:rsidRPr="00EF0619">
        <w:t>:</w:t>
      </w:r>
    </w:p>
    <w:p w14:paraId="1893B3C2" w14:textId="1B42FA49" w:rsidR="009D423A" w:rsidRPr="00EF0619" w:rsidRDefault="00880DEA" w:rsidP="00A25DCD">
      <w:pPr>
        <w:spacing w:before="0" w:after="0"/>
      </w:pPr>
      <w:r w:rsidRPr="00EF0619">
        <w:t>-  </w:t>
      </w:r>
      <w:r w:rsidR="009D423A" w:rsidRPr="00EF0619">
        <w:t xml:space="preserve">in the last recital, the </w:t>
      </w:r>
      <w:r w:rsidR="00AE1A65" w:rsidRPr="00EF0619">
        <w:t xml:space="preserve">words “after </w:t>
      </w:r>
      <w:r w:rsidR="009D423A" w:rsidRPr="00EF0619">
        <w:t>29 March 2019</w:t>
      </w:r>
      <w:r w:rsidR="00AE1A65" w:rsidRPr="00EF0619">
        <w:t>”</w:t>
      </w:r>
      <w:r w:rsidR="009D423A" w:rsidRPr="00EF0619">
        <w:t xml:space="preserve"> </w:t>
      </w:r>
      <w:r w:rsidR="00DB4F24" w:rsidRPr="00EF0619">
        <w:t>were</w:t>
      </w:r>
      <w:r w:rsidR="009D423A" w:rsidRPr="00EF0619">
        <w:t xml:space="preserve"> replaced by “</w:t>
      </w:r>
      <w:r w:rsidR="00AE1A65" w:rsidRPr="00EF0619">
        <w:t xml:space="preserve">from </w:t>
      </w:r>
      <w:r w:rsidR="009D423A" w:rsidRPr="00EF0619">
        <w:t xml:space="preserve">the </w:t>
      </w:r>
      <w:r w:rsidR="00B70AF3" w:rsidRPr="00EF0619">
        <w:t>date of entry into force of this Agreement</w:t>
      </w:r>
      <w:r w:rsidR="009D423A" w:rsidRPr="00EF0619">
        <w:t>”;</w:t>
      </w:r>
    </w:p>
    <w:p w14:paraId="61BAF019" w14:textId="71C59153" w:rsidR="002E3596" w:rsidRPr="00EF0619" w:rsidRDefault="00880DEA" w:rsidP="002E3596">
      <w:pPr>
        <w:spacing w:before="0" w:after="0"/>
      </w:pPr>
      <w:r w:rsidRPr="00EF0619">
        <w:t>-  </w:t>
      </w:r>
      <w:r w:rsidR="009D423A" w:rsidRPr="00EF0619">
        <w:t xml:space="preserve">in Article 185, the </w:t>
      </w:r>
      <w:r w:rsidR="00C3376E" w:rsidRPr="00EF0619">
        <w:t>first paragraph</w:t>
      </w:r>
      <w:r w:rsidR="009D423A" w:rsidRPr="00EF0619">
        <w:t xml:space="preserve"> was replaced by “</w:t>
      </w:r>
      <w:r w:rsidR="001E0F16" w:rsidRPr="00EF0619">
        <w:t xml:space="preserve">This Agreement shall enter into force </w:t>
      </w:r>
      <w:r w:rsidR="002E3596" w:rsidRPr="00EF0619">
        <w:t>on one of the following dates, whichever is the earliest:</w:t>
      </w:r>
    </w:p>
    <w:p w14:paraId="5B99D25C" w14:textId="18276FB0" w:rsidR="002E3596" w:rsidRPr="00EF0619" w:rsidRDefault="007955CC" w:rsidP="002E2535">
      <w:pPr>
        <w:pStyle w:val="Point1letter"/>
        <w:numPr>
          <w:ilvl w:val="3"/>
          <w:numId w:val="17"/>
        </w:numPr>
      </w:pPr>
      <w:r w:rsidRPr="00EF0619">
        <w:tab/>
      </w:r>
      <w:r w:rsidR="002E3596" w:rsidRPr="00EF0619">
        <w:t>the day following the end of the period provided for in Article 50(3) TEU</w:t>
      </w:r>
      <w:r w:rsidRPr="00EF0619">
        <w:t>,</w:t>
      </w:r>
      <w:r w:rsidR="002E3596" w:rsidRPr="00EF0619">
        <w:t xml:space="preserve"> as extended by the European Council in agreement with the United Kingdom, provided that, prior to that date, the depositary of this Agreement has received the written notifications by the Union and the United Kingdom on the completion of the necessary internal procedures</w:t>
      </w:r>
      <w:r w:rsidR="003B1F54" w:rsidRPr="00EF0619">
        <w:t>;</w:t>
      </w:r>
    </w:p>
    <w:p w14:paraId="6BC9343B" w14:textId="0FDFD9EF" w:rsidR="00FC224F" w:rsidRPr="00EF0619" w:rsidRDefault="002E3596" w:rsidP="00DB629F">
      <w:pPr>
        <w:pStyle w:val="Point1letter"/>
      </w:pPr>
      <w:r w:rsidRPr="00EF0619">
        <w:t xml:space="preserve">the first day of the month following the receipt by the depositary of this Agreement of the last of the written notifications referred to in point (a). </w:t>
      </w:r>
    </w:p>
    <w:p w14:paraId="2E605C24" w14:textId="64B37505" w:rsidR="009D423A" w:rsidRPr="00EF0619" w:rsidRDefault="00FC224F" w:rsidP="004C2554">
      <w:pPr>
        <w:spacing w:before="100" w:beforeAutospacing="1" w:after="100" w:afterAutospacing="1"/>
        <w:rPr>
          <w:szCs w:val="24"/>
        </w:rPr>
      </w:pPr>
      <w:r w:rsidRPr="00EF0619">
        <w:rPr>
          <w:szCs w:val="24"/>
        </w:rPr>
        <w:t>In the event that, prior to the end of the period provided for in Article 50(3) TEU, as extended by the European Council in agreement with the United Kingdom, the depositary of this Agreement has not received the written notifications referred to in point (a), this Agreement shall not enter into force.</w:t>
      </w:r>
      <w:r w:rsidR="009D423A" w:rsidRPr="00EF0619">
        <w:rPr>
          <w:szCs w:val="24"/>
        </w:rPr>
        <w:t>”;</w:t>
      </w:r>
    </w:p>
    <w:p w14:paraId="090341CD" w14:textId="4569ADA6" w:rsidR="006720AB" w:rsidRPr="00EF0619" w:rsidRDefault="00880DEA" w:rsidP="008813A6">
      <w:pPr>
        <w:spacing w:before="0" w:after="0"/>
      </w:pPr>
      <w:r w:rsidRPr="00EF0619">
        <w:t>-  in Article 2 of the Protocol of Gibraltar</w:t>
      </w:r>
      <w:r w:rsidR="006720AB" w:rsidRPr="00EF0619">
        <w:t xml:space="preserve">, the date of 30 March 2019 </w:t>
      </w:r>
      <w:r w:rsidR="009D423A" w:rsidRPr="00EF0619">
        <w:t>was replaced by</w:t>
      </w:r>
      <w:r w:rsidR="006720AB" w:rsidRPr="00EF0619">
        <w:t xml:space="preserve"> </w:t>
      </w:r>
      <w:r w:rsidR="009D423A" w:rsidRPr="00EF0619">
        <w:t>“the date of entry into force of th</w:t>
      </w:r>
      <w:r w:rsidR="00DB4F24" w:rsidRPr="00EF0619">
        <w:t>e</w:t>
      </w:r>
      <w:r w:rsidR="009D423A" w:rsidRPr="00EF0619">
        <w:t xml:space="preserve"> </w:t>
      </w:r>
      <w:r w:rsidR="00DB4F24" w:rsidRPr="00EF0619">
        <w:t xml:space="preserve">Withdrawal </w:t>
      </w:r>
      <w:r w:rsidR="009D423A" w:rsidRPr="00EF0619">
        <w:t>Agreement”</w:t>
      </w:r>
      <w:r w:rsidR="006720AB" w:rsidRPr="00EF0619">
        <w:t>.</w:t>
      </w:r>
    </w:p>
    <w:p w14:paraId="721AFC36" w14:textId="7BAA3539" w:rsidR="00C22177" w:rsidRPr="00EF0619" w:rsidRDefault="006720AB" w:rsidP="00A33832">
      <w:r w:rsidRPr="00EF0619">
        <w:t>Therefore, Decision (EU) 2019/274 needs to be amended</w:t>
      </w:r>
      <w:r w:rsidR="009D423A" w:rsidRPr="00EF0619">
        <w:t xml:space="preserve"> to replace the text of the Withdrawal Agreement at</w:t>
      </w:r>
      <w:r w:rsidR="001161C4" w:rsidRPr="00EF0619">
        <w:t xml:space="preserve">tached to that Decision with the adapted text reflecting the three modifications described above. </w:t>
      </w:r>
      <w:r w:rsidRPr="00EF0619">
        <w:t xml:space="preserve">As a consequence, the </w:t>
      </w:r>
      <w:r w:rsidR="00A25DCD" w:rsidRPr="00EF0619">
        <w:t xml:space="preserve">Commission </w:t>
      </w:r>
      <w:r w:rsidRPr="00EF0619">
        <w:t>proposal</w:t>
      </w:r>
      <w:r w:rsidR="00A25DCD" w:rsidRPr="00EF0619">
        <w:t xml:space="preserve"> for</w:t>
      </w:r>
      <w:r w:rsidRPr="00EF0619">
        <w:t xml:space="preserve"> a Council Decision </w:t>
      </w:r>
      <w:r w:rsidRPr="00EF0619">
        <w:rPr>
          <w:szCs w:val="24"/>
        </w:rPr>
        <w:t>on the conclusion of the Withdrawal Agreement (COM(2018) 834</w:t>
      </w:r>
      <w:r w:rsidR="00A25DCD" w:rsidRPr="00EF0619">
        <w:rPr>
          <w:szCs w:val="24"/>
        </w:rPr>
        <w:t xml:space="preserve">) </w:t>
      </w:r>
      <w:r w:rsidR="00A25DCD" w:rsidRPr="00EF0619">
        <w:t xml:space="preserve">is to be understood as to refer to the Withdrawal Agreement as </w:t>
      </w:r>
      <w:r w:rsidR="001161C4" w:rsidRPr="00EF0619">
        <w:t>adapted following</w:t>
      </w:r>
      <w:r w:rsidR="00EF0619">
        <w:t xml:space="preserve"> the</w:t>
      </w:r>
      <w:r w:rsidR="001161C4" w:rsidRPr="00EF0619">
        <w:t xml:space="preserve"> </w:t>
      </w:r>
      <w:r w:rsidR="00A33832" w:rsidRPr="00EF0619">
        <w:t xml:space="preserve">European Council </w:t>
      </w:r>
      <w:r w:rsidR="00A25DCD" w:rsidRPr="00EF0619">
        <w:t xml:space="preserve">Decision </w:t>
      </w:r>
      <w:r w:rsidR="00DB4F24" w:rsidRPr="00EF0619">
        <w:t xml:space="preserve">(EU) </w:t>
      </w:r>
      <w:r w:rsidR="00B23250" w:rsidRPr="00EF0619">
        <w:t>of 11 April 2019</w:t>
      </w:r>
      <w:r w:rsidR="00A25DCD" w:rsidRPr="00EF0619">
        <w:t>.</w:t>
      </w:r>
    </w:p>
    <w:p w14:paraId="351DC91D" w14:textId="77777777" w:rsidR="00541232" w:rsidRPr="00EF0619" w:rsidRDefault="00541232" w:rsidP="00854BA0">
      <w:pPr>
        <w:rPr>
          <w:szCs w:val="24"/>
        </w:rPr>
        <w:sectPr w:rsidR="00541232" w:rsidRPr="00EF0619" w:rsidSect="00977AC9">
          <w:footerReference w:type="default" r:id="rId15"/>
          <w:footerReference w:type="first" r:id="rId16"/>
          <w:pgSz w:w="11907" w:h="16839"/>
          <w:pgMar w:top="1134" w:right="1417" w:bottom="1134" w:left="1417" w:header="709" w:footer="709" w:gutter="0"/>
          <w:cols w:space="708"/>
          <w:docGrid w:linePitch="360"/>
        </w:sectPr>
      </w:pPr>
    </w:p>
    <w:p w14:paraId="14BBABDC" w14:textId="01F181DF" w:rsidR="00977AC9" w:rsidRDefault="00977AC9" w:rsidP="00977AC9">
      <w:pPr>
        <w:pStyle w:val="Rfrenceinterinstitutionnelle"/>
      </w:pPr>
      <w:r w:rsidRPr="00977AC9">
        <w:t>2019/0097 (NLE)</w:t>
      </w:r>
    </w:p>
    <w:p w14:paraId="52B925FD" w14:textId="5AA6F806" w:rsidR="00541232" w:rsidRPr="00EF0619" w:rsidRDefault="00977AC9" w:rsidP="00977AC9">
      <w:pPr>
        <w:pStyle w:val="Statut"/>
      </w:pPr>
      <w:r w:rsidRPr="00977AC9">
        <w:t>Proposal for a</w:t>
      </w:r>
    </w:p>
    <w:p w14:paraId="23F34D8D" w14:textId="5F29F1C7" w:rsidR="00541232" w:rsidRPr="00EF0619" w:rsidRDefault="00977AC9" w:rsidP="00977AC9">
      <w:pPr>
        <w:pStyle w:val="Typedudocument"/>
      </w:pPr>
      <w:r w:rsidRPr="00977AC9">
        <w:t>COUNCIL DECISION</w:t>
      </w:r>
    </w:p>
    <w:p w14:paraId="47F2F09D" w14:textId="58106FDA" w:rsidR="00541232" w:rsidRPr="00EF0619" w:rsidRDefault="00977AC9" w:rsidP="00977AC9">
      <w:pPr>
        <w:pStyle w:val="Titreobjet"/>
      </w:pPr>
      <w:r w:rsidRPr="00977AC9">
        <w:t>amending Decision (EU) 2019/274 on the signing, on behalf of the European Union and of the European Atomic Energy Community, of the Agreement on the withdrawal of the United Kingdom of Great Britain and Northern Ireland from the European Union and the European Atomic Energy Community</w:t>
      </w:r>
    </w:p>
    <w:p w14:paraId="4E05A16F" w14:textId="655E8AFE" w:rsidR="00622A13" w:rsidRPr="00EF0619" w:rsidRDefault="00977AC9" w:rsidP="00977AC9">
      <w:pPr>
        <w:pStyle w:val="IntrtEEE"/>
        <w:rPr>
          <w:noProof/>
        </w:rPr>
      </w:pPr>
      <w:r w:rsidRPr="00977AC9">
        <w:t>(Text with EEA relevance)</w:t>
      </w:r>
    </w:p>
    <w:p w14:paraId="490EF677" w14:textId="77777777" w:rsidR="00646E3E" w:rsidRPr="00EF0619" w:rsidRDefault="00646E3E" w:rsidP="00646E3E">
      <w:pPr>
        <w:pStyle w:val="Institutionquiagit"/>
      </w:pPr>
      <w:r w:rsidRPr="00EF0619">
        <w:t>THE COUNCIL OF THE EUROPEAN UNION,</w:t>
      </w:r>
    </w:p>
    <w:p w14:paraId="5E121695" w14:textId="1D4746C2" w:rsidR="00646E3E" w:rsidRPr="00EF0619" w:rsidRDefault="00646E3E" w:rsidP="00646E3E">
      <w:r w:rsidRPr="00EF0619">
        <w:t>Having regard to the Treaty on European Union, and in particular Article 50 thereof,</w:t>
      </w:r>
    </w:p>
    <w:p w14:paraId="76F94CC9" w14:textId="77777777" w:rsidR="00646E3E" w:rsidRPr="00EF0619" w:rsidRDefault="00646E3E" w:rsidP="00646E3E">
      <w:r w:rsidRPr="00EF0619">
        <w:t>Having regard to the proposal from the European Commission,</w:t>
      </w:r>
    </w:p>
    <w:p w14:paraId="5503A21F" w14:textId="03331B9B" w:rsidR="00646E3E" w:rsidRPr="00EF0619" w:rsidRDefault="00646E3E" w:rsidP="00646E3E">
      <w:r w:rsidRPr="00EF0619">
        <w:t>Whereas:</w:t>
      </w:r>
    </w:p>
    <w:p w14:paraId="076F56B5" w14:textId="76635E93" w:rsidR="00646E3E" w:rsidRPr="00EF0619" w:rsidRDefault="00646E3E" w:rsidP="002E2535">
      <w:pPr>
        <w:pStyle w:val="Considrant"/>
        <w:numPr>
          <w:ilvl w:val="0"/>
          <w:numId w:val="18"/>
        </w:numPr>
      </w:pPr>
      <w:r w:rsidRPr="00EF0619">
        <w:t xml:space="preserve">On 29 March 2017, the United Kingdom notified the European Council of its intention to withdraw from the European Union and the European Atomic Energy Community ('Euratom') in accordance with Article 50 </w:t>
      </w:r>
      <w:r w:rsidR="00D147B9" w:rsidRPr="00EF0619">
        <w:t>of the Treaty on European Union (‘</w:t>
      </w:r>
      <w:r w:rsidRPr="00EF0619">
        <w:t>TEU</w:t>
      </w:r>
      <w:r w:rsidR="00D147B9" w:rsidRPr="00EF0619">
        <w:t>’)</w:t>
      </w:r>
      <w:r w:rsidRPr="00EF0619">
        <w:t>, which applies to Euratom by virtue of Article 106a of the Treaty establishing the European Atomic Energy Community.</w:t>
      </w:r>
    </w:p>
    <w:p w14:paraId="048FBF42" w14:textId="533DE81D" w:rsidR="00C718CD" w:rsidRPr="00EF0619" w:rsidRDefault="00C718CD" w:rsidP="00C718CD">
      <w:pPr>
        <w:pStyle w:val="Considrant"/>
      </w:pPr>
      <w:r w:rsidRPr="00EF0619">
        <w:t xml:space="preserve">In accordance with </w:t>
      </w:r>
      <w:r w:rsidR="00D147B9" w:rsidRPr="00EF0619">
        <w:t>Article 50 TEU</w:t>
      </w:r>
      <w:r w:rsidRPr="00EF0619">
        <w:t>, the European Union negotiated with the United Kingdom an agreement setting out the arrangements for its withdrawal, taking account of the framework for its future relationship with the Union</w:t>
      </w:r>
      <w:r w:rsidR="003272E3" w:rsidRPr="00EF0619">
        <w:t xml:space="preserve"> (‘Withdrawal Agreement’)</w:t>
      </w:r>
      <w:r w:rsidRPr="00EF0619">
        <w:t xml:space="preserve">. </w:t>
      </w:r>
    </w:p>
    <w:p w14:paraId="38D39343" w14:textId="05935293" w:rsidR="00E13393" w:rsidRPr="00EF0619" w:rsidRDefault="003D0DA0">
      <w:pPr>
        <w:pStyle w:val="Considrant"/>
      </w:pPr>
      <w:r w:rsidRPr="00EF0619">
        <w:t>On 11 January 2019, the Council adopted Decision (EU) 2019/274</w:t>
      </w:r>
      <w:r w:rsidR="00EA01D3" w:rsidRPr="00EF0619">
        <w:rPr>
          <w:rStyle w:val="FootnoteReference"/>
        </w:rPr>
        <w:footnoteReference w:id="3"/>
      </w:r>
      <w:r w:rsidRPr="00EF0619">
        <w:t xml:space="preserve"> </w:t>
      </w:r>
      <w:r w:rsidR="00A25DCD" w:rsidRPr="00EF0619">
        <w:t>on the signing</w:t>
      </w:r>
      <w:r w:rsidR="003272E3" w:rsidRPr="00EF0619">
        <w:t xml:space="preserve"> of the Withdrawal Agreement</w:t>
      </w:r>
      <w:r w:rsidR="00BF59AB" w:rsidRPr="00EF0619">
        <w:rPr>
          <w:rStyle w:val="FootnoteReference"/>
        </w:rPr>
        <w:footnoteReference w:id="4"/>
      </w:r>
      <w:r w:rsidR="00A25DCD" w:rsidRPr="00EF0619">
        <w:t xml:space="preserve">. </w:t>
      </w:r>
    </w:p>
    <w:p w14:paraId="131C3BAE" w14:textId="3C6FD4C4" w:rsidR="00E13393" w:rsidRPr="00EF0619" w:rsidRDefault="00B70AF3" w:rsidP="00E13393">
      <w:pPr>
        <w:pStyle w:val="Considrant"/>
      </w:pPr>
      <w:r w:rsidRPr="00EF0619">
        <w:t xml:space="preserve">On 21 March 2019, the European Council approved </w:t>
      </w:r>
      <w:r w:rsidR="00E13393" w:rsidRPr="00EF0619">
        <w:t xml:space="preserve">the Instrument relating to the Withdrawal Agreement and the Joint Statement supplementing the Political Declaration, agreed between Prime Minister May and the President of the European Commission Juncker </w:t>
      </w:r>
      <w:r w:rsidRPr="00EF0619">
        <w:t xml:space="preserve">on 11 March 2019. </w:t>
      </w:r>
    </w:p>
    <w:p w14:paraId="5F0153AD" w14:textId="064D9607" w:rsidR="00B66830" w:rsidRPr="00EF0619" w:rsidRDefault="00825FE8" w:rsidP="00B66830">
      <w:pPr>
        <w:pStyle w:val="Considrant"/>
      </w:pPr>
      <w:r w:rsidRPr="00EF0619">
        <w:t xml:space="preserve">By Decision (EU) </w:t>
      </w:r>
      <w:r w:rsidR="003664FD" w:rsidRPr="00EF0619">
        <w:t>2019/476</w:t>
      </w:r>
      <w:r w:rsidRPr="00EF0619">
        <w:rPr>
          <w:rStyle w:val="FootnoteReference"/>
        </w:rPr>
        <w:footnoteReference w:id="5"/>
      </w:r>
      <w:r w:rsidR="006B68FE" w:rsidRPr="00EF0619">
        <w:t>, t</w:t>
      </w:r>
      <w:r w:rsidR="003D0DA0" w:rsidRPr="00EF0619">
        <w:t>he European Council</w:t>
      </w:r>
      <w:r w:rsidR="00AF7FF3">
        <w:t>,</w:t>
      </w:r>
      <w:r w:rsidR="003D0DA0" w:rsidRPr="00EF0619">
        <w:t xml:space="preserve"> </w:t>
      </w:r>
      <w:r w:rsidR="001161C4" w:rsidRPr="00EF0619">
        <w:t>in agreement with the United Kingdom</w:t>
      </w:r>
      <w:r w:rsidR="00AF7FF3">
        <w:t>,</w:t>
      </w:r>
      <w:r w:rsidR="001161C4" w:rsidRPr="00EF0619">
        <w:t xml:space="preserve"> </w:t>
      </w:r>
      <w:r w:rsidR="006B68FE" w:rsidRPr="00EF0619">
        <w:t xml:space="preserve">decided to extend the period </w:t>
      </w:r>
      <w:r w:rsidR="001161C4" w:rsidRPr="00EF0619">
        <w:t>under</w:t>
      </w:r>
      <w:r w:rsidR="006B68FE" w:rsidRPr="00EF0619">
        <w:t xml:space="preserve"> Article 50(3) TEU until 22 May 2019 </w:t>
      </w:r>
      <w:r w:rsidR="008A56D7" w:rsidRPr="00EF0619">
        <w:t xml:space="preserve">in the event that </w:t>
      </w:r>
      <w:r w:rsidR="006B68FE" w:rsidRPr="00EF0619">
        <w:t>the House of Commons approved the Withdrawal Agreement</w:t>
      </w:r>
      <w:r w:rsidR="00B66830" w:rsidRPr="00EF0619">
        <w:t xml:space="preserve"> by 29 March 2019, or, i</w:t>
      </w:r>
      <w:r w:rsidR="007811EF" w:rsidRPr="00EF0619">
        <w:t>f that were not to be the case, until 12 April 2019.</w:t>
      </w:r>
      <w:r w:rsidR="006B68FE" w:rsidRPr="00EF0619">
        <w:t xml:space="preserve"> </w:t>
      </w:r>
      <w:r w:rsidR="00B66830" w:rsidRPr="00EF0619">
        <w:t>The House of Commons did not approve the Withdrawal Agreement by 29 March 2019.</w:t>
      </w:r>
    </w:p>
    <w:p w14:paraId="106DF913" w14:textId="794F073F" w:rsidR="006B68FE" w:rsidRPr="00EF0619" w:rsidRDefault="006B68FE" w:rsidP="00AD0A82">
      <w:pPr>
        <w:pStyle w:val="Considrant"/>
      </w:pPr>
      <w:r w:rsidRPr="00EF0619">
        <w:t xml:space="preserve">On </w:t>
      </w:r>
      <w:r w:rsidR="00465BFA" w:rsidRPr="00EF0619">
        <w:t xml:space="preserve">5 April 2019, the United Kingdom submitted another request to the European Council for an extension of the period provided for in Article 50(3) </w:t>
      </w:r>
      <w:r w:rsidR="00AF7FF3">
        <w:t>TEU</w:t>
      </w:r>
      <w:r w:rsidR="00465BFA" w:rsidRPr="00EF0619">
        <w:t xml:space="preserve">. </w:t>
      </w:r>
      <w:r w:rsidR="00B23250" w:rsidRPr="00EF0619">
        <w:t xml:space="preserve">On 11 April 2019, </w:t>
      </w:r>
      <w:r w:rsidR="00BF5B95" w:rsidRPr="00EF0619">
        <w:t>by Decision (EU) 2019 …</w:t>
      </w:r>
      <w:bookmarkStart w:id="1" w:name="DQCErrorScopeA820EEDFE5304ADCB78CF6C8F2B"/>
      <w:commentRangeStart w:id="2"/>
      <w:r w:rsidR="00BF5B95" w:rsidRPr="00EF0619">
        <w:rPr>
          <w:rStyle w:val="FootnoteReference"/>
        </w:rPr>
        <w:footnoteReference w:id="6"/>
      </w:r>
      <w:bookmarkEnd w:id="1"/>
      <w:commentRangeEnd w:id="2"/>
      <w:r w:rsidR="00CA5A77">
        <w:rPr>
          <w:rStyle w:val="CommentReference"/>
        </w:rPr>
        <w:commentReference w:id="2"/>
      </w:r>
      <w:r w:rsidR="00BF5B95" w:rsidRPr="00EF0619">
        <w:rPr>
          <w:rStyle w:val="FootnoteReference"/>
        </w:rPr>
        <w:footnoteReference w:customMarkFollows="1" w:id="7"/>
        <w:t>+</w:t>
      </w:r>
      <w:r w:rsidR="00BF5B95" w:rsidRPr="00EF0619">
        <w:t xml:space="preserve"> </w:t>
      </w:r>
      <w:r w:rsidR="00B23250" w:rsidRPr="00EF0619">
        <w:t xml:space="preserve">the European Council, in agreement with the United Kingdom, decided to further extend that period until </w:t>
      </w:r>
      <w:r w:rsidR="00B23250" w:rsidRPr="00EF0619">
        <w:rPr>
          <w:szCs w:val="24"/>
        </w:rPr>
        <w:t xml:space="preserve">31 October 2019. </w:t>
      </w:r>
      <w:r w:rsidR="00153AF0" w:rsidRPr="00EF0619">
        <w:rPr>
          <w:szCs w:val="24"/>
        </w:rPr>
        <w:t>The European Council recalled that, under Article 50(3) TEU, the Withdrawal Agreement may enter into force on an earlier date, should the Parties complete their respective ratification procedures before 31 October 2019. Consequently, the withdrawal should take place on the first day of the month following the completion of the ratification procedures or on 1 November 2019, wh</w:t>
      </w:r>
      <w:r w:rsidR="00AD0A82" w:rsidRPr="00EF0619">
        <w:rPr>
          <w:szCs w:val="24"/>
        </w:rPr>
        <w:t>ichever</w:t>
      </w:r>
      <w:r w:rsidR="00153AF0" w:rsidRPr="00EF0619">
        <w:rPr>
          <w:szCs w:val="24"/>
        </w:rPr>
        <w:t xml:space="preserve"> is the earliest. Furthermore, as</w:t>
      </w:r>
      <w:r w:rsidR="00B23250" w:rsidRPr="00EF0619">
        <w:rPr>
          <w:szCs w:val="24"/>
        </w:rPr>
        <w:t xml:space="preserve"> indicated in </w:t>
      </w:r>
      <w:r w:rsidR="00BF5B95" w:rsidRPr="00EF0619">
        <w:rPr>
          <w:szCs w:val="24"/>
        </w:rPr>
        <w:t xml:space="preserve">the second paragraph of </w:t>
      </w:r>
      <w:r w:rsidR="00B23250" w:rsidRPr="00EF0619">
        <w:rPr>
          <w:szCs w:val="24"/>
        </w:rPr>
        <w:t>Article 2</w:t>
      </w:r>
      <w:r w:rsidR="00BF5B95" w:rsidRPr="00EF0619">
        <w:rPr>
          <w:szCs w:val="24"/>
        </w:rPr>
        <w:t xml:space="preserve"> of that Decision</w:t>
      </w:r>
      <w:r w:rsidR="00B23250" w:rsidRPr="00EF0619">
        <w:rPr>
          <w:szCs w:val="24"/>
        </w:rPr>
        <w:t>, that Decision will cease to apply on 31 May 2019 in the event that the United Kingdom has not held elections to the European Parliament in accordance with applicable Union law and has not ratified the Withdrawal Agreement by 22 May 2019.</w:t>
      </w:r>
    </w:p>
    <w:p w14:paraId="6032CAF8" w14:textId="2CF22645" w:rsidR="006B68FE" w:rsidRPr="00EF0619" w:rsidRDefault="006B68FE" w:rsidP="00432FF6">
      <w:pPr>
        <w:pStyle w:val="Considrant"/>
      </w:pPr>
      <w:r w:rsidRPr="00EF0619">
        <w:t xml:space="preserve">As a consequence, the date of entry into force of the Withdrawal Agreement </w:t>
      </w:r>
      <w:r w:rsidR="00CF7538" w:rsidRPr="00EF0619">
        <w:t xml:space="preserve">had </w:t>
      </w:r>
      <w:r w:rsidRPr="00EF0619">
        <w:t xml:space="preserve">to be </w:t>
      </w:r>
      <w:r w:rsidR="00187EDE" w:rsidRPr="00EF0619">
        <w:t>adapted</w:t>
      </w:r>
      <w:r w:rsidR="00441731" w:rsidRPr="00EF0619">
        <w:t xml:space="preserve"> to reflect </w:t>
      </w:r>
      <w:r w:rsidR="008B4E45" w:rsidRPr="00EF0619">
        <w:rPr>
          <w:rFonts w:eastAsia="Times New Roman"/>
          <w:color w:val="000000"/>
        </w:rPr>
        <w:t>the period provided for in Article 50(3) TEU, as extended by the European Council in agreement with the United Kingdom.</w:t>
      </w:r>
    </w:p>
    <w:p w14:paraId="181A101B" w14:textId="5C3A8EDA" w:rsidR="008A56D7" w:rsidRPr="00EF0619" w:rsidRDefault="0086725E" w:rsidP="00FC1F96">
      <w:pPr>
        <w:pStyle w:val="Considrant"/>
      </w:pPr>
      <w:r w:rsidRPr="00EF0619">
        <w:t xml:space="preserve">On </w:t>
      </w:r>
      <w:r w:rsidR="00B23250" w:rsidRPr="00EF0619">
        <w:t>11</w:t>
      </w:r>
      <w:r w:rsidRPr="00EF0619">
        <w:t xml:space="preserve"> </w:t>
      </w:r>
      <w:r w:rsidR="00F4482B" w:rsidRPr="00EF0619">
        <w:t>April</w:t>
      </w:r>
      <w:r w:rsidRPr="00EF0619">
        <w:t xml:space="preserve"> 2019</w:t>
      </w:r>
      <w:r w:rsidR="00B23250" w:rsidRPr="00EF0619">
        <w:t>,</w:t>
      </w:r>
      <w:r w:rsidRPr="00EF0619">
        <w:t xml:space="preserve"> i</w:t>
      </w:r>
      <w:r w:rsidR="006B68FE" w:rsidRPr="00EF0619">
        <w:t>n agreement with the United Kingdom, the</w:t>
      </w:r>
      <w:r w:rsidR="00CF7538" w:rsidRPr="00EF0619">
        <w:t xml:space="preserve"> </w:t>
      </w:r>
      <w:r w:rsidR="006B68FE" w:rsidRPr="00EF0619">
        <w:t xml:space="preserve">Withdrawal Agreement was </w:t>
      </w:r>
      <w:r w:rsidR="008A56D7" w:rsidRPr="00EF0619">
        <w:t xml:space="preserve">adapted </w:t>
      </w:r>
      <w:r w:rsidR="006B68FE" w:rsidRPr="00EF0619">
        <w:t>in three instances</w:t>
      </w:r>
      <w:r w:rsidR="00CF7538" w:rsidRPr="00EF0619">
        <w:t xml:space="preserve"> as follows</w:t>
      </w:r>
      <w:r w:rsidR="006B68FE" w:rsidRPr="00EF0619">
        <w:t>:</w:t>
      </w:r>
    </w:p>
    <w:p w14:paraId="4F979893" w14:textId="6CB10CA6" w:rsidR="007912B2" w:rsidRPr="00EF0619" w:rsidRDefault="008A56D7" w:rsidP="002857B5">
      <w:pPr>
        <w:pStyle w:val="Tiret1"/>
        <w:numPr>
          <w:ilvl w:val="0"/>
          <w:numId w:val="19"/>
        </w:numPr>
      </w:pPr>
      <w:r w:rsidRPr="00EF0619">
        <w:t xml:space="preserve">in the last recital, the </w:t>
      </w:r>
      <w:r w:rsidR="00AE1A65" w:rsidRPr="00EF0619">
        <w:t>words “after</w:t>
      </w:r>
      <w:r w:rsidRPr="00EF0619">
        <w:t xml:space="preserve"> 29 March 2019</w:t>
      </w:r>
      <w:r w:rsidR="00BF59AB" w:rsidRPr="00EF0619">
        <w:t>”</w:t>
      </w:r>
      <w:r w:rsidRPr="00EF0619">
        <w:t xml:space="preserve"> </w:t>
      </w:r>
      <w:r w:rsidR="00BF59AB" w:rsidRPr="00EF0619">
        <w:t>were</w:t>
      </w:r>
      <w:r w:rsidRPr="00EF0619">
        <w:t xml:space="preserve"> replaced by “</w:t>
      </w:r>
      <w:r w:rsidR="00AE1A65" w:rsidRPr="00EF0619">
        <w:t xml:space="preserve">from </w:t>
      </w:r>
      <w:r w:rsidR="00B70AF3" w:rsidRPr="00EF0619">
        <w:t>the date of entry into force of this Agreement</w:t>
      </w:r>
      <w:r w:rsidRPr="00EF0619">
        <w:t>”;</w:t>
      </w:r>
      <w:r w:rsidR="006B68FE" w:rsidRPr="00EF0619">
        <w:t xml:space="preserve"> </w:t>
      </w:r>
    </w:p>
    <w:p w14:paraId="74EDF0F6" w14:textId="3117E5E5" w:rsidR="00EE6A88" w:rsidRPr="00EF0619" w:rsidRDefault="008A56D7" w:rsidP="00354B35">
      <w:pPr>
        <w:pStyle w:val="Tiret1"/>
        <w:rPr>
          <w:lang w:eastAsia="en-GB"/>
        </w:rPr>
      </w:pPr>
      <w:r w:rsidRPr="00EF0619">
        <w:t xml:space="preserve">in </w:t>
      </w:r>
      <w:r w:rsidR="006B68FE" w:rsidRPr="00EF0619">
        <w:t xml:space="preserve">Article 185, the </w:t>
      </w:r>
      <w:r w:rsidR="009F56EC" w:rsidRPr="00EF0619">
        <w:t xml:space="preserve">first paragraph was replaced by: </w:t>
      </w:r>
      <w:r w:rsidR="00553776" w:rsidRPr="00EF0619">
        <w:t xml:space="preserve"> “</w:t>
      </w:r>
      <w:r w:rsidR="009F56EC" w:rsidRPr="00EF0619">
        <w:t>This Agreement shall enter into force</w:t>
      </w:r>
      <w:r w:rsidR="009F56EC" w:rsidRPr="00EF0619">
        <w:rPr>
          <w:lang w:val="en-IE"/>
        </w:rPr>
        <w:t xml:space="preserve"> </w:t>
      </w:r>
      <w:r w:rsidR="00EE6A88" w:rsidRPr="00EF0619">
        <w:rPr>
          <w:lang w:val="en-IE"/>
        </w:rPr>
        <w:t>on one of the following dates, whichever is the earliest:</w:t>
      </w:r>
    </w:p>
    <w:p w14:paraId="3A6751A4" w14:textId="0449F8E8" w:rsidR="0051043C" w:rsidRPr="00EF0619" w:rsidRDefault="00EE6A88" w:rsidP="004D4416">
      <w:pPr>
        <w:pStyle w:val="Point1letter"/>
        <w:numPr>
          <w:ilvl w:val="3"/>
          <w:numId w:val="16"/>
        </w:numPr>
      </w:pPr>
      <w:r w:rsidRPr="00EF0619">
        <w:rPr>
          <w:lang w:val="en-IE"/>
        </w:rPr>
        <w:t>the day following the end of the period provided for in Article 50(3) TEU</w:t>
      </w:r>
      <w:r w:rsidR="0051043C" w:rsidRPr="00EF0619">
        <w:rPr>
          <w:lang w:val="en-IE"/>
        </w:rPr>
        <w:t>,</w:t>
      </w:r>
      <w:r w:rsidRPr="00EF0619">
        <w:rPr>
          <w:lang w:val="en-IE"/>
        </w:rPr>
        <w:t xml:space="preserve"> as extended by the European Council in agreement with the United Kingdom, provided that, prior to that date, the depositary of this Agreement has received the written notifications by the Union and the United Kingdom </w:t>
      </w:r>
      <w:r w:rsidR="0051043C" w:rsidRPr="00EF0619">
        <w:rPr>
          <w:lang w:val="en-IE"/>
        </w:rPr>
        <w:t>regarding</w:t>
      </w:r>
      <w:r w:rsidRPr="00EF0619">
        <w:rPr>
          <w:lang w:val="en-IE"/>
        </w:rPr>
        <w:t xml:space="preserve"> the completion of the necessary internal procedures</w:t>
      </w:r>
      <w:r w:rsidR="007B132B" w:rsidRPr="00EF0619">
        <w:rPr>
          <w:lang w:val="en-IE"/>
        </w:rPr>
        <w:t>;</w:t>
      </w:r>
    </w:p>
    <w:p w14:paraId="18197B40" w14:textId="78F9CEB6" w:rsidR="002F1AAB" w:rsidRPr="00EF0619" w:rsidRDefault="00EE6A88" w:rsidP="004D4416">
      <w:pPr>
        <w:pStyle w:val="Point1letter"/>
        <w:numPr>
          <w:ilvl w:val="3"/>
          <w:numId w:val="16"/>
        </w:numPr>
        <w:rPr>
          <w:lang w:val="en-IE"/>
        </w:rPr>
      </w:pPr>
      <w:r w:rsidRPr="00EF0619">
        <w:rPr>
          <w:lang w:val="en-IE"/>
        </w:rPr>
        <w:t>the first day of the month following the receipt by the depositary of this Agreement of the last of the written notifications referred to in point (a).</w:t>
      </w:r>
    </w:p>
    <w:p w14:paraId="72A1BE51" w14:textId="07509E42" w:rsidR="007912B2" w:rsidRPr="00EF0619" w:rsidRDefault="002F1AAB" w:rsidP="002F1AAB">
      <w:pPr>
        <w:spacing w:before="100" w:beforeAutospacing="1" w:after="100" w:afterAutospacing="1"/>
        <w:ind w:left="709"/>
        <w:rPr>
          <w:szCs w:val="24"/>
        </w:rPr>
      </w:pPr>
      <w:r w:rsidRPr="00EF0619">
        <w:rPr>
          <w:szCs w:val="24"/>
        </w:rPr>
        <w:t>In the event that, prior to the end of the period provided for in Article 50(3) TEU</w:t>
      </w:r>
      <w:r w:rsidR="007955CC" w:rsidRPr="00EF0619">
        <w:rPr>
          <w:szCs w:val="24"/>
        </w:rPr>
        <w:t>,</w:t>
      </w:r>
      <w:r w:rsidRPr="00EF0619">
        <w:rPr>
          <w:szCs w:val="24"/>
        </w:rPr>
        <w:t xml:space="preserve"> as extended by the European Council in agreement with the United Kingdom, the depositary of this Agreement has not received the written notifications referred to in point (a), this Agreement shall not enter into force.</w:t>
      </w:r>
      <w:r w:rsidR="00553776" w:rsidRPr="00EF0619">
        <w:rPr>
          <w:szCs w:val="24"/>
        </w:rPr>
        <w:t>”</w:t>
      </w:r>
      <w:r w:rsidR="006B68FE" w:rsidRPr="00EF0619">
        <w:rPr>
          <w:szCs w:val="24"/>
        </w:rPr>
        <w:t>;</w:t>
      </w:r>
    </w:p>
    <w:p w14:paraId="4A42F2DC" w14:textId="2CFE8616" w:rsidR="006B68FE" w:rsidRPr="00EF0619" w:rsidRDefault="006B68FE" w:rsidP="00E9239C">
      <w:pPr>
        <w:pStyle w:val="Tiret1"/>
      </w:pPr>
      <w:r w:rsidRPr="00EF0619">
        <w:t>in Article 2 of the Protocol o</w:t>
      </w:r>
      <w:r w:rsidR="00A33832" w:rsidRPr="00EF0619">
        <w:t>n</w:t>
      </w:r>
      <w:r w:rsidRPr="00EF0619">
        <w:t xml:space="preserve"> Gibraltar, the date of 30 March 2019 </w:t>
      </w:r>
      <w:r w:rsidR="00553776" w:rsidRPr="00EF0619">
        <w:t>was replaced by “the date of entry into force of th</w:t>
      </w:r>
      <w:r w:rsidR="00BF59AB" w:rsidRPr="00EF0619">
        <w:t>e</w:t>
      </w:r>
      <w:r w:rsidR="00553776" w:rsidRPr="00EF0619">
        <w:t xml:space="preserve"> </w:t>
      </w:r>
      <w:r w:rsidR="00BF59AB" w:rsidRPr="00EF0619">
        <w:t xml:space="preserve">Withdrawal </w:t>
      </w:r>
      <w:r w:rsidR="00553776" w:rsidRPr="00EF0619">
        <w:t>Agreement”.</w:t>
      </w:r>
    </w:p>
    <w:p w14:paraId="4B3A971E" w14:textId="4DE82F99" w:rsidR="00646E3E" w:rsidRPr="00EF0619" w:rsidRDefault="006B68FE" w:rsidP="00CE512C">
      <w:pPr>
        <w:pStyle w:val="Considrant"/>
      </w:pPr>
      <w:r w:rsidRPr="00EF0619">
        <w:t xml:space="preserve">Decision (EU) 2019/274 </w:t>
      </w:r>
      <w:r w:rsidR="00825FE8" w:rsidRPr="00EF0619">
        <w:t>should therefore be amended accordingly</w:t>
      </w:r>
      <w:r w:rsidR="00834D13" w:rsidRPr="00EF0619">
        <w:t>.</w:t>
      </w:r>
    </w:p>
    <w:p w14:paraId="22AD043F" w14:textId="7D1EE2AA" w:rsidR="00646E3E" w:rsidRPr="00EF0619" w:rsidRDefault="00646E3E" w:rsidP="003D0DA0">
      <w:pPr>
        <w:pStyle w:val="Considrant"/>
      </w:pPr>
      <w:r w:rsidRPr="00EF0619">
        <w:t>As provided for in Article 50(4) TEU, the United Kingdom has not taken part in the discussions of the Council concerning this decision nor in its adoption,</w:t>
      </w:r>
    </w:p>
    <w:p w14:paraId="6288B728" w14:textId="77777777" w:rsidR="00646E3E" w:rsidRPr="00EF0619" w:rsidRDefault="00646E3E" w:rsidP="00646E3E">
      <w:pPr>
        <w:pStyle w:val="Formuledadoption"/>
      </w:pPr>
      <w:r w:rsidRPr="00EF0619">
        <w:t>HAS ADOPTED THIS DECISION:</w:t>
      </w:r>
    </w:p>
    <w:p w14:paraId="31E7644E" w14:textId="6960535B" w:rsidR="00646E3E" w:rsidRPr="00EF0619" w:rsidRDefault="00646E3E" w:rsidP="00646E3E">
      <w:pPr>
        <w:pStyle w:val="Titrearticle"/>
      </w:pPr>
      <w:r w:rsidRPr="00EF0619">
        <w:t>Article</w:t>
      </w:r>
      <w:r w:rsidR="001F54CB" w:rsidRPr="00EF0619">
        <w:t xml:space="preserve"> 1</w:t>
      </w:r>
    </w:p>
    <w:p w14:paraId="3C5E3880" w14:textId="79859296" w:rsidR="00CE512C" w:rsidRPr="00EF0619" w:rsidRDefault="00B72F97" w:rsidP="0086725E">
      <w:r w:rsidRPr="00EF0619">
        <w:t xml:space="preserve">Article 1 of </w:t>
      </w:r>
      <w:r w:rsidR="00CE512C" w:rsidRPr="00EF0619">
        <w:t xml:space="preserve">Decision (EU) 2019/274 </w:t>
      </w:r>
      <w:r w:rsidRPr="00EF0619">
        <w:t>is replaced by the following</w:t>
      </w:r>
      <w:r w:rsidR="00CE512C" w:rsidRPr="00EF0619">
        <w:t>:</w:t>
      </w:r>
    </w:p>
    <w:p w14:paraId="61E754B2" w14:textId="004555C2" w:rsidR="00EE6A88" w:rsidRPr="00EF0619" w:rsidRDefault="00EE6A88" w:rsidP="004C2554">
      <w:pPr>
        <w:ind w:firstLine="720"/>
      </w:pPr>
      <w:r w:rsidRPr="00EF0619">
        <w:t>“Article 1</w:t>
      </w:r>
    </w:p>
    <w:p w14:paraId="2EB22146" w14:textId="20214605" w:rsidR="00CE512C" w:rsidRPr="00EF0619" w:rsidRDefault="00CE512C" w:rsidP="00432FF6">
      <w:pPr>
        <w:pStyle w:val="Normal1"/>
        <w:shd w:val="clear" w:color="auto" w:fill="FFFFFF"/>
        <w:spacing w:before="120" w:beforeAutospacing="0" w:after="0" w:afterAutospacing="0" w:line="312" w:lineRule="atLeast"/>
        <w:ind w:left="720"/>
        <w:jc w:val="both"/>
        <w:rPr>
          <w:rFonts w:eastAsiaTheme="minorHAnsi"/>
          <w:szCs w:val="22"/>
          <w:lang w:eastAsia="en-US"/>
        </w:rPr>
      </w:pPr>
      <w:r w:rsidRPr="00EF0619">
        <w:rPr>
          <w:rFonts w:eastAsiaTheme="minorHAnsi"/>
          <w:szCs w:val="22"/>
          <w:lang w:eastAsia="en-US"/>
        </w:rPr>
        <w:t xml:space="preserve">The signing, on behalf of the Union and the European Atomic Energy Community, of the Agreement on the withdrawal of the United Kingdom of Great Britain and Northern Ireland from the European Union and the European Atomic Energy Community, as </w:t>
      </w:r>
      <w:r w:rsidR="00B46579" w:rsidRPr="00EF0619">
        <w:rPr>
          <w:rFonts w:eastAsiaTheme="minorHAnsi"/>
          <w:szCs w:val="22"/>
          <w:lang w:eastAsia="en-US"/>
        </w:rPr>
        <w:t>adapted</w:t>
      </w:r>
      <w:r w:rsidRPr="00EF0619">
        <w:rPr>
          <w:rFonts w:eastAsiaTheme="minorHAnsi"/>
          <w:szCs w:val="22"/>
          <w:lang w:eastAsia="en-US"/>
        </w:rPr>
        <w:t>, is hereby authorised, subject to the conclusion of the said Agreement.</w:t>
      </w:r>
    </w:p>
    <w:p w14:paraId="02B334CE" w14:textId="7786961E" w:rsidR="00CE512C" w:rsidRPr="00EF0619" w:rsidRDefault="00CE512C" w:rsidP="00432FF6">
      <w:pPr>
        <w:pStyle w:val="Normal1"/>
        <w:shd w:val="clear" w:color="auto" w:fill="FFFFFF"/>
        <w:spacing w:before="120" w:beforeAutospacing="0" w:after="0" w:afterAutospacing="0" w:line="312" w:lineRule="atLeast"/>
        <w:ind w:left="720"/>
        <w:jc w:val="both"/>
        <w:rPr>
          <w:rFonts w:eastAsiaTheme="minorHAnsi"/>
          <w:szCs w:val="22"/>
          <w:lang w:eastAsia="en-US"/>
        </w:rPr>
      </w:pPr>
      <w:r w:rsidRPr="00EF0619">
        <w:rPr>
          <w:rFonts w:eastAsiaTheme="minorHAnsi"/>
          <w:szCs w:val="22"/>
          <w:lang w:eastAsia="en-US"/>
        </w:rPr>
        <w:t xml:space="preserve">The text of the Agreement, as </w:t>
      </w:r>
      <w:r w:rsidR="00B46579" w:rsidRPr="00EF0619">
        <w:rPr>
          <w:rFonts w:eastAsiaTheme="minorHAnsi"/>
          <w:szCs w:val="22"/>
          <w:lang w:eastAsia="en-US"/>
        </w:rPr>
        <w:t>adapted</w:t>
      </w:r>
      <w:r w:rsidRPr="00EF0619">
        <w:rPr>
          <w:rFonts w:eastAsiaTheme="minorHAnsi"/>
          <w:szCs w:val="22"/>
          <w:lang w:eastAsia="en-US"/>
        </w:rPr>
        <w:t>, is attached to this Decision.</w:t>
      </w:r>
      <w:r w:rsidR="007B132B" w:rsidRPr="00EF0619">
        <w:rPr>
          <w:rFonts w:eastAsiaTheme="minorHAnsi"/>
          <w:szCs w:val="22"/>
          <w:lang w:eastAsia="en-US"/>
        </w:rPr>
        <w:t>”</w:t>
      </w:r>
    </w:p>
    <w:p w14:paraId="68A20A3E" w14:textId="6947F5B6" w:rsidR="00FC1F96" w:rsidRPr="00EF0619" w:rsidRDefault="00FC1F96" w:rsidP="00FC1F96">
      <w:pPr>
        <w:pStyle w:val="Titrearticle"/>
      </w:pPr>
      <w:r w:rsidRPr="00EF0619">
        <w:t>Article 2</w:t>
      </w:r>
    </w:p>
    <w:p w14:paraId="59CD8E64" w14:textId="39A41D09" w:rsidR="00CE512C" w:rsidRPr="00EF0619" w:rsidRDefault="00CE512C" w:rsidP="004C2554">
      <w:r w:rsidRPr="00EF0619">
        <w:t>The text of the</w:t>
      </w:r>
      <w:r w:rsidR="00B46579" w:rsidRPr="00EF0619">
        <w:t xml:space="preserve"> </w:t>
      </w:r>
      <w:r w:rsidRPr="00EF0619">
        <w:t xml:space="preserve">Agreement attached to Decision (EU) 2019/274 is replaced by the text of the </w:t>
      </w:r>
      <w:r w:rsidR="003C7F6E" w:rsidRPr="00EF0619">
        <w:t xml:space="preserve">adapted </w:t>
      </w:r>
      <w:r w:rsidRPr="00EF0619">
        <w:t>Agreement attached to this Decision.</w:t>
      </w:r>
    </w:p>
    <w:p w14:paraId="3C24729D" w14:textId="67FAA75A" w:rsidR="001F54CB" w:rsidRPr="00EF0619" w:rsidRDefault="001F54CB" w:rsidP="001F54CB">
      <w:pPr>
        <w:pStyle w:val="Titrearticle"/>
      </w:pPr>
      <w:r w:rsidRPr="00EF0619">
        <w:t xml:space="preserve">Article </w:t>
      </w:r>
      <w:r w:rsidR="00FC1F96" w:rsidRPr="00EF0619">
        <w:t>3</w:t>
      </w:r>
    </w:p>
    <w:p w14:paraId="687CF6C8" w14:textId="5007FEB9" w:rsidR="00B83E1C" w:rsidRPr="00EF0619" w:rsidRDefault="00C421BF" w:rsidP="001F54CB">
      <w:r w:rsidRPr="00EF0619">
        <w:t>T</w:t>
      </w:r>
      <w:r w:rsidR="00646E3E" w:rsidRPr="00EF0619">
        <w:t>his Decision shall enter into force on the date of its adoption.</w:t>
      </w:r>
      <w:r w:rsidR="00E33A03" w:rsidRPr="00EF0619">
        <w:t xml:space="preserve"> </w:t>
      </w:r>
    </w:p>
    <w:p w14:paraId="5DC3D5BF" w14:textId="3613E31A" w:rsidR="001F54CB" w:rsidRPr="00EF0619" w:rsidRDefault="00977AC9" w:rsidP="00977AC9">
      <w:pPr>
        <w:pStyle w:val="Fait"/>
      </w:pPr>
      <w:r w:rsidRPr="00977AC9">
        <w:t>Done at Brussels,</w:t>
      </w:r>
    </w:p>
    <w:p w14:paraId="4717139D" w14:textId="77777777" w:rsidR="00646E3E" w:rsidRPr="00EF0619" w:rsidRDefault="00646E3E" w:rsidP="00646E3E">
      <w:pPr>
        <w:pStyle w:val="Institutionquisigne"/>
      </w:pPr>
      <w:r w:rsidRPr="00EF0619">
        <w:tab/>
        <w:t>For the Council</w:t>
      </w:r>
    </w:p>
    <w:p w14:paraId="5B58562F" w14:textId="77777777" w:rsidR="00646E3E" w:rsidRDefault="00646E3E" w:rsidP="00646E3E">
      <w:pPr>
        <w:pStyle w:val="Personnequisigne"/>
      </w:pPr>
      <w:r w:rsidRPr="00EF0619">
        <w:tab/>
        <w:t>The President</w:t>
      </w:r>
    </w:p>
    <w:sectPr w:rsidR="00646E3E" w:rsidSect="00977AC9">
      <w:footnotePr>
        <w:numRestart w:val="eachSect"/>
      </w:footnotePr>
      <w:pgSz w:w="11907" w:h="16840" w:code="9"/>
      <w:pgMar w:top="1134"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QC" w:date="2019-04-11T10:45:00Z" w:initials="DQC">
    <w:p w14:paraId="23DDF623" w14:textId="02714F3B" w:rsidR="00CA5A77" w:rsidRDefault="00CA5A7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hyperlink r:id="rId1" w:anchor="9" w:history="1">
        <w:r w:rsidRPr="00CA5A77">
          <w:rPr>
            <w:rStyle w:val="Hyperlink"/>
          </w:rPr>
          <w:t>Error: Malformed footnote</w:t>
        </w:r>
      </w:hyperlink>
      <w:r>
        <w:fldChar w:fldCharType="begin">
          <w:fldData xml:space="preserve">RABRAEMARQByAHIAbwByAFMAYwBvAHAAZQBBADgAMgAwAEUARQBEAEYARQA1ADMAMAA0AEEARABD
AEIANwA4AEMARgA2AEMAOABGADIAQgAxADYAMgBDADMA
</w:fldData>
        </w:fldChar>
      </w:r>
      <w:r>
        <w:instrText xml:space="preserve"> ADDIN  \* MERGEFORMAT </w:instrText>
      </w:r>
      <w:r>
        <w:fldChar w:fldCharType="end"/>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DDF6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389DF" w14:textId="77777777" w:rsidR="007F5A6B" w:rsidRDefault="007F5A6B" w:rsidP="00541232">
      <w:pPr>
        <w:spacing w:before="0" w:after="0"/>
      </w:pPr>
      <w:r>
        <w:separator/>
      </w:r>
    </w:p>
  </w:endnote>
  <w:endnote w:type="continuationSeparator" w:id="0">
    <w:p w14:paraId="6CD2108D" w14:textId="77777777" w:rsidR="007F5A6B" w:rsidRDefault="007F5A6B" w:rsidP="005412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7B59" w14:textId="77777777" w:rsidR="00977AC9" w:rsidRPr="00977AC9" w:rsidRDefault="00977AC9" w:rsidP="00977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7C9F0" w14:textId="51D4B2F6" w:rsidR="00977AC9" w:rsidRPr="00977AC9" w:rsidRDefault="00977AC9" w:rsidP="00977AC9">
    <w:pPr>
      <w:pStyle w:val="Footer"/>
      <w:rPr>
        <w:rFonts w:ascii="Arial" w:hAnsi="Arial" w:cs="Arial"/>
        <w:b/>
        <w:sz w:val="48"/>
      </w:rPr>
    </w:pPr>
    <w:r w:rsidRPr="00977AC9">
      <w:rPr>
        <w:rFonts w:ascii="Arial" w:hAnsi="Arial" w:cs="Arial"/>
        <w:b/>
        <w:sz w:val="48"/>
      </w:rPr>
      <w:t>EN</w:t>
    </w:r>
    <w:r w:rsidRPr="00977AC9">
      <w:rPr>
        <w:rFonts w:ascii="Arial" w:hAnsi="Arial" w:cs="Arial"/>
        <w:b/>
        <w:sz w:val="48"/>
      </w:rPr>
      <w:tab/>
    </w:r>
    <w:r w:rsidRPr="00977AC9">
      <w:rPr>
        <w:rFonts w:ascii="Arial" w:hAnsi="Arial" w:cs="Arial"/>
        <w:b/>
        <w:sz w:val="48"/>
      </w:rPr>
      <w:tab/>
    </w:r>
    <w:r w:rsidRPr="00977AC9">
      <w:tab/>
    </w:r>
    <w:r w:rsidRPr="00977AC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318E" w14:textId="77777777" w:rsidR="00977AC9" w:rsidRPr="00977AC9" w:rsidRDefault="00977AC9" w:rsidP="00977A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B74A" w14:textId="4FE8F9E7" w:rsidR="00977AC9" w:rsidRPr="00977AC9" w:rsidRDefault="00977AC9" w:rsidP="00977AC9">
    <w:pPr>
      <w:pStyle w:val="Footer"/>
      <w:rPr>
        <w:rFonts w:ascii="Arial" w:hAnsi="Arial" w:cs="Arial"/>
        <w:b/>
        <w:sz w:val="48"/>
      </w:rPr>
    </w:pPr>
    <w:r w:rsidRPr="00977AC9">
      <w:rPr>
        <w:rFonts w:ascii="Arial" w:hAnsi="Arial" w:cs="Arial"/>
        <w:b/>
        <w:sz w:val="48"/>
      </w:rPr>
      <w:t>EN</w:t>
    </w:r>
    <w:r w:rsidRPr="00977AC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77AC9">
      <w:tab/>
    </w:r>
    <w:r w:rsidRPr="00977AC9">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FEB85" w14:textId="77777777" w:rsidR="00977AC9" w:rsidRPr="00977AC9" w:rsidRDefault="00977AC9" w:rsidP="00977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E1B84" w14:textId="77777777" w:rsidR="007F5A6B" w:rsidRDefault="007F5A6B" w:rsidP="00541232">
      <w:pPr>
        <w:spacing w:before="0" w:after="0"/>
      </w:pPr>
      <w:r>
        <w:separator/>
      </w:r>
    </w:p>
  </w:footnote>
  <w:footnote w:type="continuationSeparator" w:id="0">
    <w:p w14:paraId="081AD363" w14:textId="77777777" w:rsidR="007F5A6B" w:rsidRDefault="007F5A6B" w:rsidP="00541232">
      <w:pPr>
        <w:spacing w:before="0" w:after="0"/>
      </w:pPr>
      <w:r>
        <w:continuationSeparator/>
      </w:r>
    </w:p>
  </w:footnote>
  <w:footnote w:id="1">
    <w:p w14:paraId="0DF0C4C9" w14:textId="1B384536" w:rsidR="00472102" w:rsidRPr="004D4E20" w:rsidRDefault="00472102" w:rsidP="00C22177">
      <w:pPr>
        <w:pStyle w:val="FootnoteText"/>
      </w:pPr>
      <w:r w:rsidRPr="00244E6D">
        <w:rPr>
          <w:rStyle w:val="FootnoteReference"/>
        </w:rPr>
        <w:footnoteRef/>
      </w:r>
      <w:r w:rsidR="00244E6D">
        <w:tab/>
      </w:r>
      <w:r w:rsidRPr="004D4E20">
        <w:t>Council Decision (EU) 2019/274 of 11 January 2019 on the signing, on behalf of the European Union and of the European Atomic Energy Community, of the Agreement on the withdrawal of the United Kingdom of Great Britain and Northern Ireland from the European Union and the European Atomic Energy Community (OJ L 47I, 19.2.2019, p. 1</w:t>
      </w:r>
      <w:r>
        <w:t>).</w:t>
      </w:r>
      <w:r w:rsidR="00CF7538">
        <w:t xml:space="preserve"> The text of the Withdrawal Agreement attached to Decision (EU) 2019/274 was published in OJ C</w:t>
      </w:r>
      <w:r w:rsidR="00D147B9">
        <w:t xml:space="preserve"> </w:t>
      </w:r>
      <w:r w:rsidR="00CF7538">
        <w:t>66I, 19.2.2019, p. 1.</w:t>
      </w:r>
    </w:p>
  </w:footnote>
  <w:footnote w:id="2">
    <w:p w14:paraId="5D6ED3F8" w14:textId="6F66194A" w:rsidR="0075021A" w:rsidRDefault="0075021A">
      <w:pPr>
        <w:pStyle w:val="FootnoteText"/>
      </w:pPr>
      <w:r w:rsidRPr="00244E6D">
        <w:rPr>
          <w:rStyle w:val="FootnoteReference"/>
        </w:rPr>
        <w:footnoteRef/>
      </w:r>
      <w:r w:rsidR="00244E6D">
        <w:tab/>
      </w:r>
      <w:r>
        <w:t>European Council Decision (EU) 2019/</w:t>
      </w:r>
      <w:r w:rsidR="00D6766F">
        <w:t xml:space="preserve">476 </w:t>
      </w:r>
      <w:r>
        <w:t xml:space="preserve">taken in agreement with the United Kingdom of 22 March 2019 extending the period under Article 50(3) TEU (OJ L </w:t>
      </w:r>
      <w:r w:rsidR="00CF7538">
        <w:t>80</w:t>
      </w:r>
      <w:r w:rsidR="008D68E3" w:rsidRPr="008813A6">
        <w:t xml:space="preserve">I, </w:t>
      </w:r>
      <w:r w:rsidR="008D68E3">
        <w:t>22</w:t>
      </w:r>
      <w:r>
        <w:t xml:space="preserve">.3.2019, p. </w:t>
      </w:r>
      <w:r w:rsidR="008D68E3">
        <w:t>1</w:t>
      </w:r>
      <w:r>
        <w:t>).</w:t>
      </w:r>
    </w:p>
  </w:footnote>
  <w:footnote w:id="3">
    <w:p w14:paraId="0C292DB0" w14:textId="03CDC5D8" w:rsidR="00EA01D3" w:rsidRDefault="00EA01D3" w:rsidP="00EA01D3">
      <w:pPr>
        <w:pStyle w:val="FootnoteText"/>
      </w:pPr>
      <w:r w:rsidRPr="00244E6D">
        <w:rPr>
          <w:rStyle w:val="FootnoteReference"/>
        </w:rPr>
        <w:footnoteRef/>
      </w:r>
      <w:r w:rsidR="00244E6D">
        <w:tab/>
      </w:r>
      <w:r w:rsidRPr="00D147B9">
        <w:t>Council Decision (EU) 2019/274 of 11 January 2019 on the signing, on behalf of the European Union and of the European Atomic Energy Community, of the Agreement on the withdrawal of the United Kingdom of Great Britain and Northern Ireland from the European Union and the European Atomic Energy Community</w:t>
      </w:r>
      <w:r>
        <w:t xml:space="preserve"> (</w:t>
      </w:r>
      <w:r w:rsidRPr="004D4E20">
        <w:t>OJ L 47I, 19.2.2019, p. 1</w:t>
      </w:r>
      <w:r>
        <w:t>).</w:t>
      </w:r>
    </w:p>
  </w:footnote>
  <w:footnote w:id="4">
    <w:p w14:paraId="2960CF92" w14:textId="0F0DF8F5" w:rsidR="00BF59AB" w:rsidRDefault="00BF59AB" w:rsidP="00BF59AB">
      <w:pPr>
        <w:pStyle w:val="FootnoteText"/>
      </w:pPr>
      <w:r w:rsidRPr="00244E6D">
        <w:rPr>
          <w:rStyle w:val="FootnoteReference"/>
        </w:rPr>
        <w:footnoteRef/>
      </w:r>
      <w:r w:rsidR="00244E6D">
        <w:tab/>
      </w:r>
      <w:r>
        <w:t>The text of the Withdrawal Agreement attached to Decision (EU) 2019/274 was published in OJ C</w:t>
      </w:r>
      <w:r w:rsidR="00E97117">
        <w:t xml:space="preserve"> </w:t>
      </w:r>
      <w:r>
        <w:t>66I, 19.2.2019, p. 1.</w:t>
      </w:r>
    </w:p>
  </w:footnote>
  <w:footnote w:id="5">
    <w:p w14:paraId="7AB896D9" w14:textId="44DD159A" w:rsidR="00825FE8" w:rsidRPr="00B56190" w:rsidRDefault="00825FE8" w:rsidP="00B56190">
      <w:pPr>
        <w:pStyle w:val="FootnoteText"/>
      </w:pPr>
      <w:r w:rsidRPr="00244E6D">
        <w:rPr>
          <w:rStyle w:val="FootnoteReference"/>
        </w:rPr>
        <w:footnoteRef/>
      </w:r>
      <w:r w:rsidR="00244E6D">
        <w:tab/>
      </w:r>
      <w:r w:rsidR="00B56190" w:rsidRPr="00B56190">
        <w:t>European Council Decision (EU) 2019/476 taken in agreement with the United Kingdom of 22 March 2019 extending the period under Article 50(3) TEU</w:t>
      </w:r>
      <w:r w:rsidR="00BF5B95">
        <w:t xml:space="preserve"> (OJ L 80I</w:t>
      </w:r>
      <w:r w:rsidR="00BF5B95" w:rsidRPr="00D330B1">
        <w:t>, 22.3.2019, p. 1</w:t>
      </w:r>
      <w:r w:rsidR="00BF5B95">
        <w:t>).</w:t>
      </w:r>
    </w:p>
  </w:footnote>
  <w:footnote w:id="6">
    <w:p w14:paraId="028A14AF" w14:textId="22DA4749" w:rsidR="00BF5B95" w:rsidRDefault="00BF5B95" w:rsidP="00BF5B95">
      <w:pPr>
        <w:pStyle w:val="FootnoteText"/>
      </w:pPr>
      <w:r>
        <w:rPr>
          <w:rStyle w:val="FootnoteReference"/>
        </w:rPr>
        <w:footnoteRef/>
      </w:r>
      <w:r>
        <w:t xml:space="preserve"> </w:t>
      </w:r>
      <w:r>
        <w:tab/>
      </w:r>
      <w:r w:rsidRPr="00B56190">
        <w:t>European Council Decision (EU) 2019/</w:t>
      </w:r>
      <w:r>
        <w:t>…</w:t>
      </w:r>
      <w:r w:rsidRPr="00B56190">
        <w:t xml:space="preserve"> taken in agreement with the United Kingdom of </w:t>
      </w:r>
      <w:r>
        <w:t xml:space="preserve">11 April </w:t>
      </w:r>
      <w:r w:rsidRPr="00B56190">
        <w:t>2019 extending the period under Article 50(3) TEU</w:t>
      </w:r>
      <w:r>
        <w:t xml:space="preserve"> (OJ …</w:t>
      </w:r>
      <w:r w:rsidRPr="00D330B1">
        <w:t xml:space="preserve">, </w:t>
      </w:r>
      <w:r>
        <w:t>…</w:t>
      </w:r>
      <w:r w:rsidRPr="00D330B1">
        <w:t xml:space="preserve">, p. </w:t>
      </w:r>
      <w:r>
        <w:t>…).</w:t>
      </w:r>
    </w:p>
  </w:footnote>
  <w:footnote w:id="7">
    <w:p w14:paraId="54090FCC" w14:textId="717E6396" w:rsidR="00BF5B95" w:rsidRDefault="00BF5B95">
      <w:pPr>
        <w:pStyle w:val="FootnoteText"/>
      </w:pPr>
      <w:r w:rsidRPr="00CA5A77">
        <w:rPr>
          <w:rStyle w:val="FootnoteReference"/>
          <w:highlight w:val="yellow"/>
        </w:rPr>
        <w:t>+</w:t>
      </w:r>
      <w:r w:rsidRPr="00CA5A77">
        <w:rPr>
          <w:highlight w:val="yellow"/>
        </w:rPr>
        <w:t xml:space="preserve"> </w:t>
      </w:r>
      <w:r w:rsidRPr="00CA5A77">
        <w:rPr>
          <w:highlight w:val="yellow"/>
        </w:rPr>
        <w:tab/>
        <w:t>OJ: please insert the adoption date and serial number from the document XT… [number to be inserted before archiving] and complete the corresponding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6771" w14:textId="77777777" w:rsidR="00977AC9" w:rsidRPr="00977AC9" w:rsidRDefault="00977AC9" w:rsidP="00977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847A" w14:textId="77777777" w:rsidR="00977AC9" w:rsidRPr="00977AC9" w:rsidRDefault="00977AC9" w:rsidP="00977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78BDE" w14:textId="77777777" w:rsidR="00977AC9" w:rsidRPr="00977AC9" w:rsidRDefault="00977AC9" w:rsidP="00977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906024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E3C176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C52113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728FEB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3C2DCC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5D236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AA2EB5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EE20F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21"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5"/>
  </w:num>
  <w:num w:numId="11">
    <w:abstractNumId w:val="21"/>
  </w:num>
  <w:num w:numId="12">
    <w:abstractNumId w:val="20"/>
  </w:num>
  <w:num w:numId="13">
    <w:abstractNumId w:val="9"/>
  </w:num>
  <w:num w:numId="14">
    <w:abstractNumId w:val="16"/>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num>
  <w:num w:numId="19">
    <w:abstractNumId w:val="17"/>
    <w:lvlOverride w:ilvl="0">
      <w:startOverride w:val="1"/>
    </w:lvlOverride>
  </w:num>
  <w:num w:numId="20">
    <w:abstractNumId w:val="25"/>
  </w:num>
  <w:num w:numId="21">
    <w:abstractNumId w:val="17"/>
  </w:num>
  <w:num w:numId="22">
    <w:abstractNumId w:val="27"/>
  </w:num>
  <w:num w:numId="23">
    <w:abstractNumId w:val="14"/>
  </w:num>
  <w:num w:numId="24">
    <w:abstractNumId w:val="18"/>
  </w:num>
  <w:num w:numId="25">
    <w:abstractNumId w:val="12"/>
  </w:num>
  <w:num w:numId="26">
    <w:abstractNumId w:val="26"/>
  </w:num>
  <w:num w:numId="27">
    <w:abstractNumId w:val="11"/>
  </w:num>
  <w:num w:numId="28">
    <w:abstractNumId w:val="19"/>
  </w:num>
  <w:num w:numId="29">
    <w:abstractNumId w:val="23"/>
  </w:num>
  <w:num w:numId="30">
    <w:abstractNumId w:val="24"/>
  </w:num>
  <w:num w:numId="31">
    <w:abstractNumId w:val="13"/>
  </w:num>
  <w:num w:numId="32">
    <w:abstractNumId w:val="22"/>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footnotePr>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4-11 10:45:13"/>
    <w:docVar w:name="DQCHighlighting" w:val="100"/>
    <w:docVar w:name="DQCResult_Distribution" w:val="0;0"/>
    <w:docVar w:name="DQCResult_DocumentContent" w:val="0;0"/>
    <w:docVar w:name="DQCResult_DocumentSize" w:val="0;0"/>
    <w:docVar w:name="DQCResult_DocumentVersions" w:val="0;0"/>
    <w:docVar w:name="DQCResult_InvalidFootnotes" w:val="1;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2"/>
    <w:docVar w:name="DQCStatus" w:val="Red"/>
    <w:docVar w:name="DQCVersion" w:val="3"/>
    <w:docVar w:name="DQCWithWarnings" w:val="0"/>
    <w:docVar w:name="DW_AutoOpen" w:val="True"/>
    <w:docVar w:name="LW_CORRIGENDUM" w:val="&lt;UNUSED&gt;"/>
    <w:docVar w:name="LW_COVERPAGE_EXISTS" w:val="True"/>
    <w:docVar w:name="LW_COVERPAGE_GUID" w:val="03F4A188-D203-40CC-9807-D1FE5B0B467C"/>
    <w:docVar w:name="LW_COVERPAGE_TYPE" w:val="1"/>
    <w:docVar w:name="LW_CROSSREFERENCE" w:val="&lt;UNUSED&gt;"/>
    <w:docVar w:name="LW_DocType" w:val="COM"/>
    <w:docVar w:name="LW_EMISSION" w:val="11.4.2019"/>
    <w:docVar w:name="LW_EMISSION_ISODATE" w:val="2019-04-11"/>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7"/>
    <w:docVar w:name="LW_REF.II.NEW.CP_YEAR" w:val="2019"/>
    <w:docVar w:name="LW_REF.INST.NEW" w:val="COM"/>
    <w:docVar w:name="LW_REF.INST.NEW_ADOPTED" w:val="final"/>
    <w:docVar w:name="LW_REF.INST.NEW_TEXT" w:val="(2019) 1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ecision (EU) 2019/274 on the signing, on behalf of the European Union and of the European Atomic Energy Community, of the Agreement on the withdrawal of the United Kingdom of Great Britain and Northern Ireland from the European Union and the European Atomic Energy Community"/>
    <w:docVar w:name="LW_TYPE.DOC.CP" w:val="COUNCIL DECISION"/>
  </w:docVars>
  <w:rsids>
    <w:rsidRoot w:val="00541232"/>
    <w:rsid w:val="00012349"/>
    <w:rsid w:val="00012A0D"/>
    <w:rsid w:val="0004485E"/>
    <w:rsid w:val="00044AF4"/>
    <w:rsid w:val="00063425"/>
    <w:rsid w:val="00071956"/>
    <w:rsid w:val="00071A4D"/>
    <w:rsid w:val="00076338"/>
    <w:rsid w:val="00091494"/>
    <w:rsid w:val="00096058"/>
    <w:rsid w:val="000A41BA"/>
    <w:rsid w:val="000B13CF"/>
    <w:rsid w:val="000B6191"/>
    <w:rsid w:val="000D3ED4"/>
    <w:rsid w:val="000D45FE"/>
    <w:rsid w:val="000D7847"/>
    <w:rsid w:val="000E1006"/>
    <w:rsid w:val="000E3B29"/>
    <w:rsid w:val="000E521C"/>
    <w:rsid w:val="00100AEE"/>
    <w:rsid w:val="00100C10"/>
    <w:rsid w:val="001161C4"/>
    <w:rsid w:val="00116EDF"/>
    <w:rsid w:val="00117810"/>
    <w:rsid w:val="0013243D"/>
    <w:rsid w:val="00146D63"/>
    <w:rsid w:val="00153AF0"/>
    <w:rsid w:val="00160AF0"/>
    <w:rsid w:val="001665F5"/>
    <w:rsid w:val="00184A0D"/>
    <w:rsid w:val="0018559B"/>
    <w:rsid w:val="00187EDE"/>
    <w:rsid w:val="00192C4B"/>
    <w:rsid w:val="001953B9"/>
    <w:rsid w:val="001972BF"/>
    <w:rsid w:val="001A680E"/>
    <w:rsid w:val="001B07CD"/>
    <w:rsid w:val="001B6DD0"/>
    <w:rsid w:val="001D087F"/>
    <w:rsid w:val="001D4EDA"/>
    <w:rsid w:val="001E0F16"/>
    <w:rsid w:val="001E79F7"/>
    <w:rsid w:val="001F31E1"/>
    <w:rsid w:val="001F54CB"/>
    <w:rsid w:val="00200895"/>
    <w:rsid w:val="00200C6A"/>
    <w:rsid w:val="00206E26"/>
    <w:rsid w:val="00215E01"/>
    <w:rsid w:val="00225075"/>
    <w:rsid w:val="00225911"/>
    <w:rsid w:val="00226213"/>
    <w:rsid w:val="00244BC4"/>
    <w:rsid w:val="00244E6D"/>
    <w:rsid w:val="00250730"/>
    <w:rsid w:val="00262942"/>
    <w:rsid w:val="00265AC2"/>
    <w:rsid w:val="0027254B"/>
    <w:rsid w:val="00272680"/>
    <w:rsid w:val="0027632D"/>
    <w:rsid w:val="00283EAC"/>
    <w:rsid w:val="002857B5"/>
    <w:rsid w:val="0029329F"/>
    <w:rsid w:val="002B1F30"/>
    <w:rsid w:val="002B49CA"/>
    <w:rsid w:val="002C0C3E"/>
    <w:rsid w:val="002C182E"/>
    <w:rsid w:val="002E2535"/>
    <w:rsid w:val="002E3596"/>
    <w:rsid w:val="002E476B"/>
    <w:rsid w:val="002E609D"/>
    <w:rsid w:val="002F0368"/>
    <w:rsid w:val="002F1AAB"/>
    <w:rsid w:val="002F366A"/>
    <w:rsid w:val="00310829"/>
    <w:rsid w:val="00314840"/>
    <w:rsid w:val="003159F2"/>
    <w:rsid w:val="003272E3"/>
    <w:rsid w:val="003376BE"/>
    <w:rsid w:val="00340BF6"/>
    <w:rsid w:val="003474F0"/>
    <w:rsid w:val="00352527"/>
    <w:rsid w:val="00354B35"/>
    <w:rsid w:val="0035681D"/>
    <w:rsid w:val="003640D0"/>
    <w:rsid w:val="003656EB"/>
    <w:rsid w:val="003664FD"/>
    <w:rsid w:val="00370158"/>
    <w:rsid w:val="003731D1"/>
    <w:rsid w:val="00385A29"/>
    <w:rsid w:val="00392397"/>
    <w:rsid w:val="003926B6"/>
    <w:rsid w:val="003B1F54"/>
    <w:rsid w:val="003B2A59"/>
    <w:rsid w:val="003C3844"/>
    <w:rsid w:val="003C42EC"/>
    <w:rsid w:val="003C7F6E"/>
    <w:rsid w:val="003D02A7"/>
    <w:rsid w:val="003D0DA0"/>
    <w:rsid w:val="003D39D5"/>
    <w:rsid w:val="003E2E6B"/>
    <w:rsid w:val="003F1F3A"/>
    <w:rsid w:val="00402498"/>
    <w:rsid w:val="00404C93"/>
    <w:rsid w:val="0041122E"/>
    <w:rsid w:val="00420B83"/>
    <w:rsid w:val="00424AEB"/>
    <w:rsid w:val="00432FF6"/>
    <w:rsid w:val="00441731"/>
    <w:rsid w:val="00454FB7"/>
    <w:rsid w:val="004558E3"/>
    <w:rsid w:val="00460DD0"/>
    <w:rsid w:val="004622DC"/>
    <w:rsid w:val="00465BFA"/>
    <w:rsid w:val="00470F09"/>
    <w:rsid w:val="00472102"/>
    <w:rsid w:val="0047792E"/>
    <w:rsid w:val="004844EB"/>
    <w:rsid w:val="00495D63"/>
    <w:rsid w:val="004A5B85"/>
    <w:rsid w:val="004B6A4C"/>
    <w:rsid w:val="004C2554"/>
    <w:rsid w:val="004D2522"/>
    <w:rsid w:val="004D4416"/>
    <w:rsid w:val="004D4D69"/>
    <w:rsid w:val="004E283C"/>
    <w:rsid w:val="004F7747"/>
    <w:rsid w:val="0051043C"/>
    <w:rsid w:val="0053599B"/>
    <w:rsid w:val="005370E3"/>
    <w:rsid w:val="0054009E"/>
    <w:rsid w:val="005401D4"/>
    <w:rsid w:val="00541232"/>
    <w:rsid w:val="00546C5F"/>
    <w:rsid w:val="005479FA"/>
    <w:rsid w:val="00553776"/>
    <w:rsid w:val="00563632"/>
    <w:rsid w:val="00572A3C"/>
    <w:rsid w:val="005852DC"/>
    <w:rsid w:val="00595A2D"/>
    <w:rsid w:val="005A57C2"/>
    <w:rsid w:val="005B3331"/>
    <w:rsid w:val="005C1110"/>
    <w:rsid w:val="005C3FE6"/>
    <w:rsid w:val="005C5ABE"/>
    <w:rsid w:val="005E3A54"/>
    <w:rsid w:val="005E4E47"/>
    <w:rsid w:val="005E7F65"/>
    <w:rsid w:val="005F2EC3"/>
    <w:rsid w:val="005F5E17"/>
    <w:rsid w:val="00604A99"/>
    <w:rsid w:val="00607FA3"/>
    <w:rsid w:val="006157F4"/>
    <w:rsid w:val="006215E6"/>
    <w:rsid w:val="00621F25"/>
    <w:rsid w:val="00622A13"/>
    <w:rsid w:val="00624D2F"/>
    <w:rsid w:val="0062658D"/>
    <w:rsid w:val="00630186"/>
    <w:rsid w:val="006342BA"/>
    <w:rsid w:val="0064058A"/>
    <w:rsid w:val="00646E3E"/>
    <w:rsid w:val="006540A4"/>
    <w:rsid w:val="00662715"/>
    <w:rsid w:val="006720AB"/>
    <w:rsid w:val="00675232"/>
    <w:rsid w:val="006A08C7"/>
    <w:rsid w:val="006A283B"/>
    <w:rsid w:val="006A5CEA"/>
    <w:rsid w:val="006B42F3"/>
    <w:rsid w:val="006B5199"/>
    <w:rsid w:val="006B68FE"/>
    <w:rsid w:val="006D710A"/>
    <w:rsid w:val="00703152"/>
    <w:rsid w:val="0071149E"/>
    <w:rsid w:val="00712589"/>
    <w:rsid w:val="00720BA7"/>
    <w:rsid w:val="00725F89"/>
    <w:rsid w:val="00731BCB"/>
    <w:rsid w:val="0075021A"/>
    <w:rsid w:val="0075397B"/>
    <w:rsid w:val="00756CEE"/>
    <w:rsid w:val="007622A1"/>
    <w:rsid w:val="00767FBE"/>
    <w:rsid w:val="00770DB1"/>
    <w:rsid w:val="00771794"/>
    <w:rsid w:val="00771D42"/>
    <w:rsid w:val="00773716"/>
    <w:rsid w:val="00775676"/>
    <w:rsid w:val="007771B9"/>
    <w:rsid w:val="007811EF"/>
    <w:rsid w:val="00790C2B"/>
    <w:rsid w:val="007912B2"/>
    <w:rsid w:val="007955CC"/>
    <w:rsid w:val="007A0048"/>
    <w:rsid w:val="007A6536"/>
    <w:rsid w:val="007B132B"/>
    <w:rsid w:val="007C68DA"/>
    <w:rsid w:val="007C7B60"/>
    <w:rsid w:val="007D178B"/>
    <w:rsid w:val="007D3C97"/>
    <w:rsid w:val="007E2953"/>
    <w:rsid w:val="007E372F"/>
    <w:rsid w:val="007E5146"/>
    <w:rsid w:val="007F5A6B"/>
    <w:rsid w:val="00803676"/>
    <w:rsid w:val="00810DC1"/>
    <w:rsid w:val="00822690"/>
    <w:rsid w:val="00822DF7"/>
    <w:rsid w:val="00825FE8"/>
    <w:rsid w:val="008265C7"/>
    <w:rsid w:val="00832751"/>
    <w:rsid w:val="0083412F"/>
    <w:rsid w:val="00834D13"/>
    <w:rsid w:val="00853145"/>
    <w:rsid w:val="00854413"/>
    <w:rsid w:val="00854BA0"/>
    <w:rsid w:val="00856A5A"/>
    <w:rsid w:val="00866C39"/>
    <w:rsid w:val="0086725E"/>
    <w:rsid w:val="00877878"/>
    <w:rsid w:val="00880DEA"/>
    <w:rsid w:val="008813A6"/>
    <w:rsid w:val="00883235"/>
    <w:rsid w:val="00886F23"/>
    <w:rsid w:val="00895FC7"/>
    <w:rsid w:val="008A56D7"/>
    <w:rsid w:val="008A7EE6"/>
    <w:rsid w:val="008B1F20"/>
    <w:rsid w:val="008B4E45"/>
    <w:rsid w:val="008C02BA"/>
    <w:rsid w:val="008C0CE3"/>
    <w:rsid w:val="008C70F3"/>
    <w:rsid w:val="008C7B46"/>
    <w:rsid w:val="008D68E3"/>
    <w:rsid w:val="008E5514"/>
    <w:rsid w:val="008E7213"/>
    <w:rsid w:val="009038FD"/>
    <w:rsid w:val="009125C2"/>
    <w:rsid w:val="0091604E"/>
    <w:rsid w:val="00944628"/>
    <w:rsid w:val="00944A7B"/>
    <w:rsid w:val="00952D35"/>
    <w:rsid w:val="00956046"/>
    <w:rsid w:val="00962C6F"/>
    <w:rsid w:val="00977AC9"/>
    <w:rsid w:val="009807A8"/>
    <w:rsid w:val="009A048E"/>
    <w:rsid w:val="009A157D"/>
    <w:rsid w:val="009A1A3D"/>
    <w:rsid w:val="009B07A7"/>
    <w:rsid w:val="009B27A0"/>
    <w:rsid w:val="009D423A"/>
    <w:rsid w:val="009D4E84"/>
    <w:rsid w:val="009D58C7"/>
    <w:rsid w:val="009D7833"/>
    <w:rsid w:val="009F063B"/>
    <w:rsid w:val="009F2D33"/>
    <w:rsid w:val="009F506D"/>
    <w:rsid w:val="009F51BA"/>
    <w:rsid w:val="009F56EC"/>
    <w:rsid w:val="00A06C67"/>
    <w:rsid w:val="00A25DCD"/>
    <w:rsid w:val="00A2777C"/>
    <w:rsid w:val="00A33832"/>
    <w:rsid w:val="00A36EA0"/>
    <w:rsid w:val="00A47064"/>
    <w:rsid w:val="00A67764"/>
    <w:rsid w:val="00A8096F"/>
    <w:rsid w:val="00A9220F"/>
    <w:rsid w:val="00AA41CF"/>
    <w:rsid w:val="00AA5989"/>
    <w:rsid w:val="00AB0DF7"/>
    <w:rsid w:val="00AB7C91"/>
    <w:rsid w:val="00AC2339"/>
    <w:rsid w:val="00AC2AA8"/>
    <w:rsid w:val="00AC5C9B"/>
    <w:rsid w:val="00AD0A82"/>
    <w:rsid w:val="00AD13BC"/>
    <w:rsid w:val="00AE1A65"/>
    <w:rsid w:val="00AE2FA1"/>
    <w:rsid w:val="00AF7FF3"/>
    <w:rsid w:val="00B11F76"/>
    <w:rsid w:val="00B23250"/>
    <w:rsid w:val="00B23549"/>
    <w:rsid w:val="00B46579"/>
    <w:rsid w:val="00B50DC4"/>
    <w:rsid w:val="00B56190"/>
    <w:rsid w:val="00B66588"/>
    <w:rsid w:val="00B66830"/>
    <w:rsid w:val="00B70AF3"/>
    <w:rsid w:val="00B71A59"/>
    <w:rsid w:val="00B72599"/>
    <w:rsid w:val="00B72F97"/>
    <w:rsid w:val="00B776F1"/>
    <w:rsid w:val="00B83E1C"/>
    <w:rsid w:val="00B9257B"/>
    <w:rsid w:val="00BA4628"/>
    <w:rsid w:val="00BB70F8"/>
    <w:rsid w:val="00BE663F"/>
    <w:rsid w:val="00BF59AB"/>
    <w:rsid w:val="00BF5B95"/>
    <w:rsid w:val="00C00AFC"/>
    <w:rsid w:val="00C054CC"/>
    <w:rsid w:val="00C072DD"/>
    <w:rsid w:val="00C12021"/>
    <w:rsid w:val="00C2067A"/>
    <w:rsid w:val="00C22177"/>
    <w:rsid w:val="00C3185F"/>
    <w:rsid w:val="00C3376E"/>
    <w:rsid w:val="00C36E0D"/>
    <w:rsid w:val="00C421BF"/>
    <w:rsid w:val="00C44C15"/>
    <w:rsid w:val="00C5629C"/>
    <w:rsid w:val="00C70F72"/>
    <w:rsid w:val="00C718CD"/>
    <w:rsid w:val="00C75CB8"/>
    <w:rsid w:val="00C8481C"/>
    <w:rsid w:val="00C86CBE"/>
    <w:rsid w:val="00C91A20"/>
    <w:rsid w:val="00CA0A25"/>
    <w:rsid w:val="00CA5A77"/>
    <w:rsid w:val="00CE392C"/>
    <w:rsid w:val="00CE512C"/>
    <w:rsid w:val="00CF3974"/>
    <w:rsid w:val="00CF49BF"/>
    <w:rsid w:val="00CF7538"/>
    <w:rsid w:val="00D02BCB"/>
    <w:rsid w:val="00D07A08"/>
    <w:rsid w:val="00D147B9"/>
    <w:rsid w:val="00D204EF"/>
    <w:rsid w:val="00D24F4C"/>
    <w:rsid w:val="00D277A0"/>
    <w:rsid w:val="00D3354F"/>
    <w:rsid w:val="00D3416A"/>
    <w:rsid w:val="00D368C9"/>
    <w:rsid w:val="00D45C39"/>
    <w:rsid w:val="00D5164E"/>
    <w:rsid w:val="00D60664"/>
    <w:rsid w:val="00D63E6D"/>
    <w:rsid w:val="00D6766F"/>
    <w:rsid w:val="00D73F89"/>
    <w:rsid w:val="00DB4F24"/>
    <w:rsid w:val="00DB629F"/>
    <w:rsid w:val="00DC0CB0"/>
    <w:rsid w:val="00DD42C6"/>
    <w:rsid w:val="00DE4657"/>
    <w:rsid w:val="00E033C3"/>
    <w:rsid w:val="00E04050"/>
    <w:rsid w:val="00E13393"/>
    <w:rsid w:val="00E1612A"/>
    <w:rsid w:val="00E23848"/>
    <w:rsid w:val="00E31198"/>
    <w:rsid w:val="00E33A03"/>
    <w:rsid w:val="00E44703"/>
    <w:rsid w:val="00E51540"/>
    <w:rsid w:val="00E55A8B"/>
    <w:rsid w:val="00E60349"/>
    <w:rsid w:val="00E620C3"/>
    <w:rsid w:val="00E72ACD"/>
    <w:rsid w:val="00E81C63"/>
    <w:rsid w:val="00E84BB5"/>
    <w:rsid w:val="00E9183E"/>
    <w:rsid w:val="00E9239C"/>
    <w:rsid w:val="00E96C40"/>
    <w:rsid w:val="00E97117"/>
    <w:rsid w:val="00EA01D3"/>
    <w:rsid w:val="00EC3D7A"/>
    <w:rsid w:val="00EE105B"/>
    <w:rsid w:val="00EE2A72"/>
    <w:rsid w:val="00EE6A88"/>
    <w:rsid w:val="00EF0619"/>
    <w:rsid w:val="00F02441"/>
    <w:rsid w:val="00F05C51"/>
    <w:rsid w:val="00F13816"/>
    <w:rsid w:val="00F16CCE"/>
    <w:rsid w:val="00F202D2"/>
    <w:rsid w:val="00F24E3D"/>
    <w:rsid w:val="00F24F35"/>
    <w:rsid w:val="00F30CE7"/>
    <w:rsid w:val="00F33164"/>
    <w:rsid w:val="00F34160"/>
    <w:rsid w:val="00F4482B"/>
    <w:rsid w:val="00F62272"/>
    <w:rsid w:val="00F6798A"/>
    <w:rsid w:val="00F71D0E"/>
    <w:rsid w:val="00F764A9"/>
    <w:rsid w:val="00F97A9D"/>
    <w:rsid w:val="00FB0EB7"/>
    <w:rsid w:val="00FB28E7"/>
    <w:rsid w:val="00FB5354"/>
    <w:rsid w:val="00FB5DD6"/>
    <w:rsid w:val="00FC1F96"/>
    <w:rsid w:val="00FC224F"/>
    <w:rsid w:val="00FD5282"/>
    <w:rsid w:val="00FE008E"/>
    <w:rsid w:val="00FE5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1BD42E"/>
  <w15:docId w15:val="{3806CAFF-FFF3-487D-94DD-3AB87D9C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116EDF"/>
    <w:pPr>
      <w:spacing w:before="0" w:after="200"/>
    </w:pPr>
    <w:rPr>
      <w:b/>
      <w:bCs/>
      <w:color w:val="4F81BD" w:themeColor="accent1"/>
      <w:sz w:val="18"/>
      <w:szCs w:val="18"/>
    </w:rPr>
  </w:style>
  <w:style w:type="paragraph" w:styleId="TableofFigures">
    <w:name w:val="table of figures"/>
    <w:basedOn w:val="Normal"/>
    <w:next w:val="Normal"/>
    <w:unhideWhenUsed/>
    <w:rsid w:val="00116EDF"/>
    <w:pPr>
      <w:spacing w:after="0"/>
    </w:pPr>
  </w:style>
  <w:style w:type="paragraph" w:styleId="ListBullet">
    <w:name w:val="List Bullet"/>
    <w:basedOn w:val="Normal"/>
    <w:unhideWhenUsed/>
    <w:rsid w:val="00116EDF"/>
    <w:pPr>
      <w:numPr>
        <w:numId w:val="1"/>
      </w:numPr>
      <w:contextualSpacing/>
    </w:pPr>
  </w:style>
  <w:style w:type="paragraph" w:styleId="ListBullet2">
    <w:name w:val="List Bullet 2"/>
    <w:basedOn w:val="Normal"/>
    <w:unhideWhenUsed/>
    <w:rsid w:val="00116EDF"/>
    <w:pPr>
      <w:numPr>
        <w:numId w:val="2"/>
      </w:numPr>
      <w:contextualSpacing/>
    </w:pPr>
  </w:style>
  <w:style w:type="paragraph" w:styleId="ListBullet3">
    <w:name w:val="List Bullet 3"/>
    <w:basedOn w:val="Normal"/>
    <w:unhideWhenUsed/>
    <w:rsid w:val="00116EDF"/>
    <w:pPr>
      <w:numPr>
        <w:numId w:val="3"/>
      </w:numPr>
      <w:contextualSpacing/>
    </w:pPr>
  </w:style>
  <w:style w:type="paragraph" w:styleId="ListBullet4">
    <w:name w:val="List Bullet 4"/>
    <w:basedOn w:val="Normal"/>
    <w:unhideWhenUsed/>
    <w:rsid w:val="00116EDF"/>
    <w:pPr>
      <w:numPr>
        <w:numId w:val="4"/>
      </w:numPr>
      <w:contextualSpacing/>
    </w:pPr>
  </w:style>
  <w:style w:type="paragraph" w:styleId="ListNumber">
    <w:name w:val="List Number"/>
    <w:basedOn w:val="Normal"/>
    <w:unhideWhenUsed/>
    <w:rsid w:val="00116EDF"/>
    <w:pPr>
      <w:numPr>
        <w:numId w:val="5"/>
      </w:numPr>
      <w:contextualSpacing/>
    </w:pPr>
  </w:style>
  <w:style w:type="paragraph" w:styleId="ListNumber2">
    <w:name w:val="List Number 2"/>
    <w:basedOn w:val="Normal"/>
    <w:unhideWhenUsed/>
    <w:rsid w:val="00116EDF"/>
    <w:pPr>
      <w:numPr>
        <w:numId w:val="6"/>
      </w:numPr>
      <w:contextualSpacing/>
    </w:pPr>
  </w:style>
  <w:style w:type="paragraph" w:styleId="ListNumber3">
    <w:name w:val="List Number 3"/>
    <w:basedOn w:val="Normal"/>
    <w:unhideWhenUsed/>
    <w:rsid w:val="00116EDF"/>
    <w:pPr>
      <w:numPr>
        <w:numId w:val="7"/>
      </w:numPr>
      <w:contextualSpacing/>
    </w:pPr>
  </w:style>
  <w:style w:type="paragraph" w:styleId="ListNumber4">
    <w:name w:val="List Number 4"/>
    <w:basedOn w:val="Normal"/>
    <w:unhideWhenUsed/>
    <w:rsid w:val="00116EDF"/>
    <w:pPr>
      <w:numPr>
        <w:numId w:val="8"/>
      </w:numPr>
      <w:contextualSpacing/>
    </w:pPr>
  </w:style>
  <w:style w:type="character" w:styleId="CommentReference">
    <w:name w:val="annotation reference"/>
    <w:basedOn w:val="DefaultParagraphFont"/>
    <w:unhideWhenUsed/>
    <w:rsid w:val="00563632"/>
    <w:rPr>
      <w:sz w:val="16"/>
      <w:szCs w:val="16"/>
    </w:rPr>
  </w:style>
  <w:style w:type="paragraph" w:styleId="CommentText">
    <w:name w:val="annotation text"/>
    <w:basedOn w:val="Normal"/>
    <w:link w:val="CommentTextChar"/>
    <w:unhideWhenUsed/>
    <w:rsid w:val="00563632"/>
    <w:rPr>
      <w:sz w:val="20"/>
      <w:szCs w:val="20"/>
    </w:rPr>
  </w:style>
  <w:style w:type="character" w:customStyle="1" w:styleId="CommentTextChar">
    <w:name w:val="Comment Text Char"/>
    <w:basedOn w:val="DefaultParagraphFont"/>
    <w:link w:val="CommentText"/>
    <w:rsid w:val="0056363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sid w:val="00563632"/>
    <w:rPr>
      <w:b/>
      <w:bCs/>
    </w:rPr>
  </w:style>
  <w:style w:type="character" w:customStyle="1" w:styleId="CommentSubjectChar">
    <w:name w:val="Comment Subject Char"/>
    <w:basedOn w:val="CommentTextChar"/>
    <w:link w:val="CommentSubject"/>
    <w:rsid w:val="00563632"/>
    <w:rPr>
      <w:rFonts w:ascii="Times New Roman" w:hAnsi="Times New Roman" w:cs="Times New Roman"/>
      <w:b/>
      <w:bCs/>
      <w:sz w:val="20"/>
      <w:szCs w:val="20"/>
      <w:lang w:val="en-GB"/>
    </w:rPr>
  </w:style>
  <w:style w:type="character" w:styleId="Hyperlink">
    <w:name w:val="Hyperlink"/>
    <w:basedOn w:val="DefaultParagraphFont"/>
    <w:uiPriority w:val="99"/>
    <w:unhideWhenUsed/>
    <w:rsid w:val="00563632"/>
    <w:rPr>
      <w:color w:val="0000FF" w:themeColor="hyperlink"/>
      <w:u w:val="single"/>
    </w:rPr>
  </w:style>
  <w:style w:type="paragraph" w:styleId="BalloonText">
    <w:name w:val="Balloon Text"/>
    <w:basedOn w:val="Normal"/>
    <w:link w:val="BalloonTextChar"/>
    <w:unhideWhenUsed/>
    <w:rsid w:val="00563632"/>
    <w:pPr>
      <w:spacing w:before="0" w:after="0"/>
    </w:pPr>
    <w:rPr>
      <w:rFonts w:ascii="Tahoma" w:hAnsi="Tahoma" w:cs="Tahoma"/>
      <w:sz w:val="16"/>
      <w:szCs w:val="16"/>
    </w:rPr>
  </w:style>
  <w:style w:type="character" w:customStyle="1" w:styleId="BalloonTextChar">
    <w:name w:val="Balloon Text Char"/>
    <w:basedOn w:val="DefaultParagraphFont"/>
    <w:link w:val="BalloonText"/>
    <w:rsid w:val="00563632"/>
    <w:rPr>
      <w:rFonts w:ascii="Tahoma" w:hAnsi="Tahoma" w:cs="Tahoma"/>
      <w:sz w:val="16"/>
      <w:szCs w:val="16"/>
      <w:lang w:val="en-GB"/>
    </w:rPr>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
    <w:basedOn w:val="Normal"/>
    <w:link w:val="ListParagraphChar"/>
    <w:uiPriority w:val="34"/>
    <w:qFormat/>
    <w:rsid w:val="003D39D5"/>
    <w:pPr>
      <w:spacing w:before="0" w:after="200" w:line="276" w:lineRule="auto"/>
      <w:ind w:left="720"/>
      <w:contextualSpacing/>
      <w:jc w:val="left"/>
    </w:pPr>
    <w:rPr>
      <w:rFonts w:asciiTheme="minorHAnsi" w:hAnsiTheme="minorHAnsi" w:cstheme="minorBidi"/>
      <w:sz w:val="22"/>
      <w:lang w:val="es-ES"/>
    </w:rPr>
  </w:style>
  <w:style w:type="paragraph" w:customStyle="1" w:styleId="ListBullet1">
    <w:name w:val="List Bullet 1"/>
    <w:basedOn w:val="Normal"/>
    <w:rsid w:val="0062658D"/>
    <w:pPr>
      <w:numPr>
        <w:numId w:val="9"/>
      </w:numPr>
    </w:pPr>
    <w:rPr>
      <w:rFonts w:eastAsia="Times New Roman"/>
      <w:lang w:eastAsia="en-GB"/>
    </w:rPr>
  </w:style>
  <w:style w:type="paragraph" w:customStyle="1" w:styleId="ListDash">
    <w:name w:val="List Dash"/>
    <w:basedOn w:val="Normal"/>
    <w:rsid w:val="0062658D"/>
    <w:pPr>
      <w:numPr>
        <w:numId w:val="10"/>
      </w:numPr>
    </w:pPr>
    <w:rPr>
      <w:rFonts w:eastAsia="Times New Roman"/>
      <w:lang w:eastAsia="en-GB"/>
    </w:rPr>
  </w:style>
  <w:style w:type="paragraph" w:customStyle="1" w:styleId="ListDash1">
    <w:name w:val="List Dash 1"/>
    <w:basedOn w:val="Normal"/>
    <w:rsid w:val="0062658D"/>
    <w:pPr>
      <w:numPr>
        <w:numId w:val="11"/>
      </w:numPr>
    </w:pPr>
    <w:rPr>
      <w:rFonts w:eastAsia="Times New Roman"/>
      <w:lang w:eastAsia="en-GB"/>
    </w:rPr>
  </w:style>
  <w:style w:type="paragraph" w:customStyle="1" w:styleId="ListDash2">
    <w:name w:val="List Dash 2"/>
    <w:basedOn w:val="Normal"/>
    <w:rsid w:val="0062658D"/>
    <w:pPr>
      <w:numPr>
        <w:numId w:val="12"/>
      </w:numPr>
    </w:pPr>
    <w:rPr>
      <w:rFonts w:eastAsia="Times New Roman"/>
      <w:lang w:eastAsia="en-GB"/>
    </w:rPr>
  </w:style>
  <w:style w:type="paragraph" w:customStyle="1" w:styleId="ListNumberLevel2">
    <w:name w:val="List Number (Level 2)"/>
    <w:basedOn w:val="Normal"/>
    <w:rsid w:val="0062658D"/>
    <w:pPr>
      <w:tabs>
        <w:tab w:val="num" w:pos="1417"/>
      </w:tabs>
      <w:ind w:left="1417" w:hanging="708"/>
    </w:pPr>
    <w:rPr>
      <w:rFonts w:eastAsia="Times New Roman"/>
      <w:lang w:eastAsia="en-GB"/>
    </w:rPr>
  </w:style>
  <w:style w:type="paragraph" w:customStyle="1" w:styleId="ListNumberLevel3">
    <w:name w:val="List Number (Level 3)"/>
    <w:basedOn w:val="Normal"/>
    <w:rsid w:val="0062658D"/>
    <w:pPr>
      <w:tabs>
        <w:tab w:val="num" w:pos="2126"/>
      </w:tabs>
      <w:ind w:left="2126" w:hanging="709"/>
    </w:pPr>
    <w:rPr>
      <w:rFonts w:eastAsia="Times New Roman"/>
      <w:lang w:eastAsia="en-GB"/>
    </w:rPr>
  </w:style>
  <w:style w:type="paragraph" w:customStyle="1" w:styleId="ListNumberLevel4">
    <w:name w:val="List Number (Level 4)"/>
    <w:basedOn w:val="Normal"/>
    <w:rsid w:val="0062658D"/>
    <w:pPr>
      <w:tabs>
        <w:tab w:val="num" w:pos="2835"/>
      </w:tabs>
      <w:ind w:left="2835" w:hanging="709"/>
    </w:pPr>
    <w:rPr>
      <w:rFonts w:eastAsia="Times New Roman"/>
      <w:lang w:eastAsia="en-GB"/>
    </w:rPr>
  </w:style>
  <w:style w:type="paragraph" w:customStyle="1" w:styleId="Sous-titreobjet">
    <w:name w:val="Sous-titre objet"/>
    <w:basedOn w:val="Normal"/>
    <w:rsid w:val="0062658D"/>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62658D"/>
  </w:style>
  <w:style w:type="character" w:styleId="FollowedHyperlink">
    <w:name w:val="FollowedHyperlink"/>
    <w:rsid w:val="0062658D"/>
    <w:rPr>
      <w:color w:val="800080"/>
      <w:u w:val="single"/>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basedOn w:val="DefaultParagraphFont"/>
    <w:link w:val="ListParagraph"/>
    <w:uiPriority w:val="34"/>
    <w:locked/>
    <w:rsid w:val="00E51540"/>
    <w:rPr>
      <w:lang w:val="es-ES"/>
    </w:rPr>
  </w:style>
  <w:style w:type="paragraph" w:styleId="NormalWeb">
    <w:name w:val="Normal (Web)"/>
    <w:basedOn w:val="Normal"/>
    <w:uiPriority w:val="99"/>
    <w:semiHidden/>
    <w:unhideWhenUsed/>
    <w:rsid w:val="00944628"/>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sid w:val="00944628"/>
    <w:rPr>
      <w:i/>
      <w:iCs/>
    </w:rPr>
  </w:style>
  <w:style w:type="paragraph" w:styleId="Revision">
    <w:name w:val="Revision"/>
    <w:hidden/>
    <w:uiPriority w:val="99"/>
    <w:semiHidden/>
    <w:rsid w:val="00962C6F"/>
    <w:pPr>
      <w:spacing w:after="0" w:line="240" w:lineRule="auto"/>
    </w:pPr>
    <w:rPr>
      <w:rFonts w:ascii="Times New Roman" w:hAnsi="Times New Roman" w:cs="Times New Roman"/>
      <w:sz w:val="24"/>
      <w:lang w:val="en-GB"/>
    </w:rPr>
  </w:style>
  <w:style w:type="paragraph" w:customStyle="1" w:styleId="FooterCoverPage">
    <w:name w:val="Footer Cover Page"/>
    <w:basedOn w:val="Normal"/>
    <w:link w:val="FooterCoverPageChar"/>
    <w:rsid w:val="009038FD"/>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9038FD"/>
    <w:rPr>
      <w:rFonts w:ascii="Times New Roman" w:hAnsi="Times New Roman" w:cs="Times New Roman"/>
      <w:sz w:val="24"/>
      <w:lang w:val="en-GB"/>
    </w:rPr>
  </w:style>
  <w:style w:type="character" w:customStyle="1" w:styleId="FooterSensitivityChar">
    <w:name w:val="Footer Sensitivity Char"/>
    <w:basedOn w:val="DefaultParagraphFont"/>
    <w:rsid w:val="009038FD"/>
    <w:rPr>
      <w:rFonts w:ascii="Times New Roman" w:hAnsi="Times New Roman" w:cs="Times New Roman"/>
      <w:b/>
      <w:sz w:val="32"/>
      <w:lang w:val="en-GB"/>
    </w:rPr>
  </w:style>
  <w:style w:type="paragraph" w:customStyle="1" w:styleId="HeaderCoverPage">
    <w:name w:val="Header Cover Page"/>
    <w:basedOn w:val="Normal"/>
    <w:link w:val="HeaderCoverPageChar"/>
    <w:rsid w:val="009038FD"/>
    <w:pPr>
      <w:tabs>
        <w:tab w:val="center" w:pos="4535"/>
        <w:tab w:val="right" w:pos="9071"/>
      </w:tabs>
      <w:spacing w:before="0"/>
    </w:pPr>
  </w:style>
  <w:style w:type="character" w:customStyle="1" w:styleId="HeaderCoverPageChar">
    <w:name w:val="Header Cover Page Char"/>
    <w:basedOn w:val="DefaultParagraphFont"/>
    <w:link w:val="HeaderCoverPage"/>
    <w:rsid w:val="009038FD"/>
    <w:rPr>
      <w:rFonts w:ascii="Times New Roman" w:hAnsi="Times New Roman" w:cs="Times New Roman"/>
      <w:sz w:val="24"/>
      <w:lang w:val="en-GB"/>
    </w:rPr>
  </w:style>
  <w:style w:type="character" w:customStyle="1" w:styleId="HeaderSensitivityChar">
    <w:name w:val="Header Sensitivity Char"/>
    <w:basedOn w:val="DefaultParagraphFont"/>
    <w:rsid w:val="009038FD"/>
    <w:rPr>
      <w:rFonts w:ascii="Times New Roman" w:hAnsi="Times New Roman" w:cs="Times New Roman"/>
      <w:b/>
      <w:sz w:val="32"/>
      <w:lang w:val="en-GB"/>
    </w:rPr>
  </w:style>
  <w:style w:type="table" w:styleId="TableGrid">
    <w:name w:val="Table Grid"/>
    <w:basedOn w:val="TableNormal"/>
    <w:rsid w:val="0090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Titrearticle"/>
    <w:rsid w:val="00F02441"/>
    <w:rPr>
      <w:lang w:val="en-US" w:eastAsia="fr-BE"/>
    </w:rPr>
  </w:style>
  <w:style w:type="paragraph" w:customStyle="1" w:styleId="ListDash3">
    <w:name w:val="List Dash 3"/>
    <w:basedOn w:val="Normal"/>
    <w:rsid w:val="00775676"/>
    <w:pPr>
      <w:numPr>
        <w:numId w:val="13"/>
      </w:numPr>
    </w:pPr>
    <w:rPr>
      <w:rFonts w:eastAsia="Times New Roman"/>
      <w:lang w:val="fr-FR" w:eastAsia="en-GB"/>
    </w:rPr>
  </w:style>
  <w:style w:type="paragraph" w:customStyle="1" w:styleId="ListDash4">
    <w:name w:val="List Dash 4"/>
    <w:basedOn w:val="Normal"/>
    <w:rsid w:val="00775676"/>
    <w:pPr>
      <w:numPr>
        <w:numId w:val="14"/>
      </w:numPr>
    </w:pPr>
    <w:rPr>
      <w:rFonts w:eastAsia="Times New Roman"/>
      <w:lang w:val="fr-FR" w:eastAsia="en-GB"/>
    </w:rPr>
  </w:style>
  <w:style w:type="paragraph" w:customStyle="1" w:styleId="ListNumber1">
    <w:name w:val="List Number 1"/>
    <w:basedOn w:val="Text1"/>
    <w:rsid w:val="00775676"/>
    <w:pPr>
      <w:numPr>
        <w:numId w:val="15"/>
      </w:numPr>
    </w:pPr>
    <w:rPr>
      <w:rFonts w:eastAsia="Times New Roman"/>
      <w:lang w:val="fr-FR" w:eastAsia="en-GB"/>
    </w:rPr>
  </w:style>
  <w:style w:type="paragraph" w:customStyle="1" w:styleId="ListNumber1Level2">
    <w:name w:val="List Number 1 (Level 2)"/>
    <w:basedOn w:val="Text1"/>
    <w:rsid w:val="00775676"/>
    <w:pPr>
      <w:numPr>
        <w:ilvl w:val="1"/>
        <w:numId w:val="15"/>
      </w:numPr>
    </w:pPr>
    <w:rPr>
      <w:rFonts w:eastAsia="Times New Roman"/>
      <w:lang w:val="fr-FR" w:eastAsia="en-GB"/>
    </w:rPr>
  </w:style>
  <w:style w:type="paragraph" w:customStyle="1" w:styleId="ListNumber2Level2">
    <w:name w:val="List Number 2 (Level 2)"/>
    <w:basedOn w:val="Text2"/>
    <w:rsid w:val="00775676"/>
    <w:pPr>
      <w:tabs>
        <w:tab w:val="num" w:pos="2268"/>
      </w:tabs>
      <w:ind w:left="2268" w:hanging="708"/>
    </w:pPr>
    <w:rPr>
      <w:rFonts w:eastAsia="Times New Roman"/>
      <w:lang w:val="fr-FR" w:eastAsia="en-GB"/>
    </w:rPr>
  </w:style>
  <w:style w:type="paragraph" w:customStyle="1" w:styleId="ListNumber3Level2">
    <w:name w:val="List Number 3 (Level 2)"/>
    <w:basedOn w:val="Text3"/>
    <w:rsid w:val="00775676"/>
    <w:pPr>
      <w:tabs>
        <w:tab w:val="num" w:pos="2268"/>
      </w:tabs>
      <w:ind w:left="2268" w:hanging="708"/>
    </w:pPr>
    <w:rPr>
      <w:rFonts w:eastAsia="Times New Roman"/>
      <w:lang w:val="fr-FR" w:eastAsia="en-GB"/>
    </w:rPr>
  </w:style>
  <w:style w:type="paragraph" w:customStyle="1" w:styleId="ListNumber4Level2">
    <w:name w:val="List Number 4 (Level 2)"/>
    <w:basedOn w:val="Text4"/>
    <w:rsid w:val="00775676"/>
    <w:pPr>
      <w:tabs>
        <w:tab w:val="num" w:pos="2268"/>
      </w:tabs>
      <w:ind w:left="2268" w:hanging="708"/>
    </w:pPr>
    <w:rPr>
      <w:rFonts w:eastAsia="Times New Roman"/>
      <w:lang w:val="fr-FR" w:eastAsia="en-GB"/>
    </w:rPr>
  </w:style>
  <w:style w:type="paragraph" w:customStyle="1" w:styleId="ListNumber1Level3">
    <w:name w:val="List Number 1 (Level 3)"/>
    <w:basedOn w:val="Text1"/>
    <w:rsid w:val="00775676"/>
    <w:pPr>
      <w:numPr>
        <w:ilvl w:val="2"/>
        <w:numId w:val="15"/>
      </w:numPr>
    </w:pPr>
    <w:rPr>
      <w:rFonts w:eastAsia="Times New Roman"/>
      <w:lang w:val="fr-FR" w:eastAsia="en-GB"/>
    </w:rPr>
  </w:style>
  <w:style w:type="paragraph" w:customStyle="1" w:styleId="ListNumber2Level3">
    <w:name w:val="List Number 2 (Level 3)"/>
    <w:basedOn w:val="Text2"/>
    <w:rsid w:val="00775676"/>
    <w:pPr>
      <w:tabs>
        <w:tab w:val="num" w:pos="2977"/>
      </w:tabs>
      <w:ind w:left="2977" w:hanging="709"/>
    </w:pPr>
    <w:rPr>
      <w:rFonts w:eastAsia="Times New Roman"/>
      <w:lang w:val="fr-FR" w:eastAsia="en-GB"/>
    </w:rPr>
  </w:style>
  <w:style w:type="paragraph" w:customStyle="1" w:styleId="ListNumber3Level3">
    <w:name w:val="List Number 3 (Level 3)"/>
    <w:basedOn w:val="Text3"/>
    <w:rsid w:val="00775676"/>
    <w:pPr>
      <w:tabs>
        <w:tab w:val="num" w:pos="2977"/>
      </w:tabs>
      <w:ind w:left="2977" w:hanging="709"/>
    </w:pPr>
    <w:rPr>
      <w:rFonts w:eastAsia="Times New Roman"/>
      <w:lang w:val="fr-FR" w:eastAsia="en-GB"/>
    </w:rPr>
  </w:style>
  <w:style w:type="paragraph" w:customStyle="1" w:styleId="ListNumber4Level3">
    <w:name w:val="List Number 4 (Level 3)"/>
    <w:basedOn w:val="Text4"/>
    <w:rsid w:val="00775676"/>
    <w:pPr>
      <w:tabs>
        <w:tab w:val="num" w:pos="2977"/>
      </w:tabs>
      <w:ind w:left="2977" w:hanging="709"/>
    </w:pPr>
    <w:rPr>
      <w:rFonts w:eastAsia="Times New Roman"/>
      <w:lang w:val="fr-FR" w:eastAsia="en-GB"/>
    </w:rPr>
  </w:style>
  <w:style w:type="paragraph" w:customStyle="1" w:styleId="ListNumber1Level4">
    <w:name w:val="List Number 1 (Level 4)"/>
    <w:basedOn w:val="Text1"/>
    <w:rsid w:val="00775676"/>
    <w:pPr>
      <w:numPr>
        <w:ilvl w:val="3"/>
        <w:numId w:val="15"/>
      </w:numPr>
    </w:pPr>
    <w:rPr>
      <w:rFonts w:eastAsia="Times New Roman"/>
      <w:lang w:val="fr-FR" w:eastAsia="en-GB"/>
    </w:rPr>
  </w:style>
  <w:style w:type="paragraph" w:customStyle="1" w:styleId="ListNumber2Level4">
    <w:name w:val="List Number 2 (Level 4)"/>
    <w:basedOn w:val="Text2"/>
    <w:rsid w:val="00775676"/>
    <w:pPr>
      <w:tabs>
        <w:tab w:val="num" w:pos="3686"/>
      </w:tabs>
      <w:ind w:left="3686" w:hanging="709"/>
    </w:pPr>
    <w:rPr>
      <w:rFonts w:eastAsia="Times New Roman"/>
      <w:lang w:val="fr-FR" w:eastAsia="en-GB"/>
    </w:rPr>
  </w:style>
  <w:style w:type="paragraph" w:customStyle="1" w:styleId="ListNumber3Level4">
    <w:name w:val="List Number 3 (Level 4)"/>
    <w:basedOn w:val="Text3"/>
    <w:rsid w:val="00775676"/>
    <w:pPr>
      <w:tabs>
        <w:tab w:val="num" w:pos="3686"/>
      </w:tabs>
      <w:ind w:left="3686" w:hanging="709"/>
    </w:pPr>
    <w:rPr>
      <w:rFonts w:eastAsia="Times New Roman"/>
      <w:lang w:val="fr-FR" w:eastAsia="en-GB"/>
    </w:rPr>
  </w:style>
  <w:style w:type="paragraph" w:customStyle="1" w:styleId="ListNumber4Level4">
    <w:name w:val="List Number 4 (Level 4)"/>
    <w:basedOn w:val="Text4"/>
    <w:rsid w:val="00775676"/>
    <w:pPr>
      <w:tabs>
        <w:tab w:val="num" w:pos="3686"/>
      </w:tabs>
      <w:ind w:left="3686" w:hanging="709"/>
    </w:pPr>
    <w:rPr>
      <w:rFonts w:eastAsia="Times New Roman"/>
      <w:lang w:val="fr-FR" w:eastAsia="en-GB"/>
    </w:rPr>
  </w:style>
  <w:style w:type="paragraph" w:customStyle="1" w:styleId="Annexetitreacte">
    <w:name w:val="Annexe titre (acte)"/>
    <w:basedOn w:val="Normal"/>
    <w:next w:val="Normal"/>
    <w:rsid w:val="00775676"/>
    <w:pPr>
      <w:jc w:val="center"/>
    </w:pPr>
    <w:rPr>
      <w:rFonts w:eastAsia="Times New Roman"/>
      <w:b/>
      <w:u w:val="single"/>
      <w:lang w:val="fr-FR" w:eastAsia="en-GB"/>
    </w:rPr>
  </w:style>
  <w:style w:type="paragraph" w:customStyle="1" w:styleId="Annexetitreexposglobal">
    <w:name w:val="Annexe titre (exposé global)"/>
    <w:basedOn w:val="Normal"/>
    <w:next w:val="Normal"/>
    <w:rsid w:val="00775676"/>
    <w:pPr>
      <w:jc w:val="center"/>
    </w:pPr>
    <w:rPr>
      <w:rFonts w:eastAsia="Times New Roman"/>
      <w:b/>
      <w:u w:val="single"/>
      <w:lang w:val="fr-FR" w:eastAsia="en-GB"/>
    </w:rPr>
  </w:style>
  <w:style w:type="paragraph" w:customStyle="1" w:styleId="Annexetitrefichefinacte">
    <w:name w:val="Annexe titre (fiche fin. acte)"/>
    <w:basedOn w:val="Normal"/>
    <w:next w:val="Normal"/>
    <w:rsid w:val="00775676"/>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775676"/>
    <w:pPr>
      <w:jc w:val="center"/>
    </w:pPr>
    <w:rPr>
      <w:rFonts w:eastAsia="Times New Roman"/>
      <w:b/>
      <w:u w:val="single"/>
      <w:lang w:val="fr-FR" w:eastAsia="en-GB"/>
    </w:rPr>
  </w:style>
  <w:style w:type="paragraph" w:customStyle="1" w:styleId="Annexetitreglobale">
    <w:name w:val="Annexe titre (globale)"/>
    <w:basedOn w:val="Normal"/>
    <w:next w:val="Normal"/>
    <w:rsid w:val="00775676"/>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775676"/>
    <w:pPr>
      <w:jc w:val="center"/>
    </w:pPr>
    <w:rPr>
      <w:rFonts w:eastAsia="Times New Roman"/>
      <w:b/>
      <w:u w:val="single"/>
      <w:lang w:val="fr-FR" w:eastAsia="en-GB"/>
    </w:rPr>
  </w:style>
  <w:style w:type="paragraph" w:customStyle="1" w:styleId="Langueoriginale">
    <w:name w:val="Langue originale"/>
    <w:basedOn w:val="Normal"/>
    <w:rsid w:val="00775676"/>
    <w:pPr>
      <w:spacing w:before="360"/>
      <w:jc w:val="center"/>
    </w:pPr>
    <w:rPr>
      <w:rFonts w:eastAsia="Times New Roman"/>
      <w:caps/>
      <w:lang w:val="fr-FR" w:eastAsia="en-GB"/>
    </w:rPr>
  </w:style>
  <w:style w:type="paragraph" w:customStyle="1" w:styleId="Phrasefinale">
    <w:name w:val="Phrase finale"/>
    <w:basedOn w:val="Normal"/>
    <w:next w:val="Normal"/>
    <w:rsid w:val="00775676"/>
    <w:pPr>
      <w:spacing w:before="360" w:after="0"/>
      <w:jc w:val="center"/>
    </w:pPr>
    <w:rPr>
      <w:rFonts w:eastAsia="Times New Roman"/>
      <w:lang w:val="fr-FR" w:eastAsia="en-GB"/>
    </w:rPr>
  </w:style>
  <w:style w:type="paragraph" w:customStyle="1" w:styleId="Prliminairetitre">
    <w:name w:val="Préliminaire titre"/>
    <w:basedOn w:val="Normal"/>
    <w:next w:val="Normal"/>
    <w:rsid w:val="00775676"/>
    <w:pPr>
      <w:spacing w:before="360" w:after="360"/>
      <w:jc w:val="center"/>
    </w:pPr>
    <w:rPr>
      <w:rFonts w:eastAsia="Times New Roman"/>
      <w:b/>
      <w:lang w:val="fr-FR" w:eastAsia="en-GB"/>
    </w:rPr>
  </w:style>
  <w:style w:type="paragraph" w:customStyle="1" w:styleId="Prliminairetype">
    <w:name w:val="Préliminaire type"/>
    <w:basedOn w:val="Normal"/>
    <w:next w:val="Normal"/>
    <w:rsid w:val="00775676"/>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775676"/>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rsid w:val="00775676"/>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rsid w:val="00775676"/>
    <w:pPr>
      <w:spacing w:before="0" w:after="0"/>
      <w:ind w:left="5103"/>
      <w:jc w:val="left"/>
    </w:pPr>
    <w:rPr>
      <w:rFonts w:eastAsia="Times New Roman"/>
      <w:lang w:val="fr-FR" w:eastAsia="en-GB"/>
    </w:rPr>
  </w:style>
  <w:style w:type="paragraph" w:customStyle="1" w:styleId="Sous-titreobjetprliminaire">
    <w:name w:val="Sous-titre objet (préliminaire)"/>
    <w:basedOn w:val="Normal"/>
    <w:rsid w:val="00775676"/>
    <w:pPr>
      <w:spacing w:before="0" w:after="0"/>
      <w:jc w:val="center"/>
    </w:pPr>
    <w:rPr>
      <w:rFonts w:eastAsia="Times New Roman"/>
      <w:b/>
      <w:lang w:val="fr-FR" w:eastAsia="en-GB"/>
    </w:rPr>
  </w:style>
  <w:style w:type="paragraph" w:customStyle="1" w:styleId="Statutprliminaire">
    <w:name w:val="Statut (préliminaire)"/>
    <w:basedOn w:val="Normal"/>
    <w:next w:val="Normal"/>
    <w:rsid w:val="00775676"/>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775676"/>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775676"/>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775676"/>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775676"/>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775676"/>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775676"/>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775676"/>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775676"/>
    <w:pPr>
      <w:jc w:val="center"/>
    </w:pPr>
    <w:rPr>
      <w:rFonts w:eastAsia="Times New Roman"/>
      <w:b/>
      <w:u w:val="single"/>
      <w:lang w:val="fr-FR" w:eastAsia="en-GB"/>
    </w:rPr>
  </w:style>
  <w:style w:type="character" w:styleId="PageNumber">
    <w:name w:val="page number"/>
    <w:rsid w:val="00775676"/>
  </w:style>
  <w:style w:type="character" w:customStyle="1" w:styleId="tw4winMark">
    <w:name w:val="tw4winMark"/>
    <w:rsid w:val="00775676"/>
    <w:rPr>
      <w:vanish/>
      <w:color w:val="800080"/>
      <w:vertAlign w:val="subscript"/>
    </w:rPr>
  </w:style>
  <w:style w:type="character" w:customStyle="1" w:styleId="TOCHeadingChar">
    <w:name w:val="TOC Heading Char"/>
    <w:uiPriority w:val="39"/>
    <w:rsid w:val="00775676"/>
    <w:rPr>
      <w:rFonts w:ascii="Times New Roman" w:hAnsi="Times New Roman" w:cs="Times New Roman"/>
      <w:b/>
      <w:sz w:val="28"/>
      <w:lang w:val="en-GB"/>
    </w:rPr>
  </w:style>
  <w:style w:type="paragraph" w:customStyle="1" w:styleId="Lignefinal">
    <w:name w:val="Ligne final"/>
    <w:basedOn w:val="Normal"/>
    <w:next w:val="Normal"/>
    <w:rsid w:val="00646E3E"/>
    <w:pPr>
      <w:pBdr>
        <w:bottom w:val="single" w:sz="4" w:space="0" w:color="000000"/>
      </w:pBdr>
      <w:spacing w:before="360" w:line="360" w:lineRule="auto"/>
      <w:ind w:left="3400" w:right="3400"/>
      <w:jc w:val="center"/>
    </w:pPr>
    <w:rPr>
      <w:b/>
    </w:rPr>
  </w:style>
  <w:style w:type="paragraph" w:customStyle="1" w:styleId="Default">
    <w:name w:val="Default"/>
    <w:rsid w:val="00A25DCD"/>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Body">
    <w:name w:val="Body"/>
    <w:rsid w:val="00B72599"/>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Normal1">
    <w:name w:val="Normal1"/>
    <w:basedOn w:val="Normal"/>
    <w:rsid w:val="00CE512C"/>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977AC9"/>
    <w:pPr>
      <w:tabs>
        <w:tab w:val="center" w:pos="4535"/>
        <w:tab w:val="right" w:pos="9071"/>
      </w:tabs>
      <w:spacing w:before="0"/>
    </w:pPr>
  </w:style>
  <w:style w:type="character" w:customStyle="1" w:styleId="HeaderChar">
    <w:name w:val="Header Char"/>
    <w:basedOn w:val="DefaultParagraphFont"/>
    <w:link w:val="Header"/>
    <w:uiPriority w:val="99"/>
    <w:rsid w:val="00977AC9"/>
    <w:rPr>
      <w:rFonts w:ascii="Times New Roman" w:hAnsi="Times New Roman" w:cs="Times New Roman"/>
      <w:sz w:val="24"/>
      <w:lang w:val="en-GB"/>
    </w:rPr>
  </w:style>
  <w:style w:type="paragraph" w:styleId="Footer">
    <w:name w:val="footer"/>
    <w:basedOn w:val="Normal"/>
    <w:link w:val="FooterChar"/>
    <w:uiPriority w:val="99"/>
    <w:unhideWhenUsed/>
    <w:rsid w:val="00977AC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77AC9"/>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977AC9"/>
    <w:pPr>
      <w:tabs>
        <w:tab w:val="center" w:pos="7285"/>
        <w:tab w:val="right" w:pos="14003"/>
      </w:tabs>
      <w:spacing w:before="0"/>
    </w:pPr>
  </w:style>
  <w:style w:type="paragraph" w:customStyle="1" w:styleId="FooterLandscape">
    <w:name w:val="FooterLandscape"/>
    <w:basedOn w:val="Normal"/>
    <w:rsid w:val="00977AC9"/>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977AC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977AC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0"/>
      </w:numPr>
    </w:pPr>
  </w:style>
  <w:style w:type="paragraph" w:customStyle="1" w:styleId="Tiret1">
    <w:name w:val="Tiret 1"/>
    <w:basedOn w:val="Point1"/>
    <w:rsid w:val="00877878"/>
    <w:pPr>
      <w:numPr>
        <w:numId w:val="21"/>
      </w:numPr>
    </w:pPr>
  </w:style>
  <w:style w:type="paragraph" w:customStyle="1" w:styleId="Tiret2">
    <w:name w:val="Tiret 2"/>
    <w:basedOn w:val="Point2"/>
    <w:rsid w:val="00877878"/>
    <w:pPr>
      <w:numPr>
        <w:numId w:val="22"/>
      </w:numPr>
    </w:pPr>
  </w:style>
  <w:style w:type="paragraph" w:customStyle="1" w:styleId="Tiret3">
    <w:name w:val="Tiret 3"/>
    <w:basedOn w:val="Point3"/>
    <w:rsid w:val="00877878"/>
    <w:pPr>
      <w:numPr>
        <w:numId w:val="23"/>
      </w:numPr>
    </w:pPr>
  </w:style>
  <w:style w:type="paragraph" w:customStyle="1" w:styleId="Tiret4">
    <w:name w:val="Tiret 4"/>
    <w:basedOn w:val="Point4"/>
    <w:rsid w:val="00877878"/>
    <w:pPr>
      <w:numPr>
        <w:numId w:val="2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5"/>
      </w:numPr>
    </w:pPr>
  </w:style>
  <w:style w:type="paragraph" w:customStyle="1" w:styleId="NumPar2">
    <w:name w:val="NumPar 2"/>
    <w:basedOn w:val="Normal"/>
    <w:next w:val="Text1"/>
    <w:rsid w:val="00877878"/>
    <w:pPr>
      <w:numPr>
        <w:ilvl w:val="1"/>
        <w:numId w:val="25"/>
      </w:numPr>
    </w:pPr>
  </w:style>
  <w:style w:type="paragraph" w:customStyle="1" w:styleId="NumPar3">
    <w:name w:val="NumPar 3"/>
    <w:basedOn w:val="Normal"/>
    <w:next w:val="Text1"/>
    <w:rsid w:val="00877878"/>
    <w:pPr>
      <w:numPr>
        <w:ilvl w:val="2"/>
        <w:numId w:val="25"/>
      </w:numPr>
    </w:pPr>
  </w:style>
  <w:style w:type="paragraph" w:customStyle="1" w:styleId="NumPar4">
    <w:name w:val="NumPar 4"/>
    <w:basedOn w:val="Normal"/>
    <w:next w:val="Text1"/>
    <w:rsid w:val="00877878"/>
    <w:pPr>
      <w:numPr>
        <w:ilvl w:val="3"/>
        <w:numId w:val="2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7"/>
      </w:numPr>
    </w:pPr>
  </w:style>
  <w:style w:type="paragraph" w:customStyle="1" w:styleId="Point1number">
    <w:name w:val="Point 1 (number)"/>
    <w:basedOn w:val="Normal"/>
    <w:rsid w:val="00877878"/>
    <w:pPr>
      <w:numPr>
        <w:ilvl w:val="2"/>
        <w:numId w:val="27"/>
      </w:numPr>
    </w:pPr>
  </w:style>
  <w:style w:type="paragraph" w:customStyle="1" w:styleId="Point2number">
    <w:name w:val="Point 2 (number)"/>
    <w:basedOn w:val="Normal"/>
    <w:rsid w:val="00877878"/>
    <w:pPr>
      <w:numPr>
        <w:ilvl w:val="4"/>
        <w:numId w:val="27"/>
      </w:numPr>
    </w:pPr>
  </w:style>
  <w:style w:type="paragraph" w:customStyle="1" w:styleId="Point3number">
    <w:name w:val="Point 3 (number)"/>
    <w:basedOn w:val="Normal"/>
    <w:rsid w:val="00877878"/>
    <w:pPr>
      <w:numPr>
        <w:ilvl w:val="6"/>
        <w:numId w:val="27"/>
      </w:numPr>
    </w:pPr>
  </w:style>
  <w:style w:type="paragraph" w:customStyle="1" w:styleId="Point0letter">
    <w:name w:val="Point 0 (letter)"/>
    <w:basedOn w:val="Normal"/>
    <w:rsid w:val="00877878"/>
    <w:pPr>
      <w:numPr>
        <w:ilvl w:val="1"/>
        <w:numId w:val="27"/>
      </w:numPr>
    </w:pPr>
  </w:style>
  <w:style w:type="paragraph" w:customStyle="1" w:styleId="Point1letter">
    <w:name w:val="Point 1 (letter)"/>
    <w:basedOn w:val="Normal"/>
    <w:rsid w:val="00877878"/>
    <w:pPr>
      <w:numPr>
        <w:ilvl w:val="3"/>
        <w:numId w:val="27"/>
      </w:numPr>
    </w:pPr>
  </w:style>
  <w:style w:type="paragraph" w:customStyle="1" w:styleId="Point2letter">
    <w:name w:val="Point 2 (letter)"/>
    <w:basedOn w:val="Normal"/>
    <w:rsid w:val="00877878"/>
    <w:pPr>
      <w:numPr>
        <w:ilvl w:val="5"/>
        <w:numId w:val="27"/>
      </w:numPr>
    </w:pPr>
  </w:style>
  <w:style w:type="paragraph" w:customStyle="1" w:styleId="Point3letter">
    <w:name w:val="Point 3 (letter)"/>
    <w:basedOn w:val="Normal"/>
    <w:rsid w:val="00877878"/>
    <w:pPr>
      <w:numPr>
        <w:ilvl w:val="7"/>
        <w:numId w:val="27"/>
      </w:numPr>
    </w:pPr>
  </w:style>
  <w:style w:type="paragraph" w:customStyle="1" w:styleId="Point4letter">
    <w:name w:val="Point 4 (letter)"/>
    <w:basedOn w:val="Normal"/>
    <w:rsid w:val="00877878"/>
    <w:pPr>
      <w:numPr>
        <w:ilvl w:val="8"/>
        <w:numId w:val="27"/>
      </w:numPr>
    </w:pPr>
  </w:style>
  <w:style w:type="paragraph" w:customStyle="1" w:styleId="Bullet0">
    <w:name w:val="Bullet 0"/>
    <w:basedOn w:val="Normal"/>
    <w:rsid w:val="00877878"/>
    <w:pPr>
      <w:numPr>
        <w:numId w:val="28"/>
      </w:numPr>
    </w:pPr>
  </w:style>
  <w:style w:type="paragraph" w:customStyle="1" w:styleId="Bullet1">
    <w:name w:val="Bullet 1"/>
    <w:basedOn w:val="Normal"/>
    <w:rsid w:val="00877878"/>
    <w:pPr>
      <w:numPr>
        <w:numId w:val="29"/>
      </w:numPr>
    </w:pPr>
  </w:style>
  <w:style w:type="paragraph" w:customStyle="1" w:styleId="Bullet2">
    <w:name w:val="Bullet 2"/>
    <w:basedOn w:val="Normal"/>
    <w:rsid w:val="00877878"/>
    <w:pPr>
      <w:numPr>
        <w:numId w:val="30"/>
      </w:numPr>
    </w:pPr>
  </w:style>
  <w:style w:type="paragraph" w:customStyle="1" w:styleId="Bullet3">
    <w:name w:val="Bullet 3"/>
    <w:basedOn w:val="Normal"/>
    <w:rsid w:val="00877878"/>
    <w:pPr>
      <w:numPr>
        <w:numId w:val="31"/>
      </w:numPr>
    </w:pPr>
  </w:style>
  <w:style w:type="paragraph" w:customStyle="1" w:styleId="Bullet4">
    <w:name w:val="Bullet 4"/>
    <w:basedOn w:val="Normal"/>
    <w:rsid w:val="00877878"/>
    <w:pPr>
      <w:numPr>
        <w:numId w:val="3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81621">
      <w:bodyDiv w:val="1"/>
      <w:marLeft w:val="0"/>
      <w:marRight w:val="0"/>
      <w:marTop w:val="0"/>
      <w:marBottom w:val="0"/>
      <w:divBdr>
        <w:top w:val="none" w:sz="0" w:space="0" w:color="auto"/>
        <w:left w:val="none" w:sz="0" w:space="0" w:color="auto"/>
        <w:bottom w:val="none" w:sz="0" w:space="0" w:color="auto"/>
        <w:right w:val="none" w:sz="0" w:space="0" w:color="auto"/>
      </w:divBdr>
    </w:div>
    <w:div w:id="521551201">
      <w:bodyDiv w:val="1"/>
      <w:marLeft w:val="0"/>
      <w:marRight w:val="0"/>
      <w:marTop w:val="0"/>
      <w:marBottom w:val="0"/>
      <w:divBdr>
        <w:top w:val="none" w:sz="0" w:space="0" w:color="auto"/>
        <w:left w:val="none" w:sz="0" w:space="0" w:color="auto"/>
        <w:bottom w:val="none" w:sz="0" w:space="0" w:color="auto"/>
        <w:right w:val="none" w:sz="0" w:space="0" w:color="auto"/>
      </w:divBdr>
    </w:div>
    <w:div w:id="606234461">
      <w:bodyDiv w:val="1"/>
      <w:marLeft w:val="0"/>
      <w:marRight w:val="0"/>
      <w:marTop w:val="0"/>
      <w:marBottom w:val="0"/>
      <w:divBdr>
        <w:top w:val="none" w:sz="0" w:space="0" w:color="auto"/>
        <w:left w:val="none" w:sz="0" w:space="0" w:color="auto"/>
        <w:bottom w:val="none" w:sz="0" w:space="0" w:color="auto"/>
        <w:right w:val="none" w:sz="0" w:space="0" w:color="auto"/>
      </w:divBdr>
      <w:divsChild>
        <w:div w:id="2086487229">
          <w:marLeft w:val="0"/>
          <w:marRight w:val="0"/>
          <w:marTop w:val="0"/>
          <w:marBottom w:val="0"/>
          <w:divBdr>
            <w:top w:val="none" w:sz="0" w:space="0" w:color="auto"/>
            <w:left w:val="none" w:sz="0" w:space="0" w:color="auto"/>
            <w:bottom w:val="none" w:sz="0" w:space="0" w:color="auto"/>
            <w:right w:val="none" w:sz="0" w:space="0" w:color="auto"/>
          </w:divBdr>
          <w:divsChild>
            <w:div w:id="747460571">
              <w:marLeft w:val="0"/>
              <w:marRight w:val="0"/>
              <w:marTop w:val="0"/>
              <w:marBottom w:val="150"/>
              <w:divBdr>
                <w:top w:val="none" w:sz="0" w:space="0" w:color="auto"/>
                <w:left w:val="none" w:sz="0" w:space="0" w:color="auto"/>
                <w:bottom w:val="none" w:sz="0" w:space="0" w:color="auto"/>
                <w:right w:val="none" w:sz="0" w:space="0" w:color="auto"/>
              </w:divBdr>
              <w:divsChild>
                <w:div w:id="1711567601">
                  <w:marLeft w:val="0"/>
                  <w:marRight w:val="0"/>
                  <w:marTop w:val="0"/>
                  <w:marBottom w:val="0"/>
                  <w:divBdr>
                    <w:top w:val="none" w:sz="0" w:space="0" w:color="auto"/>
                    <w:left w:val="none" w:sz="0" w:space="0" w:color="auto"/>
                    <w:bottom w:val="none" w:sz="0" w:space="0" w:color="auto"/>
                    <w:right w:val="none" w:sz="0" w:space="0" w:color="auto"/>
                  </w:divBdr>
                  <w:divsChild>
                    <w:div w:id="57364378">
                      <w:marLeft w:val="0"/>
                      <w:marRight w:val="0"/>
                      <w:marTop w:val="0"/>
                      <w:marBottom w:val="0"/>
                      <w:divBdr>
                        <w:top w:val="none" w:sz="0" w:space="0" w:color="auto"/>
                        <w:left w:val="none" w:sz="0" w:space="0" w:color="auto"/>
                        <w:bottom w:val="none" w:sz="0" w:space="0" w:color="auto"/>
                        <w:right w:val="none" w:sz="0" w:space="0" w:color="auto"/>
                      </w:divBdr>
                      <w:divsChild>
                        <w:div w:id="138155627">
                          <w:marLeft w:val="0"/>
                          <w:marRight w:val="0"/>
                          <w:marTop w:val="0"/>
                          <w:marBottom w:val="0"/>
                          <w:divBdr>
                            <w:top w:val="none" w:sz="0" w:space="0" w:color="auto"/>
                            <w:left w:val="none" w:sz="0" w:space="0" w:color="auto"/>
                            <w:bottom w:val="none" w:sz="0" w:space="0" w:color="auto"/>
                            <w:right w:val="none" w:sz="0" w:space="0" w:color="auto"/>
                          </w:divBdr>
                          <w:divsChild>
                            <w:div w:id="1966964128">
                              <w:marLeft w:val="0"/>
                              <w:marRight w:val="0"/>
                              <w:marTop w:val="0"/>
                              <w:marBottom w:val="0"/>
                              <w:divBdr>
                                <w:top w:val="none" w:sz="0" w:space="0" w:color="auto"/>
                                <w:left w:val="none" w:sz="0" w:space="0" w:color="auto"/>
                                <w:bottom w:val="none" w:sz="0" w:space="0" w:color="auto"/>
                                <w:right w:val="none" w:sz="0" w:space="0" w:color="auto"/>
                              </w:divBdr>
                              <w:divsChild>
                                <w:div w:id="1299384063">
                                  <w:marLeft w:val="0"/>
                                  <w:marRight w:val="-3600"/>
                                  <w:marTop w:val="150"/>
                                  <w:marBottom w:val="0"/>
                                  <w:divBdr>
                                    <w:top w:val="none" w:sz="0" w:space="0" w:color="auto"/>
                                    <w:left w:val="none" w:sz="0" w:space="0" w:color="auto"/>
                                    <w:bottom w:val="none" w:sz="0" w:space="0" w:color="auto"/>
                                    <w:right w:val="none" w:sz="0" w:space="0" w:color="auto"/>
                                  </w:divBdr>
                                  <w:divsChild>
                                    <w:div w:id="1145390697">
                                      <w:marLeft w:val="0"/>
                                      <w:marRight w:val="3600"/>
                                      <w:marTop w:val="0"/>
                                      <w:marBottom w:val="0"/>
                                      <w:divBdr>
                                        <w:top w:val="none" w:sz="0" w:space="0" w:color="auto"/>
                                        <w:left w:val="none" w:sz="0" w:space="0" w:color="auto"/>
                                        <w:bottom w:val="none" w:sz="0" w:space="0" w:color="auto"/>
                                        <w:right w:val="none" w:sz="0" w:space="0" w:color="auto"/>
                                      </w:divBdr>
                                      <w:divsChild>
                                        <w:div w:id="1797487616">
                                          <w:marLeft w:val="0"/>
                                          <w:marRight w:val="0"/>
                                          <w:marTop w:val="0"/>
                                          <w:marBottom w:val="0"/>
                                          <w:divBdr>
                                            <w:top w:val="none" w:sz="0" w:space="0" w:color="auto"/>
                                            <w:left w:val="none" w:sz="0" w:space="0" w:color="auto"/>
                                            <w:bottom w:val="none" w:sz="0" w:space="0" w:color="auto"/>
                                            <w:right w:val="none" w:sz="0" w:space="0" w:color="auto"/>
                                          </w:divBdr>
                                          <w:divsChild>
                                            <w:div w:id="1923291387">
                                              <w:marLeft w:val="0"/>
                                              <w:marRight w:val="0"/>
                                              <w:marTop w:val="0"/>
                                              <w:marBottom w:val="0"/>
                                              <w:divBdr>
                                                <w:top w:val="none" w:sz="0" w:space="0" w:color="auto"/>
                                                <w:left w:val="none" w:sz="0" w:space="0" w:color="auto"/>
                                                <w:bottom w:val="none" w:sz="0" w:space="0" w:color="auto"/>
                                                <w:right w:val="none" w:sz="0" w:space="0" w:color="auto"/>
                                              </w:divBdr>
                                              <w:divsChild>
                                                <w:div w:id="1201359413">
                                                  <w:marLeft w:val="0"/>
                                                  <w:marRight w:val="0"/>
                                                  <w:marTop w:val="0"/>
                                                  <w:marBottom w:val="0"/>
                                                  <w:divBdr>
                                                    <w:top w:val="none" w:sz="0" w:space="0" w:color="auto"/>
                                                    <w:left w:val="none" w:sz="0" w:space="0" w:color="auto"/>
                                                    <w:bottom w:val="none" w:sz="0" w:space="0" w:color="auto"/>
                                                    <w:right w:val="none" w:sz="0" w:space="0" w:color="auto"/>
                                                  </w:divBdr>
                                                  <w:divsChild>
                                                    <w:div w:id="2021588997">
                                                      <w:marLeft w:val="0"/>
                                                      <w:marRight w:val="0"/>
                                                      <w:marTop w:val="0"/>
                                                      <w:marBottom w:val="0"/>
                                                      <w:divBdr>
                                                        <w:top w:val="none" w:sz="0" w:space="0" w:color="auto"/>
                                                        <w:left w:val="none" w:sz="0" w:space="0" w:color="auto"/>
                                                        <w:bottom w:val="none" w:sz="0" w:space="0" w:color="auto"/>
                                                        <w:right w:val="none" w:sz="0" w:space="0" w:color="auto"/>
                                                      </w:divBdr>
                                                      <w:divsChild>
                                                        <w:div w:id="422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116869">
      <w:bodyDiv w:val="1"/>
      <w:marLeft w:val="0"/>
      <w:marRight w:val="0"/>
      <w:marTop w:val="0"/>
      <w:marBottom w:val="0"/>
      <w:divBdr>
        <w:top w:val="none" w:sz="0" w:space="0" w:color="auto"/>
        <w:left w:val="none" w:sz="0" w:space="0" w:color="auto"/>
        <w:bottom w:val="none" w:sz="0" w:space="0" w:color="auto"/>
        <w:right w:val="none" w:sz="0" w:space="0" w:color="auto"/>
      </w:divBdr>
    </w:div>
    <w:div w:id="1061635231">
      <w:bodyDiv w:val="1"/>
      <w:marLeft w:val="0"/>
      <w:marRight w:val="0"/>
      <w:marTop w:val="0"/>
      <w:marBottom w:val="0"/>
      <w:divBdr>
        <w:top w:val="none" w:sz="0" w:space="0" w:color="auto"/>
        <w:left w:val="none" w:sz="0" w:space="0" w:color="auto"/>
        <w:bottom w:val="none" w:sz="0" w:space="0" w:color="auto"/>
        <w:right w:val="none" w:sz="0" w:space="0" w:color="auto"/>
      </w:divBdr>
      <w:divsChild>
        <w:div w:id="1732465468">
          <w:marLeft w:val="0"/>
          <w:marRight w:val="0"/>
          <w:marTop w:val="0"/>
          <w:marBottom w:val="0"/>
          <w:divBdr>
            <w:top w:val="none" w:sz="0" w:space="0" w:color="auto"/>
            <w:left w:val="none" w:sz="0" w:space="0" w:color="auto"/>
            <w:bottom w:val="none" w:sz="0" w:space="0" w:color="auto"/>
            <w:right w:val="none" w:sz="0" w:space="0" w:color="auto"/>
          </w:divBdr>
          <w:divsChild>
            <w:div w:id="1634410217">
              <w:marLeft w:val="0"/>
              <w:marRight w:val="0"/>
              <w:marTop w:val="0"/>
              <w:marBottom w:val="150"/>
              <w:divBdr>
                <w:top w:val="none" w:sz="0" w:space="0" w:color="auto"/>
                <w:left w:val="none" w:sz="0" w:space="0" w:color="auto"/>
                <w:bottom w:val="none" w:sz="0" w:space="0" w:color="auto"/>
                <w:right w:val="none" w:sz="0" w:space="0" w:color="auto"/>
              </w:divBdr>
              <w:divsChild>
                <w:div w:id="1598365430">
                  <w:marLeft w:val="0"/>
                  <w:marRight w:val="0"/>
                  <w:marTop w:val="0"/>
                  <w:marBottom w:val="0"/>
                  <w:divBdr>
                    <w:top w:val="none" w:sz="0" w:space="0" w:color="auto"/>
                    <w:left w:val="none" w:sz="0" w:space="0" w:color="auto"/>
                    <w:bottom w:val="none" w:sz="0" w:space="0" w:color="auto"/>
                    <w:right w:val="none" w:sz="0" w:space="0" w:color="auto"/>
                  </w:divBdr>
                  <w:divsChild>
                    <w:div w:id="422336400">
                      <w:marLeft w:val="0"/>
                      <w:marRight w:val="0"/>
                      <w:marTop w:val="0"/>
                      <w:marBottom w:val="0"/>
                      <w:divBdr>
                        <w:top w:val="none" w:sz="0" w:space="0" w:color="auto"/>
                        <w:left w:val="none" w:sz="0" w:space="0" w:color="auto"/>
                        <w:bottom w:val="none" w:sz="0" w:space="0" w:color="auto"/>
                        <w:right w:val="none" w:sz="0" w:space="0" w:color="auto"/>
                      </w:divBdr>
                      <w:divsChild>
                        <w:div w:id="1392537955">
                          <w:marLeft w:val="0"/>
                          <w:marRight w:val="0"/>
                          <w:marTop w:val="0"/>
                          <w:marBottom w:val="0"/>
                          <w:divBdr>
                            <w:top w:val="none" w:sz="0" w:space="0" w:color="auto"/>
                            <w:left w:val="none" w:sz="0" w:space="0" w:color="auto"/>
                            <w:bottom w:val="none" w:sz="0" w:space="0" w:color="auto"/>
                            <w:right w:val="none" w:sz="0" w:space="0" w:color="auto"/>
                          </w:divBdr>
                          <w:divsChild>
                            <w:div w:id="1583878954">
                              <w:marLeft w:val="0"/>
                              <w:marRight w:val="0"/>
                              <w:marTop w:val="0"/>
                              <w:marBottom w:val="0"/>
                              <w:divBdr>
                                <w:top w:val="none" w:sz="0" w:space="0" w:color="auto"/>
                                <w:left w:val="none" w:sz="0" w:space="0" w:color="auto"/>
                                <w:bottom w:val="none" w:sz="0" w:space="0" w:color="auto"/>
                                <w:right w:val="none" w:sz="0" w:space="0" w:color="auto"/>
                              </w:divBdr>
                              <w:divsChild>
                                <w:div w:id="651253905">
                                  <w:marLeft w:val="0"/>
                                  <w:marRight w:val="-3600"/>
                                  <w:marTop w:val="150"/>
                                  <w:marBottom w:val="0"/>
                                  <w:divBdr>
                                    <w:top w:val="none" w:sz="0" w:space="0" w:color="auto"/>
                                    <w:left w:val="none" w:sz="0" w:space="0" w:color="auto"/>
                                    <w:bottom w:val="none" w:sz="0" w:space="0" w:color="auto"/>
                                    <w:right w:val="none" w:sz="0" w:space="0" w:color="auto"/>
                                  </w:divBdr>
                                  <w:divsChild>
                                    <w:div w:id="970481595">
                                      <w:marLeft w:val="0"/>
                                      <w:marRight w:val="3600"/>
                                      <w:marTop w:val="0"/>
                                      <w:marBottom w:val="0"/>
                                      <w:divBdr>
                                        <w:top w:val="none" w:sz="0" w:space="0" w:color="auto"/>
                                        <w:left w:val="none" w:sz="0" w:space="0" w:color="auto"/>
                                        <w:bottom w:val="none" w:sz="0" w:space="0" w:color="auto"/>
                                        <w:right w:val="none" w:sz="0" w:space="0" w:color="auto"/>
                                      </w:divBdr>
                                      <w:divsChild>
                                        <w:div w:id="1921014592">
                                          <w:marLeft w:val="0"/>
                                          <w:marRight w:val="0"/>
                                          <w:marTop w:val="0"/>
                                          <w:marBottom w:val="0"/>
                                          <w:divBdr>
                                            <w:top w:val="none" w:sz="0" w:space="0" w:color="auto"/>
                                            <w:left w:val="none" w:sz="0" w:space="0" w:color="auto"/>
                                            <w:bottom w:val="none" w:sz="0" w:space="0" w:color="auto"/>
                                            <w:right w:val="none" w:sz="0" w:space="0" w:color="auto"/>
                                          </w:divBdr>
                                          <w:divsChild>
                                            <w:div w:id="1668357989">
                                              <w:marLeft w:val="0"/>
                                              <w:marRight w:val="0"/>
                                              <w:marTop w:val="0"/>
                                              <w:marBottom w:val="0"/>
                                              <w:divBdr>
                                                <w:top w:val="none" w:sz="0" w:space="0" w:color="auto"/>
                                                <w:left w:val="none" w:sz="0" w:space="0" w:color="auto"/>
                                                <w:bottom w:val="none" w:sz="0" w:space="0" w:color="auto"/>
                                                <w:right w:val="none" w:sz="0" w:space="0" w:color="auto"/>
                                              </w:divBdr>
                                              <w:divsChild>
                                                <w:div w:id="1432236735">
                                                  <w:marLeft w:val="0"/>
                                                  <w:marRight w:val="0"/>
                                                  <w:marTop w:val="0"/>
                                                  <w:marBottom w:val="0"/>
                                                  <w:divBdr>
                                                    <w:top w:val="none" w:sz="0" w:space="0" w:color="auto"/>
                                                    <w:left w:val="none" w:sz="0" w:space="0" w:color="auto"/>
                                                    <w:bottom w:val="none" w:sz="0" w:space="0" w:color="auto"/>
                                                    <w:right w:val="none" w:sz="0" w:space="0" w:color="auto"/>
                                                  </w:divBdr>
                                                  <w:divsChild>
                                                    <w:div w:id="1701011168">
                                                      <w:marLeft w:val="0"/>
                                                      <w:marRight w:val="0"/>
                                                      <w:marTop w:val="0"/>
                                                      <w:marBottom w:val="0"/>
                                                      <w:divBdr>
                                                        <w:top w:val="none" w:sz="0" w:space="0" w:color="auto"/>
                                                        <w:left w:val="none" w:sz="0" w:space="0" w:color="auto"/>
                                                        <w:bottom w:val="none" w:sz="0" w:space="0" w:color="auto"/>
                                                        <w:right w:val="none" w:sz="0" w:space="0" w:color="auto"/>
                                                      </w:divBdr>
                                                      <w:divsChild>
                                                        <w:div w:id="16820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8874568">
      <w:bodyDiv w:val="1"/>
      <w:marLeft w:val="0"/>
      <w:marRight w:val="0"/>
      <w:marTop w:val="0"/>
      <w:marBottom w:val="0"/>
      <w:divBdr>
        <w:top w:val="none" w:sz="0" w:space="0" w:color="auto"/>
        <w:left w:val="none" w:sz="0" w:space="0" w:color="auto"/>
        <w:bottom w:val="none" w:sz="0" w:space="0" w:color="auto"/>
        <w:right w:val="none" w:sz="0" w:space="0" w:color="auto"/>
      </w:divBdr>
    </w:div>
    <w:div w:id="1886019672">
      <w:bodyDiv w:val="1"/>
      <w:marLeft w:val="0"/>
      <w:marRight w:val="0"/>
      <w:marTop w:val="0"/>
      <w:marBottom w:val="0"/>
      <w:divBdr>
        <w:top w:val="none" w:sz="0" w:space="0" w:color="auto"/>
        <w:left w:val="none" w:sz="0" w:space="0" w:color="auto"/>
        <w:bottom w:val="none" w:sz="0" w:space="0" w:color="auto"/>
        <w:right w:val="none" w:sz="0" w:space="0" w:color="auto"/>
      </w:divBdr>
    </w:div>
    <w:div w:id="2074545182">
      <w:bodyDiv w:val="1"/>
      <w:marLeft w:val="0"/>
      <w:marRight w:val="0"/>
      <w:marTop w:val="0"/>
      <w:marBottom w:val="0"/>
      <w:divBdr>
        <w:top w:val="none" w:sz="0" w:space="0" w:color="auto"/>
        <w:left w:val="none" w:sz="0" w:space="0" w:color="auto"/>
        <w:bottom w:val="none" w:sz="0" w:space="0" w:color="auto"/>
        <w:right w:val="none" w:sz="0" w:space="0" w:color="auto"/>
      </w:divBdr>
    </w:div>
    <w:div w:id="20932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Program%20Files%20(x86)\LegisWrite\Dqc\Help\InvalidFootnotes.htm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0A9A604-4F2D-466F-B5F3-9CD4994A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6</Pages>
  <Words>1915</Words>
  <Characters>9824</Characters>
  <Application>Microsoft Office Word</Application>
  <DocSecurity>0</DocSecurity>
  <Lines>166</Lines>
  <Paragraphs>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KUDRYK Katarzyna (SG)</cp:lastModifiedBy>
  <cp:revision>5</cp:revision>
  <cp:lastPrinted>2019-03-28T16:09:00Z</cp:lastPrinted>
  <dcterms:created xsi:type="dcterms:W3CDTF">2019-04-11T08:44:00Z</dcterms:created>
  <dcterms:modified xsi:type="dcterms:W3CDTF">2019-04-11T14:26:00Z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Red (DQC version 03)</vt:lpwstr>
  </property>
</Properties>
</file>