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93980E0-5988-4F87-AF28-F3AA97C7E289" style="width:450.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Having regard to:</w:t>
      </w:r>
    </w:p>
    <w:p>
      <w:pPr>
        <w:pStyle w:val="Tiret0"/>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tabs>
          <w:tab w:val="clear" w:pos="850"/>
          <w:tab w:val="num" w:pos="927"/>
        </w:tabs>
        <w:rPr>
          <w:rFonts w:cs="Arial"/>
          <w:noProof/>
          <w:szCs w:val="18"/>
        </w:rPr>
      </w:pPr>
      <w:r>
        <w:rPr>
          <w:noProof/>
        </w:rPr>
        <w:t>Regulation (EU, Euratom) 2018/1046 of the European Parliament and of the Council of 18 July 2018 on the financial rules applicable to the general budget of the Union (…)</w:t>
      </w:r>
      <w:r>
        <w:rPr>
          <w:rStyle w:val="FootnoteReference"/>
          <w:noProof/>
        </w:rPr>
        <w:footnoteReference w:id="2"/>
      </w:r>
      <w:r>
        <w:rPr>
          <w:noProof/>
        </w:rPr>
        <w:t>, and in particular Article 44 thereof,</w:t>
      </w:r>
    </w:p>
    <w:p>
      <w:pPr>
        <w:pStyle w:val="Tiret0"/>
        <w:tabs>
          <w:tab w:val="clear" w:pos="850"/>
          <w:tab w:val="num" w:pos="927"/>
        </w:tabs>
        <w:rPr>
          <w:noProof/>
        </w:rPr>
      </w:pPr>
      <w:r>
        <w:rPr>
          <w:noProof/>
        </w:rPr>
        <w:t>the general budget of the European Union for the financial year 2019, as adopted on 12 December 2018</w:t>
      </w:r>
      <w:r>
        <w:rPr>
          <w:rStyle w:val="FootnoteReference"/>
          <w:noProof/>
        </w:rPr>
        <w:footnoteReference w:id="3"/>
      </w:r>
      <w:r>
        <w:rPr>
          <w:noProof/>
        </w:rPr>
        <w:t>,</w:t>
      </w:r>
    </w:p>
    <w:p>
      <w:pPr>
        <w:jc w:val="both"/>
        <w:rPr>
          <w:noProof/>
        </w:rPr>
      </w:pPr>
      <w:r>
        <w:rPr>
          <w:noProof/>
        </w:rPr>
        <w:t>The European Commission hereby presents to the European Parliament and to the Council the Draft Amending Budget No 1 to the 2019 budget.</w:t>
      </w:r>
    </w:p>
    <w:p>
      <w:pPr>
        <w:rPr>
          <w:b/>
          <w:noProof/>
          <w:u w:val="single"/>
        </w:rPr>
      </w:pPr>
    </w:p>
    <w:p>
      <w:pPr>
        <w:jc w:val="both"/>
        <w:rPr>
          <w:b/>
          <w:noProof/>
          <w:u w:val="single"/>
          <w:lang w:eastAsia="ko-KR"/>
        </w:rPr>
      </w:pPr>
      <w:r>
        <w:rPr>
          <w:b/>
          <w:noProof/>
          <w:u w:val="single"/>
          <w:lang w:eastAsia="ko-KR"/>
        </w:rPr>
        <w:t>CHANGES TO THE STATEMENT OF REVENUE AND EXPENDITURE BY SECTION</w:t>
      </w:r>
    </w:p>
    <w:p>
      <w:pPr>
        <w:rPr>
          <w:b/>
          <w:noProof/>
          <w:u w:val="single"/>
          <w:lang w:eastAsia="ko-KR"/>
        </w:rPr>
      </w:pPr>
    </w:p>
    <w:p>
      <w:pPr>
        <w:jc w:val="both"/>
        <w:rPr>
          <w:noProof/>
          <w:lang w:eastAsia="ko-KR"/>
        </w:rPr>
      </w:pPr>
      <w:r>
        <w:rPr>
          <w:noProof/>
        </w:rPr>
        <w:t>The changes to the statement of revenue and expenditure by section are available on EUR-Lex (</w:t>
      </w:r>
      <w:hyperlink r:id="rId16" w:history="1">
        <w:r>
          <w:rPr>
            <w:rStyle w:val="Hyperlink"/>
            <w:noProof/>
            <w:color w:val="auto"/>
          </w:rPr>
          <w:t>http://eur-lex.europa.eu/budget/www/index-en.htm</w:t>
        </w:r>
      </w:hyperlink>
      <w:r>
        <w:rPr>
          <w:noProof/>
        </w:rPr>
        <w:t>). An English version of the changes to this statement is attached for information as a budgetary annex.</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pPr>
    </w:p>
    <w:p>
      <w:pPr>
        <w:pStyle w:val="Exposdesmotifstitre"/>
        <w:rPr>
          <w:noProof/>
        </w:rPr>
      </w:pPr>
      <w:bookmarkStart w:id="2" w:name="_Toc194220890"/>
      <w:bookmarkStart w:id="3" w:name="_Toc294675429"/>
      <w:bookmarkStart w:id="4" w:name="_Toc378575883"/>
      <w:r>
        <w:rPr>
          <w:noProof/>
        </w:rPr>
        <w:t>EXPLANATORY MEMORANDUM</w:t>
      </w:r>
    </w:p>
    <w:p>
      <w:pPr>
        <w:jc w:val="both"/>
        <w:rPr>
          <w:noProof/>
          <w:lang w:val="en-US"/>
        </w:rPr>
      </w:pPr>
      <w:r>
        <w:rPr>
          <w:noProof/>
        </w:rPr>
        <w:t>Draft Amending Budget (DAB) No 1/2019 is intended to enter in the 2019 budget the surplus resulting from the implementation of the budget year 2018. As provided for in Article 18 § 3 of the Financial Regulation applicable to the general budget of the Union</w:t>
      </w:r>
      <w:r>
        <w:rPr>
          <w:noProof/>
          <w:vertAlign w:val="superscript"/>
        </w:rPr>
        <w:footnoteReference w:id="4"/>
      </w:r>
      <w:r>
        <w:rPr>
          <w:noProof/>
          <w:color w:val="000000"/>
        </w:rPr>
        <w:t>,</w:t>
      </w:r>
      <w:r>
        <w:rPr>
          <w:noProof/>
        </w:rPr>
        <w:t xml:space="preserve"> the surplus is the only subject of this DAB and it has to be submitted </w:t>
      </w:r>
      <w:r>
        <w:rPr>
          <w:noProof/>
          <w:lang w:val="en-US"/>
        </w:rPr>
        <w:t>within 15 days of the submission of the provisional accounts at the end of March 2019.</w:t>
      </w:r>
    </w:p>
    <w:p>
      <w:pPr>
        <w:pStyle w:val="NumPar1"/>
        <w:rPr>
          <w:noProof/>
          <w:color w:val="000000"/>
        </w:rPr>
      </w:pPr>
      <w:r>
        <w:rPr>
          <w:noProof/>
        </w:rPr>
        <w:t xml:space="preserve">The implementation of the budget year 2018 shows a surplus of EUR 1 802 988 329, </w:t>
      </w:r>
      <w:r>
        <w:rPr>
          <w:noProof/>
          <w:color w:val="000000"/>
        </w:rPr>
        <w:t>which is therefore entered as revenue in the 2019 budget.</w:t>
      </w:r>
    </w:p>
    <w:p>
      <w:pPr>
        <w:pStyle w:val="NumPar1"/>
        <w:numPr>
          <w:ilvl w:val="0"/>
          <w:numId w:val="0"/>
        </w:numPr>
        <w:spacing w:after="0"/>
        <w:ind w:left="5954"/>
        <w:rPr>
          <w:i/>
          <w:noProof/>
          <w:sz w:val="20"/>
          <w:szCs w:val="20"/>
        </w:rPr>
      </w:pPr>
      <w:r>
        <w:rPr>
          <w:i/>
          <w:noProof/>
          <w:sz w:val="20"/>
          <w:szCs w:val="20"/>
        </w:rPr>
        <w:t>(in EUR)</w:t>
      </w:r>
    </w:p>
    <w:tbl>
      <w:tblPr>
        <w:tblW w:w="3716" w:type="dxa"/>
        <w:jc w:val="center"/>
        <w:tblLook w:val="04A0" w:firstRow="1" w:lastRow="0" w:firstColumn="1" w:lastColumn="0" w:noHBand="0" w:noVBand="1"/>
      </w:tblPr>
      <w:tblGrid>
        <w:gridCol w:w="2159"/>
        <w:gridCol w:w="1557"/>
      </w:tblGrid>
      <w:tr>
        <w:trPr>
          <w:trHeight w:val="570"/>
          <w:jc w:val="center"/>
        </w:trPr>
        <w:tc>
          <w:tcPr>
            <w:tcW w:w="3716"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p>
            <w:pPr>
              <w:jc w:val="center"/>
              <w:rPr>
                <w:b/>
                <w:bCs/>
                <w:noProof/>
                <w:color w:val="000000"/>
                <w:sz w:val="18"/>
                <w:szCs w:val="18"/>
              </w:rPr>
            </w:pPr>
            <w:r>
              <w:rPr>
                <w:b/>
                <w:bCs/>
                <w:noProof/>
                <w:color w:val="000000"/>
                <w:sz w:val="18"/>
                <w:szCs w:val="18"/>
              </w:rPr>
              <w:t>Outturn breakdown 2018</w:t>
            </w:r>
          </w:p>
        </w:tc>
      </w:tr>
      <w:tr>
        <w:trPr>
          <w:trHeight w:val="270"/>
          <w:jc w:val="center"/>
        </w:trPr>
        <w:tc>
          <w:tcPr>
            <w:tcW w:w="2159"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b/>
                <w:bCs/>
                <w:noProof/>
                <w:color w:val="000000"/>
                <w:sz w:val="18"/>
                <w:szCs w:val="18"/>
              </w:rPr>
            </w:pPr>
            <w:r>
              <w:rPr>
                <w:b/>
                <w:bCs/>
                <w:noProof/>
                <w:color w:val="000000"/>
                <w:sz w:val="18"/>
                <w:szCs w:val="18"/>
              </w:rPr>
              <w:t xml:space="preserve">Surplus Revenue </w:t>
            </w:r>
          </w:p>
        </w:tc>
        <w:tc>
          <w:tcPr>
            <w:tcW w:w="1557" w:type="dxa"/>
            <w:tcBorders>
              <w:top w:val="nil"/>
              <w:left w:val="nil"/>
              <w:bottom w:val="nil"/>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1 274 590 133</w:t>
            </w:r>
          </w:p>
        </w:tc>
      </w:tr>
      <w:tr>
        <w:trPr>
          <w:trHeight w:val="270"/>
          <w:jc w:val="center"/>
        </w:trPr>
        <w:tc>
          <w:tcPr>
            <w:tcW w:w="2159" w:type="dxa"/>
            <w:tcBorders>
              <w:top w:val="single" w:sz="4" w:space="0" w:color="auto"/>
              <w:left w:val="single" w:sz="4" w:space="0" w:color="auto"/>
              <w:bottom w:val="single" w:sz="4" w:space="0" w:color="auto"/>
              <w:right w:val="single" w:sz="4" w:space="0" w:color="000000"/>
            </w:tcBorders>
            <w:shd w:val="clear" w:color="auto" w:fill="auto"/>
            <w:vAlign w:val="center"/>
            <w:hideMark/>
          </w:tcPr>
          <w:p>
            <w:pPr>
              <w:rPr>
                <w:b/>
                <w:bCs/>
                <w:noProof/>
                <w:color w:val="000000"/>
                <w:sz w:val="18"/>
                <w:szCs w:val="18"/>
              </w:rPr>
            </w:pPr>
            <w:r>
              <w:rPr>
                <w:b/>
                <w:bCs/>
                <w:noProof/>
                <w:color w:val="000000"/>
                <w:sz w:val="18"/>
                <w:szCs w:val="18"/>
              </w:rPr>
              <w:t>Surplus Expenditure</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528 398 196</w:t>
            </w:r>
          </w:p>
        </w:tc>
      </w:tr>
      <w:tr>
        <w:trPr>
          <w:trHeight w:val="270"/>
          <w:jc w:val="center"/>
        </w:trPr>
        <w:tc>
          <w:tcPr>
            <w:tcW w:w="2159" w:type="dxa"/>
            <w:tcBorders>
              <w:top w:val="single" w:sz="4" w:space="0" w:color="auto"/>
              <w:left w:val="single" w:sz="4" w:space="0" w:color="auto"/>
              <w:bottom w:val="single" w:sz="4" w:space="0" w:color="auto"/>
              <w:right w:val="single" w:sz="4" w:space="0" w:color="auto"/>
            </w:tcBorders>
            <w:shd w:val="clear" w:color="000000" w:fill="E0E0E0"/>
            <w:vAlign w:val="center"/>
          </w:tcPr>
          <w:p>
            <w:pPr>
              <w:rPr>
                <w:b/>
                <w:bCs/>
                <w:noProof/>
                <w:color w:val="000000"/>
                <w:sz w:val="18"/>
                <w:szCs w:val="18"/>
              </w:rPr>
            </w:pPr>
            <w:r>
              <w:rPr>
                <w:b/>
                <w:bCs/>
                <w:noProof/>
                <w:color w:val="000000"/>
                <w:sz w:val="18"/>
                <w:szCs w:val="18"/>
              </w:rPr>
              <w:t>Total surplus</w:t>
            </w:r>
          </w:p>
        </w:tc>
        <w:tc>
          <w:tcPr>
            <w:tcW w:w="1557" w:type="dxa"/>
            <w:tcBorders>
              <w:top w:val="nil"/>
              <w:left w:val="nil"/>
              <w:bottom w:val="single" w:sz="4" w:space="0" w:color="auto"/>
              <w:right w:val="single" w:sz="4" w:space="0" w:color="auto"/>
            </w:tcBorders>
            <w:shd w:val="clear" w:color="000000" w:fill="E0E0E0"/>
            <w:vAlign w:val="center"/>
          </w:tcPr>
          <w:p>
            <w:pPr>
              <w:jc w:val="right"/>
              <w:rPr>
                <w:b/>
                <w:bCs/>
                <w:noProof/>
                <w:color w:val="000000"/>
                <w:sz w:val="18"/>
                <w:szCs w:val="18"/>
              </w:rPr>
            </w:pPr>
            <w:r>
              <w:rPr>
                <w:b/>
                <w:bCs/>
                <w:noProof/>
                <w:color w:val="000000"/>
                <w:sz w:val="18"/>
                <w:szCs w:val="18"/>
              </w:rPr>
              <w:t>1 802 988 329</w:t>
            </w:r>
          </w:p>
        </w:tc>
      </w:tr>
    </w:tbl>
    <w:bookmarkEnd w:id="2"/>
    <w:p>
      <w:pPr>
        <w:pStyle w:val="NumPar1"/>
        <w:rPr>
          <w:noProof/>
        </w:rPr>
      </w:pPr>
      <w:r>
        <w:rPr>
          <w:noProof/>
        </w:rPr>
        <w:t>Budgeting the surplus will diminish accordingly the total contribution of the 28 Member States to the financing of the 2019 budget</w:t>
      </w:r>
      <w:r>
        <w:rPr>
          <w:rStyle w:val="FootnoteReference"/>
          <w:noProof/>
        </w:rPr>
        <w:footnoteReference w:id="5"/>
      </w:r>
      <w:r>
        <w:rPr>
          <w:noProof/>
        </w:rPr>
        <w:t>. The contributions by Member States will also be influenced by the updated own resources forecast which will be available after the Advisory Committee on Own Resources meeting in May 2019 and included in a subsequent Draft Amending Budget.</w:t>
      </w:r>
    </w:p>
    <w:p>
      <w:pPr>
        <w:pStyle w:val="NumPar1"/>
        <w:spacing w:before="240" w:after="0"/>
        <w:ind w:left="851" w:hanging="851"/>
        <w:rPr>
          <w:noProof/>
        </w:rPr>
      </w:pPr>
      <w:r>
        <w:rPr>
          <w:noProof/>
        </w:rPr>
        <w:t>The table below presents a breakdown of the outturn for 2018 in terms of the implementation of revenue:</w:t>
      </w:r>
    </w:p>
    <w:p>
      <w:pPr>
        <w:pStyle w:val="NumPar1"/>
        <w:numPr>
          <w:ilvl w:val="0"/>
          <w:numId w:val="0"/>
        </w:numPr>
        <w:spacing w:after="0"/>
        <w:ind w:left="850" w:hanging="850"/>
        <w:jc w:val="right"/>
        <w:rPr>
          <w:i/>
          <w:noProof/>
          <w:sz w:val="20"/>
          <w:szCs w:val="20"/>
        </w:rPr>
      </w:pPr>
      <w:r>
        <w:rPr>
          <w:i/>
          <w:noProof/>
          <w:sz w:val="20"/>
          <w:szCs w:val="20"/>
        </w:rPr>
        <w:t>(in EUR)</w:t>
      </w:r>
    </w:p>
    <w:tbl>
      <w:tblPr>
        <w:tblW w:w="9929" w:type="dxa"/>
        <w:tblInd w:w="93" w:type="dxa"/>
        <w:tblLook w:val="04A0" w:firstRow="1" w:lastRow="0" w:firstColumn="1" w:lastColumn="0" w:noHBand="0" w:noVBand="1"/>
      </w:tblPr>
      <w:tblGrid>
        <w:gridCol w:w="377"/>
        <w:gridCol w:w="4883"/>
        <w:gridCol w:w="1556"/>
        <w:gridCol w:w="1556"/>
        <w:gridCol w:w="1557"/>
      </w:tblGrid>
      <w:tr>
        <w:trPr>
          <w:trHeight w:val="510"/>
        </w:trPr>
        <w:tc>
          <w:tcPr>
            <w:tcW w:w="5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center"/>
              <w:rPr>
                <w:b/>
                <w:bCs/>
                <w:noProof/>
                <w:color w:val="000000"/>
                <w:sz w:val="18"/>
                <w:szCs w:val="18"/>
              </w:rPr>
            </w:pPr>
            <w:r>
              <w:rPr>
                <w:b/>
                <w:bCs/>
                <w:noProof/>
                <w:color w:val="000000"/>
                <w:sz w:val="18"/>
                <w:szCs w:val="18"/>
              </w:rPr>
              <w:t>Outturn breakdown 2018</w:t>
            </w:r>
          </w:p>
        </w:tc>
        <w:tc>
          <w:tcPr>
            <w:tcW w:w="15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jc w:val="center"/>
              <w:rPr>
                <w:b/>
                <w:bCs/>
                <w:noProof/>
                <w:color w:val="000000"/>
                <w:sz w:val="18"/>
                <w:szCs w:val="18"/>
              </w:rPr>
            </w:pPr>
            <w:r>
              <w:rPr>
                <w:b/>
                <w:bCs/>
                <w:noProof/>
                <w:color w:val="000000"/>
                <w:sz w:val="18"/>
                <w:szCs w:val="18"/>
              </w:rPr>
              <w:t>Budget</w:t>
            </w:r>
            <w:r>
              <w:rPr>
                <w:b/>
                <w:bCs/>
                <w:noProof/>
                <w:color w:val="000000"/>
                <w:sz w:val="18"/>
                <w:szCs w:val="18"/>
              </w:rPr>
              <w:br/>
              <w:t>(includ. AB1-6)</w:t>
            </w:r>
          </w:p>
        </w:tc>
        <w:tc>
          <w:tcPr>
            <w:tcW w:w="15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jc w:val="center"/>
              <w:rPr>
                <w:b/>
                <w:bCs/>
                <w:noProof/>
                <w:color w:val="000000"/>
                <w:sz w:val="18"/>
                <w:szCs w:val="18"/>
              </w:rPr>
            </w:pPr>
            <w:r>
              <w:rPr>
                <w:b/>
                <w:bCs/>
                <w:noProof/>
                <w:color w:val="000000"/>
                <w:sz w:val="18"/>
                <w:szCs w:val="18"/>
              </w:rPr>
              <w:t>Outturn</w:t>
            </w:r>
          </w:p>
        </w:tc>
        <w:tc>
          <w:tcPr>
            <w:tcW w:w="15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jc w:val="center"/>
              <w:rPr>
                <w:b/>
                <w:bCs/>
                <w:noProof/>
                <w:color w:val="000000"/>
                <w:sz w:val="18"/>
                <w:szCs w:val="18"/>
              </w:rPr>
            </w:pPr>
            <w:r>
              <w:rPr>
                <w:b/>
                <w:bCs/>
                <w:noProof/>
                <w:color w:val="000000"/>
                <w:sz w:val="18"/>
                <w:szCs w:val="18"/>
              </w:rPr>
              <w:t>Variation</w:t>
            </w:r>
          </w:p>
        </w:tc>
      </w:tr>
      <w:tr>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rPr>
                <w:b/>
                <w:bCs/>
                <w:noProof/>
                <w:color w:val="000000"/>
                <w:sz w:val="18"/>
                <w:szCs w:val="18"/>
              </w:rPr>
            </w:pPr>
            <w:r>
              <w:rPr>
                <w:b/>
                <w:bCs/>
                <w:noProof/>
                <w:color w:val="000000"/>
                <w:sz w:val="18"/>
                <w:szCs w:val="18"/>
              </w:rPr>
              <w:t>Sub-total Revenue</w:t>
            </w:r>
          </w:p>
        </w:tc>
        <w:tc>
          <w:tcPr>
            <w:tcW w:w="15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jc w:val="right"/>
              <w:rPr>
                <w:b/>
                <w:bCs/>
                <w:noProof/>
                <w:color w:val="000000"/>
                <w:sz w:val="18"/>
                <w:szCs w:val="18"/>
              </w:rPr>
            </w:pPr>
            <w:r>
              <w:rPr>
                <w:b/>
                <w:bCs/>
                <w:noProof/>
                <w:color w:val="000000"/>
                <w:sz w:val="18"/>
                <w:szCs w:val="18"/>
              </w:rPr>
              <w:t>144 767 916 298</w:t>
            </w:r>
          </w:p>
        </w:tc>
        <w:tc>
          <w:tcPr>
            <w:tcW w:w="15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jc w:val="right"/>
              <w:rPr>
                <w:b/>
                <w:bCs/>
                <w:noProof/>
                <w:color w:val="000000"/>
                <w:sz w:val="18"/>
                <w:szCs w:val="18"/>
              </w:rPr>
            </w:pPr>
            <w:r>
              <w:rPr>
                <w:b/>
                <w:bCs/>
                <w:noProof/>
                <w:color w:val="000000"/>
                <w:sz w:val="18"/>
                <w:szCs w:val="18"/>
              </w:rPr>
              <w:t>146 042 506 431</w:t>
            </w:r>
          </w:p>
        </w:tc>
        <w:tc>
          <w:tcPr>
            <w:tcW w:w="15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jc w:val="right"/>
              <w:rPr>
                <w:b/>
                <w:bCs/>
                <w:noProof/>
                <w:color w:val="000000"/>
                <w:sz w:val="18"/>
                <w:szCs w:val="18"/>
              </w:rPr>
            </w:pPr>
            <w:r>
              <w:rPr>
                <w:b/>
                <w:bCs/>
                <w:noProof/>
                <w:color w:val="000000"/>
                <w:sz w:val="18"/>
                <w:szCs w:val="18"/>
              </w:rPr>
              <w:t>1 274 590 133</w:t>
            </w:r>
          </w:p>
        </w:tc>
      </w:tr>
      <w:tr>
        <w:trPr>
          <w:trHeight w:val="270"/>
        </w:trPr>
        <w:tc>
          <w:tcPr>
            <w:tcW w:w="377" w:type="dxa"/>
            <w:tcBorders>
              <w:top w:val="single" w:sz="4" w:space="0" w:color="auto"/>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83" w:type="dxa"/>
            <w:tcBorders>
              <w:top w:val="single" w:sz="4" w:space="0" w:color="auto"/>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Title 1 - Own resources</w:t>
            </w:r>
          </w:p>
        </w:tc>
        <w:tc>
          <w:tcPr>
            <w:tcW w:w="1556"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142 363 728 037</w:t>
            </w:r>
          </w:p>
        </w:tc>
        <w:tc>
          <w:tcPr>
            <w:tcW w:w="1556"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142 329 649 983</w:t>
            </w:r>
          </w:p>
        </w:tc>
        <w:tc>
          <w:tcPr>
            <w:tcW w:w="1557"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-34 078 054</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Levies and other duties in the sugar sector</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-92 981 713</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-85 070 995</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7 910 718</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Custom duties</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20 164 642 350</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20 316 700 932</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152 058 582</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Own resources accruing from VAT</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17 148 885 750</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17 132 576 159</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-16 309 591</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Own resources based on GNI</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105 143 181 650</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104 978 526 257</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-164 655 393</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Correction of budgetary imbalances granted to UK</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0</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-18 997 428</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-18 997 428</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Gross reduction in the annual GNI-based contribution granted to some Member States</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0</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5 915 059</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5 915 059</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Title 3 - Surpluses, balances and adjustments</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555 542 325</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581 255 381</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25 713 056</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Title 4 - Persons working with the Institutions</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1 547 408 825</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1 541 840 701</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-5 568 124</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Title 5 - Administrative operation of the institutions</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45 050 050</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3 715 390</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-41 334 660</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Title 6 - Refunds in connection with Union agreements and programmes</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110 000 000</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106 217 941</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-3 782 059</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Title 7 - Interests on late payments and fines</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115 000 000</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1 427 642 570</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1 312 642 570</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Title 8 - Borrowing and lending operations</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6 186 061</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39 035 856</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32 849 795</w:t>
            </w:r>
          </w:p>
        </w:tc>
      </w:tr>
      <w:tr>
        <w:trPr>
          <w:trHeight w:val="270"/>
        </w:trPr>
        <w:tc>
          <w:tcPr>
            <w:tcW w:w="377" w:type="dxa"/>
            <w:tcBorders>
              <w:top w:val="dotted" w:sz="4" w:space="0" w:color="auto"/>
              <w:left w:val="single" w:sz="4" w:space="0" w:color="auto"/>
              <w:bottom w:val="single"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83" w:type="dxa"/>
            <w:tcBorders>
              <w:top w:val="dotted" w:sz="4" w:space="0" w:color="auto"/>
              <w:left w:val="nil"/>
              <w:bottom w:val="single"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Title 9 – Miscellaneous</w:t>
            </w:r>
          </w:p>
        </w:tc>
        <w:tc>
          <w:tcPr>
            <w:tcW w:w="1556" w:type="dxa"/>
            <w:tcBorders>
              <w:top w:val="dotted" w:sz="4" w:space="0" w:color="auto"/>
              <w:left w:val="nil"/>
              <w:bottom w:val="single"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25 001 000</w:t>
            </w:r>
          </w:p>
        </w:tc>
        <w:tc>
          <w:tcPr>
            <w:tcW w:w="1556" w:type="dxa"/>
            <w:tcBorders>
              <w:top w:val="dotted" w:sz="4" w:space="0" w:color="auto"/>
              <w:left w:val="nil"/>
              <w:bottom w:val="single"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13 148 609</w:t>
            </w:r>
          </w:p>
        </w:tc>
        <w:tc>
          <w:tcPr>
            <w:tcW w:w="1557" w:type="dxa"/>
            <w:tcBorders>
              <w:top w:val="dotted" w:sz="4" w:space="0" w:color="auto"/>
              <w:left w:val="nil"/>
              <w:bottom w:val="single"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-11 852 391</w:t>
            </w:r>
          </w:p>
        </w:tc>
      </w:tr>
    </w:tbl>
    <w:bookmarkEnd w:id="3"/>
    <w:bookmarkEnd w:id="4"/>
    <w:p>
      <w:pPr>
        <w:pStyle w:val="NumPar1"/>
        <w:rPr>
          <w:noProof/>
        </w:rPr>
      </w:pPr>
      <w:r>
        <w:rPr>
          <w:noProof/>
        </w:rPr>
        <w:t>The differences in Title 1 (</w:t>
      </w:r>
      <w:r>
        <w:rPr>
          <w:i/>
          <w:noProof/>
        </w:rPr>
        <w:t>Own Resources</w:t>
      </w:r>
      <w:r>
        <w:rPr>
          <w:noProof/>
        </w:rPr>
        <w:t xml:space="preserve">) represent 0,02 % of the forecast. They mainly consist of EUR 160 million higher revenue from traditional own resources (100,8 % of the forecast has been collected) and -EUR 200 million lower revenue from exchange rate fluctuations (as own resources are paid in national currency but budgeted and accounted for in euro). In Title 3 </w:t>
      </w:r>
      <w:r>
        <w:rPr>
          <w:i/>
          <w:noProof/>
        </w:rPr>
        <w:t>(Surpluses, balances and adjustments)</w:t>
      </w:r>
      <w:r>
        <w:rPr>
          <w:noProof/>
        </w:rPr>
        <w:t>, linked to the adjustments of own resources, the difference is limited to EUR 26 million.</w:t>
      </w:r>
    </w:p>
    <w:p>
      <w:pPr>
        <w:pStyle w:val="NumPar1"/>
        <w:spacing w:before="240" w:after="240"/>
        <w:ind w:left="851" w:hanging="851"/>
        <w:rPr>
          <w:noProof/>
        </w:rPr>
      </w:pPr>
      <w:r>
        <w:rPr>
          <w:noProof/>
        </w:rPr>
        <w:t xml:space="preserve">The largest difference (EUR 1 313 million) is found in Title 7 </w:t>
      </w:r>
      <w:r>
        <w:rPr>
          <w:i/>
          <w:noProof/>
        </w:rPr>
        <w:t xml:space="preserve">(Default interest and fines). </w:t>
      </w:r>
      <w:r>
        <w:rPr>
          <w:noProof/>
        </w:rPr>
        <w:t>The outturn is composed of competition fines and default interest, other penalty payments and interest linked to fines and penalty payments.</w:t>
      </w:r>
    </w:p>
    <w:p>
      <w:pPr>
        <w:pStyle w:val="NumPar1"/>
        <w:spacing w:before="240" w:after="0"/>
        <w:ind w:left="851" w:hanging="851"/>
        <w:rPr>
          <w:noProof/>
        </w:rPr>
      </w:pPr>
      <w:r>
        <w:rPr>
          <w:noProof/>
        </w:rPr>
        <w:t>The table below presents a breakdown of the outturn for 2018 in terms of budget implementation of expenditure for all institutions:</w:t>
      </w:r>
    </w:p>
    <w:p>
      <w:pPr>
        <w:pStyle w:val="NumPar1"/>
        <w:numPr>
          <w:ilvl w:val="0"/>
          <w:numId w:val="0"/>
        </w:numPr>
        <w:spacing w:after="0"/>
        <w:ind w:left="850" w:hanging="850"/>
        <w:jc w:val="right"/>
        <w:rPr>
          <w:i/>
          <w:noProof/>
          <w:sz w:val="20"/>
          <w:szCs w:val="20"/>
        </w:rPr>
      </w:pPr>
      <w:r>
        <w:rPr>
          <w:i/>
          <w:noProof/>
          <w:sz w:val="20"/>
          <w:szCs w:val="20"/>
        </w:rPr>
        <w:t>(in EUR)</w:t>
      </w:r>
    </w:p>
    <w:tbl>
      <w:tblPr>
        <w:tblW w:w="9929" w:type="dxa"/>
        <w:tblInd w:w="93" w:type="dxa"/>
        <w:tblLook w:val="04A0" w:firstRow="1" w:lastRow="0" w:firstColumn="1" w:lastColumn="0" w:noHBand="0" w:noVBand="1"/>
      </w:tblPr>
      <w:tblGrid>
        <w:gridCol w:w="377"/>
        <w:gridCol w:w="4883"/>
        <w:gridCol w:w="1556"/>
        <w:gridCol w:w="1556"/>
        <w:gridCol w:w="1557"/>
      </w:tblGrid>
      <w:tr>
        <w:trPr>
          <w:trHeight w:val="510"/>
        </w:trPr>
        <w:tc>
          <w:tcPr>
            <w:tcW w:w="52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bCs/>
                <w:noProof/>
                <w:color w:val="000000"/>
                <w:sz w:val="18"/>
                <w:szCs w:val="18"/>
              </w:rPr>
              <w:t>Outturn breakdown 2018</w:t>
            </w:r>
          </w:p>
        </w:tc>
        <w:tc>
          <w:tcPr>
            <w:tcW w:w="1556" w:type="dxa"/>
            <w:tcBorders>
              <w:top w:val="single" w:sz="4" w:space="0" w:color="auto"/>
              <w:left w:val="nil"/>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bCs/>
                <w:noProof/>
                <w:color w:val="000000"/>
                <w:sz w:val="18"/>
                <w:szCs w:val="18"/>
              </w:rPr>
              <w:t>Budget</w:t>
            </w:r>
            <w:r>
              <w:rPr>
                <w:b/>
                <w:bCs/>
                <w:noProof/>
                <w:color w:val="000000"/>
                <w:sz w:val="18"/>
                <w:szCs w:val="18"/>
              </w:rPr>
              <w:br/>
              <w:t>(includ. AB1-6)</w:t>
            </w:r>
          </w:p>
        </w:tc>
        <w:tc>
          <w:tcPr>
            <w:tcW w:w="1556" w:type="dxa"/>
            <w:tcBorders>
              <w:top w:val="single" w:sz="4" w:space="0" w:color="auto"/>
              <w:left w:val="nil"/>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bCs/>
                <w:noProof/>
                <w:color w:val="000000"/>
                <w:sz w:val="18"/>
                <w:szCs w:val="18"/>
              </w:rPr>
              <w:t>Outturn</w:t>
            </w:r>
          </w:p>
        </w:tc>
        <w:tc>
          <w:tcPr>
            <w:tcW w:w="1557" w:type="dxa"/>
            <w:tcBorders>
              <w:top w:val="single" w:sz="4" w:space="0" w:color="auto"/>
              <w:left w:val="nil"/>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bCs/>
                <w:noProof/>
                <w:color w:val="000000"/>
                <w:sz w:val="18"/>
                <w:szCs w:val="18"/>
              </w:rPr>
              <w:t>Variation</w:t>
            </w:r>
          </w:p>
        </w:tc>
      </w:tr>
      <w:tr>
        <w:trPr>
          <w:trHeight w:val="270"/>
        </w:trPr>
        <w:tc>
          <w:tcPr>
            <w:tcW w:w="526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pPr>
              <w:rPr>
                <w:b/>
                <w:bCs/>
                <w:noProof/>
                <w:color w:val="000000"/>
                <w:sz w:val="18"/>
                <w:szCs w:val="18"/>
              </w:rPr>
            </w:pPr>
            <w:r>
              <w:rPr>
                <w:b/>
                <w:bCs/>
                <w:noProof/>
                <w:color w:val="000000"/>
                <w:sz w:val="18"/>
                <w:szCs w:val="18"/>
              </w:rPr>
              <w:t>Sub-total Expenditure</w:t>
            </w:r>
          </w:p>
        </w:tc>
        <w:tc>
          <w:tcPr>
            <w:tcW w:w="15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jc w:val="right"/>
              <w:rPr>
                <w:b/>
                <w:bCs/>
                <w:noProof/>
                <w:color w:val="000000"/>
                <w:sz w:val="18"/>
                <w:szCs w:val="18"/>
              </w:rPr>
            </w:pPr>
            <w:r>
              <w:rPr>
                <w:b/>
                <w:bCs/>
                <w:noProof/>
                <w:color w:val="000000"/>
                <w:sz w:val="18"/>
                <w:szCs w:val="18"/>
              </w:rPr>
              <w:t>144 767 916 298</w:t>
            </w:r>
          </w:p>
        </w:tc>
        <w:tc>
          <w:tcPr>
            <w:tcW w:w="15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jc w:val="right"/>
              <w:rPr>
                <w:b/>
                <w:bCs/>
                <w:noProof/>
                <w:color w:val="000000"/>
                <w:sz w:val="18"/>
                <w:szCs w:val="18"/>
              </w:rPr>
            </w:pPr>
            <w:r>
              <w:rPr>
                <w:b/>
                <w:bCs/>
                <w:noProof/>
                <w:color w:val="000000"/>
                <w:sz w:val="18"/>
                <w:szCs w:val="18"/>
              </w:rPr>
              <w:t>144 239 518 102</w:t>
            </w:r>
          </w:p>
        </w:tc>
        <w:tc>
          <w:tcPr>
            <w:tcW w:w="15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jc w:val="right"/>
              <w:rPr>
                <w:b/>
                <w:bCs/>
                <w:noProof/>
                <w:color w:val="000000"/>
                <w:sz w:val="18"/>
                <w:szCs w:val="18"/>
              </w:rPr>
            </w:pPr>
            <w:r>
              <w:rPr>
                <w:b/>
                <w:bCs/>
                <w:noProof/>
                <w:color w:val="000000"/>
                <w:sz w:val="18"/>
                <w:szCs w:val="18"/>
              </w:rPr>
              <w:t>-528 398 196</w:t>
            </w:r>
          </w:p>
        </w:tc>
      </w:tr>
      <w:tr>
        <w:trPr>
          <w:trHeight w:val="270"/>
        </w:trPr>
        <w:tc>
          <w:tcPr>
            <w:tcW w:w="5260" w:type="dxa"/>
            <w:gridSpan w:val="2"/>
            <w:tcBorders>
              <w:top w:val="nil"/>
              <w:left w:val="single" w:sz="4" w:space="0" w:color="auto"/>
              <w:bottom w:val="dotted" w:sz="4" w:space="0" w:color="auto"/>
              <w:right w:val="single" w:sz="4" w:space="0" w:color="000000"/>
            </w:tcBorders>
            <w:shd w:val="clear" w:color="auto" w:fill="auto"/>
            <w:vAlign w:val="center"/>
            <w:hideMark/>
          </w:tcPr>
          <w:p>
            <w:pPr>
              <w:rPr>
                <w:b/>
                <w:bCs/>
                <w:noProof/>
                <w:color w:val="000000"/>
                <w:sz w:val="18"/>
                <w:szCs w:val="18"/>
              </w:rPr>
            </w:pPr>
            <w:r>
              <w:rPr>
                <w:b/>
                <w:bCs/>
                <w:noProof/>
                <w:color w:val="000000"/>
                <w:sz w:val="18"/>
                <w:szCs w:val="18"/>
              </w:rPr>
              <w:t>Outturn appropriations of the year</w:t>
            </w:r>
          </w:p>
        </w:tc>
        <w:tc>
          <w:tcPr>
            <w:tcW w:w="155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144 767 916 298</w:t>
            </w:r>
          </w:p>
        </w:tc>
        <w:tc>
          <w:tcPr>
            <w:tcW w:w="155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144 369 781 354</w:t>
            </w:r>
          </w:p>
        </w:tc>
        <w:tc>
          <w:tcPr>
            <w:tcW w:w="155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-398 134 944</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83" w:type="dxa"/>
            <w:tcBorders>
              <w:top w:val="nil"/>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European Commission</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140 752 776 672</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140 430 555 977</w:t>
            </w:r>
          </w:p>
        </w:tc>
        <w:tc>
          <w:tcPr>
            <w:tcW w:w="1557"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-322 220 695</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Heading 1a - Competitiveness for growth and jobs</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20 154 593 499</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20 113 652 917</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-40 940 582</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Heading 1b - Economic, social and territorial cohesion</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46 577 928 034</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46 559 473 543</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-18 454 491</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Heading 2 - Sustainable growth: Natural resources</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56 240 984 244</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56 228 111 429</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-12 872 815</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Heading 3 - Security and Citizenship</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3 013 090 479</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2 988 185 217</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-24 905 262</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Heading 4 - Global Europe</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8 812 942 021</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8 776 262 725</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-36 679 295</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Heading 5 - Administration</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5 651 421 501</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5 607 423 914</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-43 997 587</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Other special instruments</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301 816 894</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157 446 231</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-144 370 663</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83" w:type="dxa"/>
            <w:tcBorders>
              <w:top w:val="nil"/>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Other Institutions</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4 015 139 626</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3 939 225 376</w:t>
            </w:r>
          </w:p>
        </w:tc>
        <w:tc>
          <w:tcPr>
            <w:tcW w:w="1557"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-75 914 250</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European Parliament</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1 950 687 373</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1 934 477 627</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-16 209 746</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Council &amp; European Council</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572 894 377</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526 545 514</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-46 348 863</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Court of Justice of the European Union</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410 025 089</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406 681 899</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-3 343 190</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European Court of Auditors</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146 015 591</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140 484 381</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-5 531 210</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European Economic &amp; Social Committee</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135 630 905</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133 811 443</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-1 819 462</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Committee of the Regions</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96 100 540</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95 380 187</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-720 353</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European Ombudsman</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10 837 545</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10 331 816</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-505 729</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European Data Protection Supervisor</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14 449 068</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13 539 302</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-909 766</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iCs/>
                <w:noProof/>
                <w:color w:val="000000"/>
                <w:sz w:val="18"/>
                <w:szCs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European External Action Service</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678 499 138</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677 973 207</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iCs/>
                <w:noProof/>
                <w:color w:val="000000"/>
                <w:sz w:val="16"/>
                <w:szCs w:val="16"/>
              </w:rPr>
              <w:t>-525 931</w:t>
            </w:r>
          </w:p>
        </w:tc>
      </w:tr>
      <w:tr>
        <w:trPr>
          <w:trHeight w:val="270"/>
        </w:trPr>
        <w:tc>
          <w:tcPr>
            <w:tcW w:w="52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b/>
                <w:bCs/>
                <w:noProof/>
                <w:color w:val="000000"/>
                <w:sz w:val="18"/>
                <w:szCs w:val="18"/>
              </w:rPr>
            </w:pPr>
            <w:r>
              <w:rPr>
                <w:b/>
                <w:bCs/>
                <w:noProof/>
                <w:color w:val="000000"/>
                <w:sz w:val="18"/>
                <w:szCs w:val="18"/>
              </w:rPr>
              <w:t>Cancellation of appropriations carried over from previous years</w:t>
            </w:r>
          </w:p>
        </w:tc>
        <w:tc>
          <w:tcPr>
            <w:tcW w:w="155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0</w:t>
            </w:r>
          </w:p>
        </w:tc>
        <w:tc>
          <w:tcPr>
            <w:tcW w:w="155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-129 699 126</w:t>
            </w:r>
          </w:p>
        </w:tc>
        <w:tc>
          <w:tcPr>
            <w:tcW w:w="155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-129 699 126</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83" w:type="dxa"/>
            <w:tcBorders>
              <w:top w:val="nil"/>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European Commission</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0</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-68 082 034</w:t>
            </w:r>
          </w:p>
        </w:tc>
        <w:tc>
          <w:tcPr>
            <w:tcW w:w="1557"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-68 082 034</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iCs/>
                <w:noProof/>
                <w:color w:val="000000"/>
                <w:sz w:val="18"/>
                <w:szCs w:val="18"/>
              </w:rPr>
              <w:t>—</w:t>
            </w:r>
          </w:p>
        </w:tc>
        <w:tc>
          <w:tcPr>
            <w:tcW w:w="4883" w:type="dxa"/>
            <w:tcBorders>
              <w:top w:val="nil"/>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Other Institutions</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0</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-61 617 091</w:t>
            </w:r>
          </w:p>
        </w:tc>
        <w:tc>
          <w:tcPr>
            <w:tcW w:w="1557"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szCs w:val="18"/>
              </w:rPr>
              <w:t>-61 617 091</w:t>
            </w:r>
          </w:p>
        </w:tc>
      </w:tr>
      <w:tr>
        <w:trPr>
          <w:trHeight w:val="270"/>
        </w:trPr>
        <w:tc>
          <w:tcPr>
            <w:tcW w:w="5260" w:type="dxa"/>
            <w:gridSpan w:val="2"/>
            <w:tcBorders>
              <w:top w:val="dotted" w:sz="4" w:space="0" w:color="auto"/>
              <w:left w:val="single" w:sz="4" w:space="0" w:color="auto"/>
              <w:bottom w:val="single" w:sz="4" w:space="0" w:color="auto"/>
              <w:right w:val="single" w:sz="4" w:space="0" w:color="000000"/>
            </w:tcBorders>
            <w:shd w:val="clear" w:color="auto" w:fill="auto"/>
            <w:vAlign w:val="center"/>
            <w:hideMark/>
          </w:tcPr>
          <w:p>
            <w:pPr>
              <w:rPr>
                <w:b/>
                <w:bCs/>
                <w:noProof/>
                <w:color w:val="000000"/>
                <w:sz w:val="18"/>
                <w:szCs w:val="18"/>
              </w:rPr>
            </w:pPr>
            <w:r>
              <w:rPr>
                <w:b/>
                <w:bCs/>
                <w:noProof/>
                <w:color w:val="000000"/>
                <w:sz w:val="18"/>
                <w:szCs w:val="18"/>
              </w:rPr>
              <w:t>Exchange rate variations on expenditure</w:t>
            </w:r>
          </w:p>
        </w:tc>
        <w:tc>
          <w:tcPr>
            <w:tcW w:w="1556"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0</w:t>
            </w:r>
          </w:p>
        </w:tc>
        <w:tc>
          <w:tcPr>
            <w:tcW w:w="1556"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-564 126</w:t>
            </w:r>
          </w:p>
        </w:tc>
        <w:tc>
          <w:tcPr>
            <w:tcW w:w="1557"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8"/>
                <w:szCs w:val="18"/>
              </w:rPr>
            </w:pPr>
            <w:r>
              <w:rPr>
                <w:b/>
                <w:bCs/>
                <w:noProof/>
                <w:color w:val="000000"/>
                <w:sz w:val="18"/>
                <w:szCs w:val="18"/>
              </w:rPr>
              <w:t>-564 126</w:t>
            </w:r>
          </w:p>
        </w:tc>
      </w:tr>
    </w:tbl>
    <w:p>
      <w:pPr>
        <w:pStyle w:val="NumPar1"/>
        <w:spacing w:before="240" w:after="240"/>
        <w:ind w:left="851" w:hanging="851"/>
        <w:rPr>
          <w:noProof/>
        </w:rPr>
      </w:pPr>
      <w:r>
        <w:rPr>
          <w:noProof/>
        </w:rPr>
        <w:t>The Commission implemented 99,8 % of the authorised payment appropriations. The amount not implemented was EUR 322 million, of which EUR 120 million of the Emergency Aid Reserve.</w:t>
      </w:r>
    </w:p>
    <w:p>
      <w:pPr>
        <w:pStyle w:val="NumPar1"/>
        <w:spacing w:before="240" w:after="240"/>
        <w:ind w:left="851" w:hanging="851"/>
        <w:rPr>
          <w:noProof/>
        </w:rPr>
      </w:pPr>
      <w:r>
        <w:rPr>
          <w:noProof/>
        </w:rPr>
        <w:t>The under-implementation of the other institutions of EUR 76 million was lower than in the previous three years (EUR 83 million in 2017, EUR 103 million in 2016 and EUR 94 million in 2015).</w:t>
      </w:r>
    </w:p>
    <w:sectPr>
      <w:headerReference w:type="even" r:id="rId23"/>
      <w:headerReference w:type="default" r:id="rId24"/>
      <w:footerReference w:type="even" r:id="rId25"/>
      <w:footerReference w:type="default" r:id="rId26"/>
      <w:headerReference w:type="first" r:id="rId27"/>
      <w:footerReference w:type="first" r:id="rId28"/>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l-PL"/>
        </w:rPr>
      </w:pPr>
      <w:r>
        <w:rPr>
          <w:rStyle w:val="FootnoteReference"/>
        </w:rPr>
        <w:footnoteRef/>
      </w:r>
      <w:r>
        <w:rPr>
          <w:lang w:val="pl-PL"/>
        </w:rPr>
        <w:t xml:space="preserve"> </w:t>
      </w:r>
      <w:r>
        <w:rPr>
          <w:lang w:val="pl-PL"/>
        </w:rPr>
        <w:tab/>
      </w:r>
      <w:r>
        <w:rPr>
          <w:sz w:val="18"/>
          <w:szCs w:val="18"/>
          <w:lang w:val="pl-PL"/>
        </w:rPr>
        <w:t>OJ L 193, 30.7.2018, p. 1.</w:t>
      </w:r>
    </w:p>
  </w:footnote>
  <w:footnote w:id="3">
    <w:p>
      <w:pPr>
        <w:pStyle w:val="FootnoteText"/>
        <w:rPr>
          <w:lang w:val="pl-PL"/>
        </w:rPr>
      </w:pPr>
      <w:r>
        <w:rPr>
          <w:rStyle w:val="FootnoteReference"/>
        </w:rPr>
        <w:footnoteRef/>
      </w:r>
      <w:r>
        <w:rPr>
          <w:lang w:val="pl-PL"/>
        </w:rPr>
        <w:t>.</w:t>
      </w:r>
      <w:r>
        <w:rPr>
          <w:lang w:val="pl-PL"/>
        </w:rPr>
        <w:tab/>
      </w:r>
      <w:r>
        <w:rPr>
          <w:sz w:val="18"/>
          <w:szCs w:val="18"/>
          <w:lang w:val="pl-PL"/>
        </w:rPr>
        <w:t>OJ L 67, 7.3.2019.</w:t>
      </w:r>
    </w:p>
  </w:footnote>
  <w:footnote w:id="4">
    <w:p>
      <w:pPr>
        <w:pStyle w:val="FootnoteText"/>
        <w:rPr>
          <w:lang w:val="pl-PL"/>
        </w:rPr>
      </w:pPr>
      <w:r>
        <w:rPr>
          <w:rStyle w:val="FootnoteReference"/>
        </w:rPr>
        <w:footnoteRef/>
      </w:r>
      <w:r>
        <w:rPr>
          <w:sz w:val="19"/>
          <w:szCs w:val="19"/>
          <w:lang w:val="pl-PL"/>
        </w:rPr>
        <w:tab/>
      </w:r>
      <w:r>
        <w:rPr>
          <w:sz w:val="18"/>
          <w:szCs w:val="18"/>
          <w:lang w:val="pl-PL"/>
        </w:rPr>
        <w:t>OJ L 193, 30.7.2018, p. 1.</w:t>
      </w:r>
    </w:p>
  </w:footnote>
  <w:footnote w:id="5">
    <w:p>
      <w:pPr>
        <w:pStyle w:val="FootnoteText"/>
        <w:rPr>
          <w:lang w:val="cs-CZ"/>
        </w:rPr>
      </w:pPr>
      <w:r>
        <w:rPr>
          <w:rStyle w:val="FootnoteReference"/>
        </w:rPr>
        <w:footnoteRef/>
      </w:r>
      <w:r>
        <w:rPr>
          <w:lang w:val="cs-CZ"/>
        </w:rPr>
        <w:tab/>
        <w:t>The Draft Amending Budget is proposed for EU 28 as the date of the withdrawal of the UK was postponed until 31 October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BA72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7ED41C8C"/>
    <w:lvl w:ilvl="0">
      <w:start w:val="1"/>
      <w:numFmt w:val="decimal"/>
      <w:lvlText w:val="%1."/>
      <w:lvlJc w:val="left"/>
      <w:pPr>
        <w:tabs>
          <w:tab w:val="num" w:pos="360"/>
        </w:tabs>
        <w:ind w:left="360" w:hanging="360"/>
      </w:pPr>
    </w:lvl>
  </w:abstractNum>
  <w:abstractNum w:abstractNumId="2">
    <w:nsid w:val="00A856D4"/>
    <w:multiLevelType w:val="hybridMultilevel"/>
    <w:tmpl w:val="B07CF3C4"/>
    <w:lvl w:ilvl="0" w:tplc="3D900F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54526B"/>
    <w:multiLevelType w:val="hybridMultilevel"/>
    <w:tmpl w:val="18D88870"/>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01886"/>
    <w:multiLevelType w:val="hybridMultilevel"/>
    <w:tmpl w:val="FBA0B950"/>
    <w:lvl w:ilvl="0" w:tplc="D1CAE414">
      <w:numFmt w:val="bullet"/>
      <w:lvlText w:val="-"/>
      <w:lvlJc w:val="left"/>
      <w:pPr>
        <w:tabs>
          <w:tab w:val="num" w:pos="810"/>
        </w:tabs>
        <w:ind w:left="810" w:hanging="45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F20AC0"/>
    <w:multiLevelType w:val="hybridMultilevel"/>
    <w:tmpl w:val="32B0E5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7936C33"/>
    <w:multiLevelType w:val="hybridMultilevel"/>
    <w:tmpl w:val="4036C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8795CFC"/>
    <w:multiLevelType w:val="hybridMultilevel"/>
    <w:tmpl w:val="D988CAFC"/>
    <w:lvl w:ilvl="0" w:tplc="040C000F">
      <w:start w:val="1"/>
      <w:numFmt w:val="decimal"/>
      <w:lvlText w:val="%1."/>
      <w:lvlJc w:val="left"/>
      <w:pPr>
        <w:tabs>
          <w:tab w:val="num" w:pos="720"/>
        </w:tabs>
        <w:ind w:left="720" w:hanging="360"/>
      </w:p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F78565E"/>
    <w:multiLevelType w:val="hybridMultilevel"/>
    <w:tmpl w:val="3F76E5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31246D7F"/>
    <w:multiLevelType w:val="hybridMultilevel"/>
    <w:tmpl w:val="E1EA8208"/>
    <w:lvl w:ilvl="0" w:tplc="94027E84">
      <w:start w:val="1"/>
      <w:numFmt w:val="bullet"/>
      <w:lvlText w:val=""/>
      <w:lvlJc w:val="left"/>
      <w:pPr>
        <w:tabs>
          <w:tab w:val="num" w:pos="1437"/>
        </w:tabs>
        <w:ind w:left="143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2">
    <w:nsid w:val="33BE45BD"/>
    <w:multiLevelType w:val="hybridMultilevel"/>
    <w:tmpl w:val="6D2219A0"/>
    <w:lvl w:ilvl="0" w:tplc="08090001">
      <w:start w:val="1"/>
      <w:numFmt w:val="bullet"/>
      <w:lvlText w:val=""/>
      <w:lvlJc w:val="left"/>
      <w:pPr>
        <w:tabs>
          <w:tab w:val="num" w:pos="720"/>
        </w:tabs>
        <w:ind w:left="720" w:hanging="360"/>
      </w:pPr>
      <w:rPr>
        <w:rFonts w:ascii="Symbol" w:hAnsi="Symbol" w:hint="default"/>
      </w:r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4EA3932"/>
    <w:multiLevelType w:val="hybridMultilevel"/>
    <w:tmpl w:val="FA52B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3F090162"/>
    <w:multiLevelType w:val="hybridMultilevel"/>
    <w:tmpl w:val="97F2B26A"/>
    <w:lvl w:ilvl="0" w:tplc="61E27E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nsid w:val="41AF2082"/>
    <w:multiLevelType w:val="hybridMultilevel"/>
    <w:tmpl w:val="A672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8628B4"/>
    <w:multiLevelType w:val="hybridMultilevel"/>
    <w:tmpl w:val="7706A2BE"/>
    <w:lvl w:ilvl="0" w:tplc="3D900F3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1">
    <w:nsid w:val="7123216D"/>
    <w:multiLevelType w:val="hybridMultilevel"/>
    <w:tmpl w:val="F648ECEA"/>
    <w:lvl w:ilvl="0" w:tplc="AB00A56E">
      <w:start w:val="1"/>
      <w:numFmt w:val="bullet"/>
      <w:lvlText w:val=""/>
      <w:lvlJc w:val="left"/>
      <w:pPr>
        <w:tabs>
          <w:tab w:val="num" w:pos="720"/>
        </w:tabs>
        <w:ind w:left="720" w:hanging="360"/>
      </w:pPr>
      <w:rPr>
        <w:rFonts w:ascii="Symbol" w:hAnsi="Symbol" w:hint="default"/>
      </w:rPr>
    </w:lvl>
    <w:lvl w:ilvl="1" w:tplc="047A04A6" w:tentative="1">
      <w:start w:val="1"/>
      <w:numFmt w:val="bullet"/>
      <w:lvlText w:val="o"/>
      <w:lvlJc w:val="left"/>
      <w:pPr>
        <w:tabs>
          <w:tab w:val="num" w:pos="1440"/>
        </w:tabs>
        <w:ind w:left="1440" w:hanging="360"/>
      </w:pPr>
      <w:rPr>
        <w:rFonts w:ascii="Courier New" w:hAnsi="Courier New" w:cs="Courier New" w:hint="default"/>
      </w:rPr>
    </w:lvl>
    <w:lvl w:ilvl="2" w:tplc="CED8E37C" w:tentative="1">
      <w:start w:val="1"/>
      <w:numFmt w:val="bullet"/>
      <w:lvlText w:val=""/>
      <w:lvlJc w:val="left"/>
      <w:pPr>
        <w:tabs>
          <w:tab w:val="num" w:pos="2160"/>
        </w:tabs>
        <w:ind w:left="2160" w:hanging="360"/>
      </w:pPr>
      <w:rPr>
        <w:rFonts w:ascii="Wingdings" w:hAnsi="Wingdings" w:hint="default"/>
      </w:rPr>
    </w:lvl>
    <w:lvl w:ilvl="3" w:tplc="99803BDA" w:tentative="1">
      <w:start w:val="1"/>
      <w:numFmt w:val="bullet"/>
      <w:lvlText w:val=""/>
      <w:lvlJc w:val="left"/>
      <w:pPr>
        <w:tabs>
          <w:tab w:val="num" w:pos="2880"/>
        </w:tabs>
        <w:ind w:left="2880" w:hanging="360"/>
      </w:pPr>
      <w:rPr>
        <w:rFonts w:ascii="Symbol" w:hAnsi="Symbol" w:hint="default"/>
      </w:rPr>
    </w:lvl>
    <w:lvl w:ilvl="4" w:tplc="64F20456" w:tentative="1">
      <w:start w:val="1"/>
      <w:numFmt w:val="bullet"/>
      <w:lvlText w:val="o"/>
      <w:lvlJc w:val="left"/>
      <w:pPr>
        <w:tabs>
          <w:tab w:val="num" w:pos="3600"/>
        </w:tabs>
        <w:ind w:left="3600" w:hanging="360"/>
      </w:pPr>
      <w:rPr>
        <w:rFonts w:ascii="Courier New" w:hAnsi="Courier New" w:cs="Courier New" w:hint="default"/>
      </w:rPr>
    </w:lvl>
    <w:lvl w:ilvl="5" w:tplc="9D789344" w:tentative="1">
      <w:start w:val="1"/>
      <w:numFmt w:val="bullet"/>
      <w:lvlText w:val=""/>
      <w:lvlJc w:val="left"/>
      <w:pPr>
        <w:tabs>
          <w:tab w:val="num" w:pos="4320"/>
        </w:tabs>
        <w:ind w:left="4320" w:hanging="360"/>
      </w:pPr>
      <w:rPr>
        <w:rFonts w:ascii="Wingdings" w:hAnsi="Wingdings" w:hint="default"/>
      </w:rPr>
    </w:lvl>
    <w:lvl w:ilvl="6" w:tplc="440617F6" w:tentative="1">
      <w:start w:val="1"/>
      <w:numFmt w:val="bullet"/>
      <w:lvlText w:val=""/>
      <w:lvlJc w:val="left"/>
      <w:pPr>
        <w:tabs>
          <w:tab w:val="num" w:pos="5040"/>
        </w:tabs>
        <w:ind w:left="5040" w:hanging="360"/>
      </w:pPr>
      <w:rPr>
        <w:rFonts w:ascii="Symbol" w:hAnsi="Symbol" w:hint="default"/>
      </w:rPr>
    </w:lvl>
    <w:lvl w:ilvl="7" w:tplc="BA5AA682" w:tentative="1">
      <w:start w:val="1"/>
      <w:numFmt w:val="bullet"/>
      <w:lvlText w:val="o"/>
      <w:lvlJc w:val="left"/>
      <w:pPr>
        <w:tabs>
          <w:tab w:val="num" w:pos="5760"/>
        </w:tabs>
        <w:ind w:left="5760" w:hanging="360"/>
      </w:pPr>
      <w:rPr>
        <w:rFonts w:ascii="Courier New" w:hAnsi="Courier New" w:cs="Courier New" w:hint="default"/>
      </w:rPr>
    </w:lvl>
    <w:lvl w:ilvl="8" w:tplc="64C40A7C" w:tentative="1">
      <w:start w:val="1"/>
      <w:numFmt w:val="bullet"/>
      <w:lvlText w:val=""/>
      <w:lvlJc w:val="left"/>
      <w:pPr>
        <w:tabs>
          <w:tab w:val="num" w:pos="6480"/>
        </w:tabs>
        <w:ind w:left="6480" w:hanging="360"/>
      </w:pPr>
      <w:rPr>
        <w:rFonts w:ascii="Wingdings" w:hAnsi="Wingdings" w:hint="default"/>
      </w:rPr>
    </w:lvl>
  </w:abstractNum>
  <w:abstractNum w:abstractNumId="22">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3">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6"/>
  </w:num>
  <w:num w:numId="3">
    <w:abstractNumId w:val="2"/>
  </w:num>
  <w:num w:numId="4">
    <w:abstractNumId w:val="16"/>
  </w:num>
  <w:num w:numId="5">
    <w:abstractNumId w:val="21"/>
  </w:num>
  <w:num w:numId="6">
    <w:abstractNumId w:val="16"/>
  </w:num>
  <w:num w:numId="7">
    <w:abstractNumId w:val="20"/>
  </w:num>
  <w:num w:numId="8">
    <w:abstractNumId w:val="14"/>
  </w:num>
  <w:num w:numId="9">
    <w:abstractNumId w:val="7"/>
  </w:num>
  <w:num w:numId="10">
    <w:abstractNumId w:val="12"/>
  </w:num>
  <w:num w:numId="11">
    <w:abstractNumId w:val="13"/>
  </w:num>
  <w:num w:numId="12">
    <w:abstractNumId w:val="5"/>
  </w:num>
  <w:num w:numId="13">
    <w:abstractNumId w:val="6"/>
  </w:num>
  <w:num w:numId="14">
    <w:abstractNumId w:val="8"/>
  </w:num>
  <w:num w:numId="15">
    <w:abstractNumId w:val="10"/>
  </w:num>
  <w:num w:numId="16">
    <w:abstractNumId w:val="18"/>
  </w:num>
  <w:num w:numId="17">
    <w:abstractNumId w:val="16"/>
  </w:num>
  <w:num w:numId="18">
    <w:abstractNumId w:val="19"/>
  </w:num>
  <w:num w:numId="19">
    <w:abstractNumId w:val="4"/>
  </w:num>
  <w:num w:numId="20">
    <w:abstractNumId w:val="9"/>
  </w:num>
  <w:num w:numId="21">
    <w:abstractNumId w:val="16"/>
  </w:num>
  <w:num w:numId="22">
    <w:abstractNumId w:val="16"/>
  </w:num>
  <w:num w:numId="23">
    <w:abstractNumId w:val="0"/>
  </w:num>
  <w:num w:numId="24">
    <w:abstractNumId w:val="17"/>
  </w:num>
  <w:num w:numId="25">
    <w:abstractNumId w:val="15"/>
  </w:num>
  <w:num w:numId="26">
    <w:abstractNumId w:val="3"/>
  </w:num>
  <w:num w:numId="27">
    <w:abstractNumId w:val="22"/>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3"/>
  </w:num>
  <w:num w:numId="38">
    <w:abstractNumId w:val="23"/>
  </w:num>
  <w:num w:numId="39">
    <w:abstractNumId w:val="23"/>
  </w:num>
  <w:num w:numId="40">
    <w:abstractNumId w:val="2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DocumentType" w:val="ERR"/>
    <w:docVar w:name="FigNum" w:val="1"/>
    <w:docVar w:name="LW_CORRIGENDUM" w:val="&lt;UNUSED&gt;"/>
    <w:docVar w:name="LW_COVERPAGE_EXISTS" w:val="True"/>
    <w:docVar w:name="LW_COVERPAGE_GUID" w:val="193980E0-5988-4F87-AF28-F3AA97C7E289"/>
    <w:docVar w:name="LW_COVERPAGE_TYPE" w:val="1"/>
    <w:docVar w:name="LW_CROSSREFERENCE" w:val="&lt;UNUSED&gt;"/>
    <w:docVar w:name="LW_DocType" w:val="NORMAL"/>
    <w:docVar w:name="LW_EMISSION" w:val="15.4.2019"/>
    <w:docVar w:name="LW_EMISSION_ISODATE" w:val="2019-04-15"/>
    <w:docVar w:name="LW_EMISSION_LOCATION" w:val="BRX"/>
    <w:docVar w:name="LW_EMISSION_PREFIX" w:val="Brussels, "/>
    <w:docVar w:name="LW_EMISSION_SUFFIX" w:val="&lt;EMPTY&gt;"/>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ENTERING THE SURPLUS OF THE FINANCIAL YEAR 2018 "/>
    <w:docVar w:name="LW_TITRE.OBJ.CP_PREVIOUS" w:val="&lt;UNUSED&gt;"/>
    <w:docVar w:name="LW_TYPE.DOC.CP" w:val="DRAFT AMENDING BUDGET No 1_x000b_TO THE GENERAL BUDGET 2019"/>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numPr>
        <w:numId w:val="2"/>
      </w:numPr>
      <w:spacing w:before="120" w:after="120"/>
      <w:jc w:val="both"/>
    </w:pPr>
    <w:rPr>
      <w:lang w:eastAsia="de-DE"/>
    </w:rPr>
  </w:style>
  <w:style w:type="paragraph" w:styleId="TOCHeading">
    <w:name w:val="TOC Heading"/>
    <w:basedOn w:val="Normal"/>
    <w:next w:val="Normal"/>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8"/>
      </w:numPr>
      <w:spacing w:before="0" w:after="240"/>
    </w:pPr>
    <w:rPr>
      <w:szCs w:val="20"/>
      <w:lang w:eastAsia="en-US"/>
    </w:rPr>
  </w:style>
  <w:style w:type="paragraph" w:styleId="ListBullet2">
    <w:name w:val="List Bullet 2"/>
    <w:basedOn w:val="Normal"/>
    <w:pPr>
      <w:numPr>
        <w:numId w:val="14"/>
      </w:numPr>
      <w:spacing w:after="240"/>
      <w:jc w:val="both"/>
    </w:pPr>
    <w:rPr>
      <w:szCs w:val="20"/>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rPr>
      <w:lang w:eastAsia="de-DE"/>
    </w:rPr>
  </w:style>
  <w:style w:type="paragraph" w:customStyle="1" w:styleId="ListNumberLevel2">
    <w:name w:val="List Number (Level 2)"/>
    <w:basedOn w:val="Normal"/>
    <w:pPr>
      <w:numPr>
        <w:ilvl w:val="1"/>
        <w:numId w:val="28"/>
      </w:numPr>
      <w:spacing w:before="120" w:after="120"/>
      <w:jc w:val="both"/>
    </w:pPr>
    <w:rPr>
      <w:lang w:eastAsia="de-DE"/>
    </w:rPr>
  </w:style>
  <w:style w:type="paragraph" w:customStyle="1" w:styleId="ListNumberLevel3">
    <w:name w:val="List Number (Level 3)"/>
    <w:basedOn w:val="Normal"/>
    <w:pPr>
      <w:numPr>
        <w:ilvl w:val="2"/>
        <w:numId w:val="28"/>
      </w:numPr>
      <w:spacing w:before="120" w:after="120"/>
      <w:jc w:val="both"/>
    </w:pPr>
    <w:rPr>
      <w:lang w:eastAsia="de-DE"/>
    </w:rPr>
  </w:style>
  <w:style w:type="paragraph" w:customStyle="1" w:styleId="ListNumberLevel4">
    <w:name w:val="List Number (Level 4)"/>
    <w:basedOn w:val="Normal"/>
    <w:pPr>
      <w:numPr>
        <w:ilvl w:val="3"/>
        <w:numId w:val="28"/>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pPr>
      <w:spacing w:before="120" w:after="120"/>
      <w:jc w:val="center"/>
    </w:pPr>
    <w:rPr>
      <w:lang w:eastAsia="de-DE"/>
    </w:rPr>
  </w:style>
  <w:style w:type="paragraph" w:customStyle="1" w:styleId="NormalRight">
    <w:name w:val="Normal Right"/>
    <w:basedOn w:val="Normal"/>
    <w:pPr>
      <w:spacing w:before="120" w:after="120"/>
      <w:jc w:val="right"/>
    </w:pPr>
    <w:rPr>
      <w:lang w:eastAsia="de-DE"/>
    </w:rPr>
  </w:style>
  <w:style w:type="paragraph" w:customStyle="1" w:styleId="NormalLeft">
    <w:name w:val="Normal Left"/>
    <w:basedOn w:val="Normal"/>
    <w:pPr>
      <w:spacing w:before="120" w:after="120"/>
    </w:pPr>
  </w:style>
  <w:style w:type="paragraph" w:customStyle="1" w:styleId="Point0number">
    <w:name w:val="Point 0 (number)"/>
    <w:basedOn w:val="Normal"/>
    <w:uiPriority w:val="99"/>
    <w:pPr>
      <w:numPr>
        <w:numId w:val="27"/>
      </w:numPr>
      <w:spacing w:before="120" w:after="120"/>
      <w:jc w:val="both"/>
    </w:pPr>
    <w:rPr>
      <w:lang w:eastAsia="en-US"/>
    </w:rPr>
  </w:style>
  <w:style w:type="paragraph" w:customStyle="1" w:styleId="Point1number">
    <w:name w:val="Point 1 (number)"/>
    <w:basedOn w:val="Normal"/>
    <w:uiPriority w:val="99"/>
    <w:pPr>
      <w:numPr>
        <w:ilvl w:val="2"/>
        <w:numId w:val="27"/>
      </w:numPr>
      <w:spacing w:before="120" w:after="120"/>
      <w:jc w:val="both"/>
    </w:pPr>
    <w:rPr>
      <w:lang w:eastAsia="en-US"/>
    </w:rPr>
  </w:style>
  <w:style w:type="paragraph" w:customStyle="1" w:styleId="Point2number">
    <w:name w:val="Point 2 (number)"/>
    <w:basedOn w:val="Normal"/>
    <w:uiPriority w:val="99"/>
    <w:pPr>
      <w:numPr>
        <w:ilvl w:val="4"/>
        <w:numId w:val="27"/>
      </w:numPr>
      <w:spacing w:before="120" w:after="120"/>
      <w:jc w:val="both"/>
    </w:pPr>
    <w:rPr>
      <w:lang w:eastAsia="en-US"/>
    </w:rPr>
  </w:style>
  <w:style w:type="paragraph" w:customStyle="1" w:styleId="Point3number">
    <w:name w:val="Point 3 (number)"/>
    <w:basedOn w:val="Normal"/>
    <w:uiPriority w:val="99"/>
    <w:pPr>
      <w:numPr>
        <w:ilvl w:val="6"/>
        <w:numId w:val="27"/>
      </w:numPr>
      <w:spacing w:before="120" w:after="120"/>
      <w:jc w:val="both"/>
    </w:pPr>
    <w:rPr>
      <w:lang w:eastAsia="en-US"/>
    </w:rPr>
  </w:style>
  <w:style w:type="paragraph" w:customStyle="1" w:styleId="Point0letter">
    <w:name w:val="Point 0 (letter)"/>
    <w:basedOn w:val="Normal"/>
    <w:uiPriority w:val="99"/>
    <w:pPr>
      <w:numPr>
        <w:ilvl w:val="1"/>
        <w:numId w:val="27"/>
      </w:numPr>
      <w:spacing w:before="120" w:after="120"/>
      <w:jc w:val="both"/>
    </w:pPr>
    <w:rPr>
      <w:lang w:eastAsia="en-US"/>
    </w:rPr>
  </w:style>
  <w:style w:type="paragraph" w:customStyle="1" w:styleId="Point1letter">
    <w:name w:val="Point 1 (letter)"/>
    <w:basedOn w:val="Normal"/>
    <w:uiPriority w:val="99"/>
    <w:pPr>
      <w:numPr>
        <w:ilvl w:val="3"/>
        <w:numId w:val="27"/>
      </w:numPr>
      <w:spacing w:before="120" w:after="120"/>
      <w:jc w:val="both"/>
    </w:pPr>
    <w:rPr>
      <w:lang w:eastAsia="en-US"/>
    </w:rPr>
  </w:style>
  <w:style w:type="paragraph" w:customStyle="1" w:styleId="Point2letter">
    <w:name w:val="Point 2 (letter)"/>
    <w:basedOn w:val="Normal"/>
    <w:uiPriority w:val="99"/>
    <w:pPr>
      <w:numPr>
        <w:ilvl w:val="5"/>
        <w:numId w:val="27"/>
      </w:numPr>
      <w:spacing w:before="120" w:after="120"/>
      <w:jc w:val="both"/>
    </w:pPr>
    <w:rPr>
      <w:lang w:eastAsia="en-US"/>
    </w:rPr>
  </w:style>
  <w:style w:type="paragraph" w:customStyle="1" w:styleId="Point3letter">
    <w:name w:val="Point 3 (letter)"/>
    <w:basedOn w:val="Normal"/>
    <w:uiPriority w:val="99"/>
    <w:pPr>
      <w:numPr>
        <w:ilvl w:val="7"/>
        <w:numId w:val="27"/>
      </w:numPr>
      <w:spacing w:before="120" w:after="120"/>
      <w:jc w:val="both"/>
    </w:pPr>
    <w:rPr>
      <w:lang w:eastAsia="en-US"/>
    </w:rPr>
  </w:style>
  <w:style w:type="paragraph" w:customStyle="1" w:styleId="Point4letter">
    <w:name w:val="Point 4 (letter)"/>
    <w:basedOn w:val="Normal"/>
    <w:uiPriority w:val="99"/>
    <w:pPr>
      <w:numPr>
        <w:ilvl w:val="8"/>
        <w:numId w:val="27"/>
      </w:numPr>
      <w:spacing w:before="120" w:after="120"/>
      <w:jc w:val="both"/>
    </w:pPr>
    <w:rPr>
      <w:lang w:eastAsia="en-US"/>
    </w:rPr>
  </w:style>
  <w:style w:type="paragraph" w:customStyle="1" w:styleId="NumPar1">
    <w:name w:val="NumPar 1"/>
    <w:basedOn w:val="Normal"/>
    <w:next w:val="Text1"/>
    <w:pPr>
      <w:numPr>
        <w:numId w:val="36"/>
      </w:numPr>
      <w:spacing w:before="120" w:after="120"/>
      <w:jc w:val="both"/>
    </w:pPr>
    <w:rPr>
      <w:lang w:eastAsia="de-DE"/>
    </w:rPr>
  </w:style>
  <w:style w:type="paragraph" w:customStyle="1" w:styleId="NumPar2">
    <w:name w:val="NumPar 2"/>
    <w:basedOn w:val="Normal"/>
    <w:next w:val="Normal"/>
    <w:pPr>
      <w:numPr>
        <w:ilvl w:val="1"/>
        <w:numId w:val="36"/>
      </w:numPr>
      <w:spacing w:before="120" w:after="120"/>
      <w:jc w:val="both"/>
    </w:pPr>
    <w:rPr>
      <w:lang w:eastAsia="de-DE"/>
    </w:rPr>
  </w:style>
  <w:style w:type="paragraph" w:customStyle="1" w:styleId="NumPar3">
    <w:name w:val="NumPar 3"/>
    <w:basedOn w:val="Normal"/>
    <w:next w:val="Normal"/>
    <w:pPr>
      <w:numPr>
        <w:ilvl w:val="2"/>
        <w:numId w:val="36"/>
      </w:numPr>
      <w:spacing w:before="120" w:after="120"/>
      <w:jc w:val="both"/>
    </w:pPr>
    <w:rPr>
      <w:lang w:eastAsia="de-DE"/>
    </w:rPr>
  </w:style>
  <w:style w:type="paragraph" w:customStyle="1" w:styleId="NumPar4">
    <w:name w:val="NumPar 4"/>
    <w:basedOn w:val="Normal"/>
    <w:next w:val="Normal"/>
    <w:pPr>
      <w:numPr>
        <w:ilvl w:val="3"/>
        <w:numId w:val="36"/>
      </w:numPr>
      <w:spacing w:before="120" w:after="120"/>
      <w:jc w:val="both"/>
    </w:pPr>
    <w:rPr>
      <w:lang w:eastAsia="de-DE"/>
    </w:rPr>
  </w:style>
  <w:style w:type="paragraph" w:customStyle="1" w:styleId="Exposdesmotifstitre">
    <w:name w:val="Exposé des motifs titre"/>
    <w:basedOn w:val="Normal"/>
    <w:next w:val="Normal"/>
    <w:pPr>
      <w:spacing w:before="120" w:after="120"/>
      <w:jc w:val="center"/>
    </w:pPr>
    <w:rPr>
      <w:b/>
      <w:u w:val="single"/>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Declassification">
    <w:name w:val="Declassification"/>
    <w:basedOn w:val="Normal"/>
    <w:next w:val="Normal"/>
    <w:pPr>
      <w:jc w:val="both"/>
    </w:pPr>
    <w:rPr>
      <w:rFonts w:eastAsiaTheme="minorHAnsi"/>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numPr>
        <w:numId w:val="2"/>
      </w:numPr>
      <w:spacing w:before="120" w:after="120"/>
      <w:jc w:val="both"/>
    </w:pPr>
    <w:rPr>
      <w:lang w:eastAsia="de-DE"/>
    </w:rPr>
  </w:style>
  <w:style w:type="paragraph" w:styleId="TOCHeading">
    <w:name w:val="TOC Heading"/>
    <w:basedOn w:val="Normal"/>
    <w:next w:val="Normal"/>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8"/>
      </w:numPr>
      <w:spacing w:before="0" w:after="240"/>
    </w:pPr>
    <w:rPr>
      <w:szCs w:val="20"/>
      <w:lang w:eastAsia="en-US"/>
    </w:rPr>
  </w:style>
  <w:style w:type="paragraph" w:styleId="ListBullet2">
    <w:name w:val="List Bullet 2"/>
    <w:basedOn w:val="Normal"/>
    <w:pPr>
      <w:numPr>
        <w:numId w:val="14"/>
      </w:numPr>
      <w:spacing w:after="240"/>
      <w:jc w:val="both"/>
    </w:pPr>
    <w:rPr>
      <w:szCs w:val="20"/>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rPr>
      <w:lang w:eastAsia="de-DE"/>
    </w:rPr>
  </w:style>
  <w:style w:type="paragraph" w:customStyle="1" w:styleId="ListNumberLevel2">
    <w:name w:val="List Number (Level 2)"/>
    <w:basedOn w:val="Normal"/>
    <w:pPr>
      <w:numPr>
        <w:ilvl w:val="1"/>
        <w:numId w:val="28"/>
      </w:numPr>
      <w:spacing w:before="120" w:after="120"/>
      <w:jc w:val="both"/>
    </w:pPr>
    <w:rPr>
      <w:lang w:eastAsia="de-DE"/>
    </w:rPr>
  </w:style>
  <w:style w:type="paragraph" w:customStyle="1" w:styleId="ListNumberLevel3">
    <w:name w:val="List Number (Level 3)"/>
    <w:basedOn w:val="Normal"/>
    <w:pPr>
      <w:numPr>
        <w:ilvl w:val="2"/>
        <w:numId w:val="28"/>
      </w:numPr>
      <w:spacing w:before="120" w:after="120"/>
      <w:jc w:val="both"/>
    </w:pPr>
    <w:rPr>
      <w:lang w:eastAsia="de-DE"/>
    </w:rPr>
  </w:style>
  <w:style w:type="paragraph" w:customStyle="1" w:styleId="ListNumberLevel4">
    <w:name w:val="List Number (Level 4)"/>
    <w:basedOn w:val="Normal"/>
    <w:pPr>
      <w:numPr>
        <w:ilvl w:val="3"/>
        <w:numId w:val="28"/>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pPr>
      <w:spacing w:before="120" w:after="120"/>
      <w:jc w:val="center"/>
    </w:pPr>
    <w:rPr>
      <w:lang w:eastAsia="de-DE"/>
    </w:rPr>
  </w:style>
  <w:style w:type="paragraph" w:customStyle="1" w:styleId="NormalRight">
    <w:name w:val="Normal Right"/>
    <w:basedOn w:val="Normal"/>
    <w:pPr>
      <w:spacing w:before="120" w:after="120"/>
      <w:jc w:val="right"/>
    </w:pPr>
    <w:rPr>
      <w:lang w:eastAsia="de-DE"/>
    </w:rPr>
  </w:style>
  <w:style w:type="paragraph" w:customStyle="1" w:styleId="NormalLeft">
    <w:name w:val="Normal Left"/>
    <w:basedOn w:val="Normal"/>
    <w:pPr>
      <w:spacing w:before="120" w:after="120"/>
    </w:pPr>
  </w:style>
  <w:style w:type="paragraph" w:customStyle="1" w:styleId="Point0number">
    <w:name w:val="Point 0 (number)"/>
    <w:basedOn w:val="Normal"/>
    <w:uiPriority w:val="99"/>
    <w:pPr>
      <w:numPr>
        <w:numId w:val="27"/>
      </w:numPr>
      <w:spacing w:before="120" w:after="120"/>
      <w:jc w:val="both"/>
    </w:pPr>
    <w:rPr>
      <w:lang w:eastAsia="en-US"/>
    </w:rPr>
  </w:style>
  <w:style w:type="paragraph" w:customStyle="1" w:styleId="Point1number">
    <w:name w:val="Point 1 (number)"/>
    <w:basedOn w:val="Normal"/>
    <w:uiPriority w:val="99"/>
    <w:pPr>
      <w:numPr>
        <w:ilvl w:val="2"/>
        <w:numId w:val="27"/>
      </w:numPr>
      <w:spacing w:before="120" w:after="120"/>
      <w:jc w:val="both"/>
    </w:pPr>
    <w:rPr>
      <w:lang w:eastAsia="en-US"/>
    </w:rPr>
  </w:style>
  <w:style w:type="paragraph" w:customStyle="1" w:styleId="Point2number">
    <w:name w:val="Point 2 (number)"/>
    <w:basedOn w:val="Normal"/>
    <w:uiPriority w:val="99"/>
    <w:pPr>
      <w:numPr>
        <w:ilvl w:val="4"/>
        <w:numId w:val="27"/>
      </w:numPr>
      <w:spacing w:before="120" w:after="120"/>
      <w:jc w:val="both"/>
    </w:pPr>
    <w:rPr>
      <w:lang w:eastAsia="en-US"/>
    </w:rPr>
  </w:style>
  <w:style w:type="paragraph" w:customStyle="1" w:styleId="Point3number">
    <w:name w:val="Point 3 (number)"/>
    <w:basedOn w:val="Normal"/>
    <w:uiPriority w:val="99"/>
    <w:pPr>
      <w:numPr>
        <w:ilvl w:val="6"/>
        <w:numId w:val="27"/>
      </w:numPr>
      <w:spacing w:before="120" w:after="120"/>
      <w:jc w:val="both"/>
    </w:pPr>
    <w:rPr>
      <w:lang w:eastAsia="en-US"/>
    </w:rPr>
  </w:style>
  <w:style w:type="paragraph" w:customStyle="1" w:styleId="Point0letter">
    <w:name w:val="Point 0 (letter)"/>
    <w:basedOn w:val="Normal"/>
    <w:uiPriority w:val="99"/>
    <w:pPr>
      <w:numPr>
        <w:ilvl w:val="1"/>
        <w:numId w:val="27"/>
      </w:numPr>
      <w:spacing w:before="120" w:after="120"/>
      <w:jc w:val="both"/>
    </w:pPr>
    <w:rPr>
      <w:lang w:eastAsia="en-US"/>
    </w:rPr>
  </w:style>
  <w:style w:type="paragraph" w:customStyle="1" w:styleId="Point1letter">
    <w:name w:val="Point 1 (letter)"/>
    <w:basedOn w:val="Normal"/>
    <w:uiPriority w:val="99"/>
    <w:pPr>
      <w:numPr>
        <w:ilvl w:val="3"/>
        <w:numId w:val="27"/>
      </w:numPr>
      <w:spacing w:before="120" w:after="120"/>
      <w:jc w:val="both"/>
    </w:pPr>
    <w:rPr>
      <w:lang w:eastAsia="en-US"/>
    </w:rPr>
  </w:style>
  <w:style w:type="paragraph" w:customStyle="1" w:styleId="Point2letter">
    <w:name w:val="Point 2 (letter)"/>
    <w:basedOn w:val="Normal"/>
    <w:uiPriority w:val="99"/>
    <w:pPr>
      <w:numPr>
        <w:ilvl w:val="5"/>
        <w:numId w:val="27"/>
      </w:numPr>
      <w:spacing w:before="120" w:after="120"/>
      <w:jc w:val="both"/>
    </w:pPr>
    <w:rPr>
      <w:lang w:eastAsia="en-US"/>
    </w:rPr>
  </w:style>
  <w:style w:type="paragraph" w:customStyle="1" w:styleId="Point3letter">
    <w:name w:val="Point 3 (letter)"/>
    <w:basedOn w:val="Normal"/>
    <w:uiPriority w:val="99"/>
    <w:pPr>
      <w:numPr>
        <w:ilvl w:val="7"/>
        <w:numId w:val="27"/>
      </w:numPr>
      <w:spacing w:before="120" w:after="120"/>
      <w:jc w:val="both"/>
    </w:pPr>
    <w:rPr>
      <w:lang w:eastAsia="en-US"/>
    </w:rPr>
  </w:style>
  <w:style w:type="paragraph" w:customStyle="1" w:styleId="Point4letter">
    <w:name w:val="Point 4 (letter)"/>
    <w:basedOn w:val="Normal"/>
    <w:uiPriority w:val="99"/>
    <w:pPr>
      <w:numPr>
        <w:ilvl w:val="8"/>
        <w:numId w:val="27"/>
      </w:numPr>
      <w:spacing w:before="120" w:after="120"/>
      <w:jc w:val="both"/>
    </w:pPr>
    <w:rPr>
      <w:lang w:eastAsia="en-US"/>
    </w:rPr>
  </w:style>
  <w:style w:type="paragraph" w:customStyle="1" w:styleId="NumPar1">
    <w:name w:val="NumPar 1"/>
    <w:basedOn w:val="Normal"/>
    <w:next w:val="Text1"/>
    <w:pPr>
      <w:numPr>
        <w:numId w:val="36"/>
      </w:numPr>
      <w:spacing w:before="120" w:after="120"/>
      <w:jc w:val="both"/>
    </w:pPr>
    <w:rPr>
      <w:lang w:eastAsia="de-DE"/>
    </w:rPr>
  </w:style>
  <w:style w:type="paragraph" w:customStyle="1" w:styleId="NumPar2">
    <w:name w:val="NumPar 2"/>
    <w:basedOn w:val="Normal"/>
    <w:next w:val="Normal"/>
    <w:pPr>
      <w:numPr>
        <w:ilvl w:val="1"/>
        <w:numId w:val="36"/>
      </w:numPr>
      <w:spacing w:before="120" w:after="120"/>
      <w:jc w:val="both"/>
    </w:pPr>
    <w:rPr>
      <w:lang w:eastAsia="de-DE"/>
    </w:rPr>
  </w:style>
  <w:style w:type="paragraph" w:customStyle="1" w:styleId="NumPar3">
    <w:name w:val="NumPar 3"/>
    <w:basedOn w:val="Normal"/>
    <w:next w:val="Normal"/>
    <w:pPr>
      <w:numPr>
        <w:ilvl w:val="2"/>
        <w:numId w:val="36"/>
      </w:numPr>
      <w:spacing w:before="120" w:after="120"/>
      <w:jc w:val="both"/>
    </w:pPr>
    <w:rPr>
      <w:lang w:eastAsia="de-DE"/>
    </w:rPr>
  </w:style>
  <w:style w:type="paragraph" w:customStyle="1" w:styleId="NumPar4">
    <w:name w:val="NumPar 4"/>
    <w:basedOn w:val="Normal"/>
    <w:next w:val="Normal"/>
    <w:pPr>
      <w:numPr>
        <w:ilvl w:val="3"/>
        <w:numId w:val="36"/>
      </w:numPr>
      <w:spacing w:before="120" w:after="120"/>
      <w:jc w:val="both"/>
    </w:pPr>
    <w:rPr>
      <w:lang w:eastAsia="de-DE"/>
    </w:rPr>
  </w:style>
  <w:style w:type="paragraph" w:customStyle="1" w:styleId="Exposdesmotifstitre">
    <w:name w:val="Exposé des motifs titre"/>
    <w:basedOn w:val="Normal"/>
    <w:next w:val="Normal"/>
    <w:pPr>
      <w:spacing w:before="120" w:after="120"/>
      <w:jc w:val="center"/>
    </w:pPr>
    <w:rPr>
      <w:b/>
      <w:u w:val="single"/>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Declassification">
    <w:name w:val="Declassification"/>
    <w:basedOn w:val="Normal"/>
    <w:next w:val="Normal"/>
    <w:pPr>
      <w:jc w:val="both"/>
    </w:pPr>
    <w:rPr>
      <w:rFonts w:eastAsiaTheme="minorHAnsi"/>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4795">
      <w:bodyDiv w:val="1"/>
      <w:marLeft w:val="0"/>
      <w:marRight w:val="0"/>
      <w:marTop w:val="0"/>
      <w:marBottom w:val="0"/>
      <w:divBdr>
        <w:top w:val="none" w:sz="0" w:space="0" w:color="auto"/>
        <w:left w:val="none" w:sz="0" w:space="0" w:color="auto"/>
        <w:bottom w:val="none" w:sz="0" w:space="0" w:color="auto"/>
        <w:right w:val="none" w:sz="0" w:space="0" w:color="auto"/>
      </w:divBdr>
    </w:div>
    <w:div w:id="129058754">
      <w:bodyDiv w:val="1"/>
      <w:marLeft w:val="0"/>
      <w:marRight w:val="0"/>
      <w:marTop w:val="0"/>
      <w:marBottom w:val="0"/>
      <w:divBdr>
        <w:top w:val="none" w:sz="0" w:space="0" w:color="auto"/>
        <w:left w:val="none" w:sz="0" w:space="0" w:color="auto"/>
        <w:bottom w:val="none" w:sz="0" w:space="0" w:color="auto"/>
        <w:right w:val="none" w:sz="0" w:space="0" w:color="auto"/>
      </w:divBdr>
    </w:div>
    <w:div w:id="140775662">
      <w:bodyDiv w:val="1"/>
      <w:marLeft w:val="0"/>
      <w:marRight w:val="0"/>
      <w:marTop w:val="0"/>
      <w:marBottom w:val="0"/>
      <w:divBdr>
        <w:top w:val="none" w:sz="0" w:space="0" w:color="auto"/>
        <w:left w:val="none" w:sz="0" w:space="0" w:color="auto"/>
        <w:bottom w:val="none" w:sz="0" w:space="0" w:color="auto"/>
        <w:right w:val="none" w:sz="0" w:space="0" w:color="auto"/>
      </w:divBdr>
    </w:div>
    <w:div w:id="269511476">
      <w:bodyDiv w:val="1"/>
      <w:marLeft w:val="0"/>
      <w:marRight w:val="0"/>
      <w:marTop w:val="0"/>
      <w:marBottom w:val="0"/>
      <w:divBdr>
        <w:top w:val="none" w:sz="0" w:space="0" w:color="auto"/>
        <w:left w:val="none" w:sz="0" w:space="0" w:color="auto"/>
        <w:bottom w:val="none" w:sz="0" w:space="0" w:color="auto"/>
        <w:right w:val="none" w:sz="0" w:space="0" w:color="auto"/>
      </w:divBdr>
    </w:div>
    <w:div w:id="526875107">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744688616">
      <w:bodyDiv w:val="1"/>
      <w:marLeft w:val="0"/>
      <w:marRight w:val="0"/>
      <w:marTop w:val="0"/>
      <w:marBottom w:val="0"/>
      <w:divBdr>
        <w:top w:val="none" w:sz="0" w:space="0" w:color="auto"/>
        <w:left w:val="none" w:sz="0" w:space="0" w:color="auto"/>
        <w:bottom w:val="none" w:sz="0" w:space="0" w:color="auto"/>
        <w:right w:val="none" w:sz="0" w:space="0" w:color="auto"/>
      </w:divBdr>
    </w:div>
    <w:div w:id="874540662">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691947953">
      <w:bodyDiv w:val="1"/>
      <w:marLeft w:val="0"/>
      <w:marRight w:val="0"/>
      <w:marTop w:val="0"/>
      <w:marBottom w:val="0"/>
      <w:divBdr>
        <w:top w:val="none" w:sz="0" w:space="0" w:color="auto"/>
        <w:left w:val="none" w:sz="0" w:space="0" w:color="auto"/>
        <w:bottom w:val="none" w:sz="0" w:space="0" w:color="auto"/>
        <w:right w:val="none" w:sz="0" w:space="0" w:color="auto"/>
      </w:divBdr>
    </w:div>
    <w:div w:id="1695381422">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25969139">
      <w:bodyDiv w:val="1"/>
      <w:marLeft w:val="0"/>
      <w:marRight w:val="0"/>
      <w:marTop w:val="0"/>
      <w:marBottom w:val="0"/>
      <w:divBdr>
        <w:top w:val="none" w:sz="0" w:space="0" w:color="auto"/>
        <w:left w:val="none" w:sz="0" w:space="0" w:color="auto"/>
        <w:bottom w:val="none" w:sz="0" w:space="0" w:color="auto"/>
        <w:right w:val="none" w:sz="0" w:space="0" w:color="auto"/>
      </w:divBdr>
    </w:div>
    <w:div w:id="1849320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eur-lex.europa.eu/budget/www/index-en.htm"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6BBA4-E1C8-4A50-AF00-9E673D9DC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1190</Words>
  <Characters>5355</Characters>
  <Application>Microsoft Office Word</Application>
  <DocSecurity>0</DocSecurity>
  <Lines>281</Lines>
  <Paragraphs>233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6312</CharactersWithSpaces>
  <SharedDoc>false</SharedDoc>
  <HLinks>
    <vt:vector size="6" baseType="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2019-04-01T14:47:00Z</cp:lastPrinted>
  <dcterms:created xsi:type="dcterms:W3CDTF">2019-04-11T12:14:00Z</dcterms:created>
  <dcterms:modified xsi:type="dcterms:W3CDTF">2019-04-15T08:14:00Z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