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0F" w:rsidRDefault="00EB4A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268402-87FE-45E0-AB8E-A43185E6FF04" style="width:450.6pt;height:334.2pt">
            <v:imagedata r:id="rId11" o:title=""/>
          </v:shape>
        </w:pict>
      </w:r>
    </w:p>
    <w:bookmarkEnd w:id="0"/>
    <w:p w:rsidR="0073630F" w:rsidRDefault="0073630F">
      <w:pPr>
        <w:rPr>
          <w:noProof/>
        </w:rPr>
        <w:sectPr w:rsidR="0073630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73630F" w:rsidRDefault="0073630F">
      <w:pPr>
        <w:rPr>
          <w:noProof/>
        </w:rPr>
      </w:pPr>
      <w:bookmarkStart w:id="1" w:name="_GoBack"/>
      <w:bookmarkEnd w:id="1"/>
    </w:p>
    <w:p w:rsidR="0073630F" w:rsidRDefault="00EB4AF3">
      <w:pPr>
        <w:pStyle w:val="Heading1"/>
        <w:rPr>
          <w:noProof/>
        </w:rPr>
      </w:pPr>
      <w:bookmarkStart w:id="2" w:name="_Toc1149217"/>
      <w:r>
        <w:rPr>
          <w:noProof/>
        </w:rPr>
        <w:t>1. ВЪВЕДЕНИЕ</w:t>
      </w:r>
      <w:bookmarkEnd w:id="2"/>
    </w:p>
    <w:p w:rsidR="0073630F" w:rsidRDefault="00EB4AF3">
      <w:pPr>
        <w:jc w:val="both"/>
        <w:rPr>
          <w:rFonts w:ascii="Times New Roman" w:hAnsi="Times New Roman" w:cs="Times New Roman"/>
          <w:noProof/>
          <w:sz w:val="24"/>
          <w:szCs w:val="24"/>
        </w:rPr>
      </w:pPr>
      <w:r>
        <w:rPr>
          <w:rFonts w:ascii="Times New Roman" w:hAnsi="Times New Roman"/>
          <w:noProof/>
          <w:sz w:val="24"/>
        </w:rPr>
        <w:t>С влизането в сила на 24 декември 2018 г. на Директива (ЕС) 2018/2001</w:t>
      </w:r>
      <w:r>
        <w:rPr>
          <w:noProof/>
        </w:rPr>
        <w:t xml:space="preserve"> </w:t>
      </w:r>
      <w:r>
        <w:rPr>
          <w:rFonts w:ascii="Times New Roman" w:hAnsi="Times New Roman"/>
          <w:noProof/>
          <w:sz w:val="24"/>
        </w:rPr>
        <w:t xml:space="preserve">за насърчаване използването </w:t>
      </w:r>
      <w:r>
        <w:rPr>
          <w:rFonts w:ascii="Times New Roman" w:hAnsi="Times New Roman"/>
          <w:noProof/>
          <w:sz w:val="24"/>
        </w:rPr>
        <w:t>на енергия от възобновяеми източници (RED II) се създава нова ориентирана към бъдещето рамка, способстваща за изпълнението на обвързващата цел на Съюза за поне 32 % дял на възобновяемата енергия от брутното крайно потребление на енергия до 2030 г. Тази рам</w:t>
      </w:r>
      <w:r>
        <w:rPr>
          <w:rFonts w:ascii="Times New Roman" w:hAnsi="Times New Roman"/>
          <w:noProof/>
          <w:sz w:val="24"/>
        </w:rPr>
        <w:t>ка ще се основава на постигнатия напредък по настоящата директива, включително, наред с другото, по задължението на държавите членки да поставят целите за 2020 г. като базисни стойности за своите съответни криви за следващото десетилетие. Това се допълва о</w:t>
      </w:r>
      <w:r>
        <w:rPr>
          <w:rFonts w:ascii="Times New Roman" w:hAnsi="Times New Roman"/>
          <w:noProof/>
          <w:sz w:val="24"/>
        </w:rPr>
        <w:t>т другите елементи на пакета „Чиста енергия за всички европейци“</w:t>
      </w:r>
      <w:r>
        <w:rPr>
          <w:rStyle w:val="FootnoteReference"/>
          <w:rFonts w:ascii="Times New Roman" w:hAnsi="Times New Roman"/>
          <w:noProof/>
          <w:sz w:val="24"/>
        </w:rPr>
        <w:footnoteReference w:id="2"/>
      </w:r>
      <w:r>
        <w:rPr>
          <w:rFonts w:ascii="Times New Roman" w:hAnsi="Times New Roman"/>
          <w:noProof/>
          <w:sz w:val="24"/>
        </w:rPr>
        <w:t>.</w:t>
      </w:r>
    </w:p>
    <w:p w:rsidR="0073630F" w:rsidRDefault="00EB4AF3">
      <w:pPr>
        <w:jc w:val="both"/>
        <w:rPr>
          <w:rFonts w:ascii="Times New Roman" w:hAnsi="Times New Roman" w:cs="Times New Roman"/>
          <w:noProof/>
          <w:sz w:val="24"/>
          <w:szCs w:val="24"/>
        </w:rPr>
      </w:pPr>
      <w:r>
        <w:rPr>
          <w:rFonts w:ascii="Times New Roman" w:hAnsi="Times New Roman"/>
          <w:noProof/>
          <w:sz w:val="24"/>
        </w:rPr>
        <w:t>Възобновяемата енергия е в центъра на приоритетите на енергийния съюз. Директива 2009/28/ЕО за насърчаване използването на енергия от възобновяеми източници</w:t>
      </w:r>
      <w:r>
        <w:rPr>
          <w:rStyle w:val="FootnoteReference"/>
          <w:rFonts w:ascii="Times New Roman" w:hAnsi="Times New Roman"/>
          <w:noProof/>
          <w:sz w:val="24"/>
        </w:rPr>
        <w:footnoteReference w:id="3"/>
      </w:r>
      <w:r>
        <w:rPr>
          <w:rFonts w:ascii="Times New Roman" w:hAnsi="Times New Roman"/>
          <w:noProof/>
          <w:sz w:val="24"/>
        </w:rPr>
        <w:t xml:space="preserve"> (RED I) е централен елемент в политиката на енергийния съюз и основен движещ фактор за изпълнение на целите за 2020 г. в областта на за възобновяемата енергия.  </w:t>
      </w:r>
    </w:p>
    <w:p w:rsidR="0073630F" w:rsidRDefault="00EB4AF3">
      <w:pPr>
        <w:jc w:val="both"/>
        <w:rPr>
          <w:rFonts w:ascii="Calibri" w:hAnsi="Calibri" w:cs="Calibri"/>
          <w:noProof/>
          <w:color w:val="333333"/>
          <w:sz w:val="26"/>
          <w:szCs w:val="26"/>
        </w:rPr>
      </w:pPr>
      <w:r>
        <w:rPr>
          <w:rFonts w:ascii="Times New Roman" w:hAnsi="Times New Roman"/>
          <w:noProof/>
          <w:sz w:val="24"/>
        </w:rPr>
        <w:t>Политическият приоритет на Европейския съюз да стане световният лидер в областта на възобновя</w:t>
      </w:r>
      <w:r>
        <w:rPr>
          <w:rFonts w:ascii="Times New Roman" w:hAnsi="Times New Roman"/>
          <w:noProof/>
          <w:sz w:val="24"/>
        </w:rPr>
        <w:t xml:space="preserve">емите енергийни източници се подкрепя от присъствието на възобновяемите енергийни източници във всяко от петте измерения на енергийния съюз. По отношение на </w:t>
      </w:r>
      <w:r>
        <w:rPr>
          <w:rFonts w:ascii="Times New Roman" w:hAnsi="Times New Roman"/>
          <w:i/>
          <w:noProof/>
          <w:sz w:val="24"/>
        </w:rPr>
        <w:t>енергийната сигурност</w:t>
      </w:r>
      <w:r>
        <w:rPr>
          <w:rFonts w:ascii="Times New Roman" w:hAnsi="Times New Roman"/>
          <w:noProof/>
          <w:sz w:val="24"/>
        </w:rPr>
        <w:t xml:space="preserve"> възобновяемите енергийни източници намаляват зависимостта от вноса на изкопае</w:t>
      </w:r>
      <w:r>
        <w:rPr>
          <w:rFonts w:ascii="Times New Roman" w:hAnsi="Times New Roman"/>
          <w:noProof/>
          <w:sz w:val="24"/>
        </w:rPr>
        <w:t>ми горива. Оценено е, че увеличеното използване на възобновяема енергия спрямо равнището на потребление на възобновяема енергия през 2005 г. е позволило на ЕС през 2016 г. да намали търсенето си на изкопаеми горива с 143 Mtoe</w:t>
      </w:r>
      <w:r>
        <w:rPr>
          <w:rStyle w:val="FootnoteReference"/>
          <w:rFonts w:ascii="Times New Roman" w:hAnsi="Times New Roman"/>
          <w:noProof/>
          <w:sz w:val="24"/>
        </w:rPr>
        <w:footnoteReference w:id="4"/>
      </w:r>
      <w:r>
        <w:rPr>
          <w:rFonts w:ascii="Times New Roman" w:hAnsi="Times New Roman"/>
          <w:noProof/>
          <w:sz w:val="24"/>
        </w:rPr>
        <w:t xml:space="preserve"> (приблизително 12 % от общото</w:t>
      </w:r>
      <w:r>
        <w:rPr>
          <w:rFonts w:ascii="Times New Roman" w:hAnsi="Times New Roman"/>
          <w:noProof/>
          <w:sz w:val="24"/>
        </w:rPr>
        <w:t xml:space="preserve"> потребление на първична енергия от изкопаеми горива). Аналогично, зависимостта на Европа от вноса на енергия, по-специално по отношение на вноса на нефт и газ, ще намалее от днешните 55 % на 20 % през 2050 г. благодарение на предлагането на първична енерг</w:t>
      </w:r>
      <w:r>
        <w:rPr>
          <w:rFonts w:ascii="Times New Roman" w:hAnsi="Times New Roman"/>
          <w:noProof/>
          <w:sz w:val="24"/>
        </w:rPr>
        <w:t>ия, която до голяма степен ще се генерира от възобновяеми източници на енергия</w:t>
      </w:r>
      <w:r>
        <w:rPr>
          <w:rStyle w:val="FootnoteReference"/>
          <w:rFonts w:ascii="Times New Roman" w:hAnsi="Times New Roman"/>
          <w:noProof/>
          <w:sz w:val="24"/>
        </w:rPr>
        <w:footnoteReference w:id="5"/>
      </w:r>
      <w:r>
        <w:rPr>
          <w:rFonts w:ascii="Times New Roman" w:hAnsi="Times New Roman"/>
          <w:noProof/>
          <w:sz w:val="24"/>
        </w:rPr>
        <w:t xml:space="preserve">. При </w:t>
      </w:r>
      <w:r>
        <w:rPr>
          <w:rFonts w:ascii="Times New Roman" w:hAnsi="Times New Roman"/>
          <w:i/>
          <w:noProof/>
          <w:sz w:val="24"/>
        </w:rPr>
        <w:t>вътрешния енергиен пазар</w:t>
      </w:r>
      <w:r>
        <w:rPr>
          <w:rFonts w:ascii="Times New Roman" w:hAnsi="Times New Roman"/>
          <w:noProof/>
          <w:sz w:val="24"/>
        </w:rPr>
        <w:t xml:space="preserve"> възобновяемите енергийни източници играят все по-голяма роля по-специално за пазара на електроенергия, където близо една трета (30,8 %) от брутното производство на електроенергия на ЕС-28 през 2017 г. е от възобновяеми източници на енергия</w:t>
      </w:r>
      <w:r>
        <w:rPr>
          <w:rStyle w:val="FootnoteReference"/>
          <w:rFonts w:ascii="Times New Roman" w:hAnsi="Times New Roman"/>
          <w:noProof/>
          <w:sz w:val="24"/>
        </w:rPr>
        <w:footnoteReference w:id="6"/>
      </w:r>
      <w:r>
        <w:rPr>
          <w:rFonts w:ascii="Times New Roman" w:hAnsi="Times New Roman"/>
          <w:noProof/>
          <w:sz w:val="24"/>
        </w:rPr>
        <w:t xml:space="preserve">. </w:t>
      </w:r>
    </w:p>
    <w:p w:rsidR="0073630F" w:rsidRDefault="00EB4AF3">
      <w:pPr>
        <w:jc w:val="both"/>
        <w:rPr>
          <w:rFonts w:ascii="Times New Roman" w:hAnsi="Times New Roman" w:cs="Times New Roman"/>
          <w:noProof/>
          <w:sz w:val="24"/>
          <w:szCs w:val="24"/>
        </w:rPr>
      </w:pPr>
      <w:r>
        <w:rPr>
          <w:rFonts w:ascii="Times New Roman" w:hAnsi="Times New Roman"/>
          <w:noProof/>
          <w:sz w:val="24"/>
        </w:rPr>
        <w:t>Наблюдава се</w:t>
      </w:r>
      <w:r>
        <w:rPr>
          <w:rFonts w:ascii="Times New Roman" w:hAnsi="Times New Roman"/>
          <w:noProof/>
          <w:sz w:val="24"/>
        </w:rPr>
        <w:t xml:space="preserve"> също така засилване на ролята на газовете от възобновяеми източници. Нагледен пример е това, че в Дания през юли 2018 г. делът на биогаза от общото потребление на газ е бил 18,6 %, което представлява увеличение с 50 % спрямо </w:t>
      </w:r>
      <w:r>
        <w:rPr>
          <w:rFonts w:ascii="Times New Roman" w:hAnsi="Times New Roman"/>
          <w:noProof/>
          <w:sz w:val="24"/>
        </w:rPr>
        <w:lastRenderedPageBreak/>
        <w:t>предишната година</w:t>
      </w:r>
      <w:r>
        <w:rPr>
          <w:rStyle w:val="FootnoteReference"/>
          <w:rFonts w:ascii="Times New Roman" w:hAnsi="Times New Roman"/>
          <w:noProof/>
          <w:sz w:val="24"/>
        </w:rPr>
        <w:footnoteReference w:id="7"/>
      </w:r>
      <w:r>
        <w:rPr>
          <w:rFonts w:ascii="Times New Roman" w:hAnsi="Times New Roman"/>
          <w:noProof/>
          <w:sz w:val="24"/>
        </w:rPr>
        <w:t>. По отношен</w:t>
      </w:r>
      <w:r>
        <w:rPr>
          <w:rFonts w:ascii="Times New Roman" w:hAnsi="Times New Roman"/>
          <w:noProof/>
          <w:sz w:val="24"/>
        </w:rPr>
        <w:t xml:space="preserve">ие на </w:t>
      </w:r>
      <w:r>
        <w:rPr>
          <w:rFonts w:ascii="Times New Roman" w:hAnsi="Times New Roman"/>
          <w:i/>
          <w:noProof/>
          <w:sz w:val="24"/>
        </w:rPr>
        <w:t>енергийната ефективност</w:t>
      </w:r>
      <w:r>
        <w:rPr>
          <w:rFonts w:ascii="Times New Roman" w:hAnsi="Times New Roman"/>
          <w:noProof/>
          <w:sz w:val="24"/>
        </w:rPr>
        <w:t xml:space="preserve"> намаленото потребление на енергия е тясно свързано с постигането на по-голям дял на възобновяемите енергийни източници и увеличеното интегриране на малки възобновяеми енергийни източници в сградите, с което енергийните характе</w:t>
      </w:r>
      <w:r>
        <w:rPr>
          <w:rFonts w:ascii="Times New Roman" w:hAnsi="Times New Roman"/>
          <w:noProof/>
          <w:sz w:val="24"/>
        </w:rPr>
        <w:t xml:space="preserve">ристики се подобряват по ефективен по отношение на разходите начин. Освен това възобновяемата енергия играе важна роля за </w:t>
      </w:r>
      <w:r>
        <w:rPr>
          <w:rFonts w:ascii="Times New Roman" w:hAnsi="Times New Roman"/>
          <w:i/>
          <w:noProof/>
          <w:sz w:val="24"/>
        </w:rPr>
        <w:t>декарбонизацията</w:t>
      </w:r>
      <w:r>
        <w:rPr>
          <w:rFonts w:ascii="Times New Roman" w:hAnsi="Times New Roman"/>
          <w:noProof/>
          <w:sz w:val="24"/>
        </w:rPr>
        <w:t xml:space="preserve"> и през 2016 г. възобновяемите енергийни източници са допринесли за избягване на емисии на CO2, общо равни на 460 Mt (</w:t>
      </w:r>
      <w:r>
        <w:rPr>
          <w:rFonts w:ascii="Times New Roman" w:hAnsi="Times New Roman"/>
          <w:noProof/>
          <w:sz w:val="24"/>
        </w:rPr>
        <w:t>повече от общите емисии на парникови газове на Италия през 2016 г.)</w:t>
      </w:r>
      <w:r>
        <w:rPr>
          <w:rStyle w:val="FootnoteReference"/>
          <w:rFonts w:ascii="Times New Roman" w:hAnsi="Times New Roman"/>
          <w:noProof/>
          <w:sz w:val="24"/>
        </w:rPr>
        <w:footnoteReference w:id="8"/>
      </w:r>
      <w:r>
        <w:rPr>
          <w:rFonts w:ascii="Times New Roman" w:hAnsi="Times New Roman"/>
          <w:noProof/>
          <w:sz w:val="24"/>
        </w:rPr>
        <w:t>, и се очаква това количество да нарасне до 499 Mt</w:t>
      </w:r>
      <w:r>
        <w:rPr>
          <w:rStyle w:val="FootnoteReference"/>
          <w:rFonts w:ascii="Times New Roman" w:hAnsi="Times New Roman"/>
          <w:noProof/>
          <w:sz w:val="24"/>
        </w:rPr>
        <w:footnoteReference w:id="9"/>
      </w:r>
      <w:r>
        <w:rPr>
          <w:rFonts w:ascii="Times New Roman" w:hAnsi="Times New Roman"/>
          <w:noProof/>
          <w:sz w:val="24"/>
        </w:rPr>
        <w:t xml:space="preserve"> през 2017 г. В допълнение възобновяемите енергийни източници имат ключов принос за измерението на </w:t>
      </w:r>
      <w:r>
        <w:rPr>
          <w:rFonts w:ascii="Times New Roman" w:hAnsi="Times New Roman"/>
          <w:i/>
          <w:noProof/>
          <w:sz w:val="24"/>
        </w:rPr>
        <w:t>иновациите</w:t>
      </w:r>
      <w:r>
        <w:rPr>
          <w:rFonts w:ascii="Times New Roman" w:hAnsi="Times New Roman"/>
          <w:noProof/>
          <w:sz w:val="24"/>
        </w:rPr>
        <w:t>. В сферата на възобновяемит</w:t>
      </w:r>
      <w:r>
        <w:rPr>
          <w:rFonts w:ascii="Times New Roman" w:hAnsi="Times New Roman"/>
          <w:noProof/>
          <w:sz w:val="24"/>
        </w:rPr>
        <w:t>е енергийни източници 53 % от изобретенията от дружества, установени в ЕС, получават патентна закрила извън Европа</w:t>
      </w:r>
      <w:r>
        <w:rPr>
          <w:rStyle w:val="FootnoteReference"/>
          <w:rFonts w:ascii="Times New Roman" w:hAnsi="Times New Roman"/>
          <w:noProof/>
          <w:sz w:val="24"/>
        </w:rPr>
        <w:footnoteReference w:id="10"/>
      </w:r>
      <w:r>
        <w:rPr>
          <w:rFonts w:ascii="Times New Roman" w:hAnsi="Times New Roman"/>
          <w:noProof/>
          <w:sz w:val="24"/>
        </w:rPr>
        <w:t xml:space="preserve">. Това демонстрира високата стойност на иновациите, тъй като закрилата се осигурява с оглед на потенциала им да достигнат до външните пазари </w:t>
      </w:r>
      <w:r>
        <w:rPr>
          <w:rFonts w:ascii="Times New Roman" w:hAnsi="Times New Roman"/>
          <w:noProof/>
          <w:sz w:val="24"/>
        </w:rPr>
        <w:t>и да имат успех там. Това прави ЕС световен лидер в областта на иновациите, тъй като е с по-висок дял от всяка от останалите големи икономики</w:t>
      </w:r>
      <w:r>
        <w:rPr>
          <w:rStyle w:val="FootnoteReference"/>
          <w:rFonts w:ascii="Times New Roman" w:hAnsi="Times New Roman"/>
          <w:noProof/>
          <w:sz w:val="24"/>
        </w:rPr>
        <w:footnoteReference w:id="11"/>
      </w:r>
      <w:r>
        <w:rPr>
          <w:rFonts w:ascii="Times New Roman" w:hAnsi="Times New Roman"/>
          <w:noProof/>
          <w:sz w:val="24"/>
        </w:rPr>
        <w:t>. В тази връзка, както е признато от Международната агенция за възобновяема енергия (IRENA), Европа, която заема ч</w:t>
      </w:r>
      <w:r>
        <w:rPr>
          <w:rFonts w:ascii="Times New Roman" w:hAnsi="Times New Roman"/>
          <w:noProof/>
          <w:sz w:val="24"/>
        </w:rPr>
        <w:t>елно място при иновациите в областта на енергетиката, се е превърнала в пътеводна светлина, показваща успешни пътища за постигането на бъдеще, основано на енергия от възобновяеми източници</w:t>
      </w:r>
      <w:r>
        <w:rPr>
          <w:rStyle w:val="FootnoteReference"/>
          <w:rFonts w:ascii="Times New Roman" w:hAnsi="Times New Roman"/>
          <w:noProof/>
          <w:color w:val="333333"/>
          <w:sz w:val="24"/>
        </w:rPr>
        <w:footnoteReference w:id="12"/>
      </w:r>
      <w:r>
        <w:rPr>
          <w:rFonts w:ascii="Times New Roman" w:hAnsi="Times New Roman"/>
          <w:noProof/>
          <w:color w:val="333333"/>
          <w:sz w:val="24"/>
        </w:rPr>
        <w:t>.</w:t>
      </w:r>
    </w:p>
    <w:p w:rsidR="0073630F" w:rsidRDefault="00EB4AF3">
      <w:pPr>
        <w:jc w:val="both"/>
        <w:rPr>
          <w:rFonts w:ascii="Times New Roman" w:hAnsi="Times New Roman" w:cs="Times New Roman"/>
          <w:noProof/>
          <w:sz w:val="24"/>
          <w:szCs w:val="24"/>
        </w:rPr>
      </w:pPr>
      <w:r>
        <w:rPr>
          <w:rFonts w:ascii="Times New Roman" w:hAnsi="Times New Roman"/>
          <w:noProof/>
          <w:sz w:val="24"/>
        </w:rPr>
        <w:t>Лидерската роля е налице и при различните технологии за енергия о</w:t>
      </w:r>
      <w:r>
        <w:rPr>
          <w:rFonts w:ascii="Times New Roman" w:hAnsi="Times New Roman"/>
          <w:noProof/>
          <w:sz w:val="24"/>
        </w:rPr>
        <w:t>т възобновяеми източници по цялата им верига на доставките. За някои технологии, като вятърните турбини, на производителите от ЕС се падат най-малко 41 % от новата глобална инсталирана мощност през 2016 г.</w:t>
      </w:r>
      <w:r>
        <w:rPr>
          <w:rStyle w:val="FootnoteReference"/>
          <w:rFonts w:ascii="Times New Roman" w:hAnsi="Times New Roman"/>
          <w:noProof/>
          <w:sz w:val="24"/>
        </w:rPr>
        <w:footnoteReference w:id="13"/>
      </w:r>
      <w:r>
        <w:rPr>
          <w:rFonts w:ascii="Times New Roman" w:hAnsi="Times New Roman"/>
          <w:noProof/>
          <w:sz w:val="24"/>
        </w:rPr>
        <w:t>. Що се отнася до фотоволтаичния сектор на ЕС, про</w:t>
      </w:r>
      <w:r>
        <w:rPr>
          <w:rFonts w:ascii="Times New Roman" w:hAnsi="Times New Roman"/>
          <w:noProof/>
          <w:sz w:val="24"/>
        </w:rPr>
        <w:t>изводителите на фотоволтаични модули от ЕС са водещи с дял на световния пазар от 50 %, докато производителите на инвертори от ЕС имат дял на световния пазар от над 18 %</w:t>
      </w:r>
      <w:r>
        <w:rPr>
          <w:rStyle w:val="FootnoteReference"/>
          <w:rFonts w:ascii="Times New Roman" w:hAnsi="Times New Roman"/>
          <w:noProof/>
          <w:sz w:val="24"/>
        </w:rPr>
        <w:footnoteReference w:id="14"/>
      </w:r>
      <w:r>
        <w:rPr>
          <w:rFonts w:ascii="Times New Roman" w:hAnsi="Times New Roman"/>
          <w:noProof/>
          <w:sz w:val="24"/>
        </w:rPr>
        <w:t>. Освен това, за да запази и разшири позицията си на световен лидер например при нововъ</w:t>
      </w:r>
      <w:r>
        <w:rPr>
          <w:rFonts w:ascii="Times New Roman" w:hAnsi="Times New Roman"/>
          <w:noProof/>
          <w:sz w:val="24"/>
        </w:rPr>
        <w:t>зникващите технологии за възобновяема океанска енергия, Комисията се ангажира да обедини усилията си с държавите членки за засилване на навлизането и постигане на целите за намаляване на разходите, определени в плана SET (Европейски стратегически план за е</w:t>
      </w:r>
      <w:r>
        <w:rPr>
          <w:rFonts w:ascii="Times New Roman" w:hAnsi="Times New Roman"/>
          <w:noProof/>
          <w:sz w:val="24"/>
        </w:rPr>
        <w:t>нергийните технологии)</w:t>
      </w:r>
      <w:r>
        <w:rPr>
          <w:rStyle w:val="FootnoteReference"/>
          <w:rFonts w:ascii="Times New Roman" w:hAnsi="Times New Roman"/>
          <w:noProof/>
          <w:sz w:val="24"/>
        </w:rPr>
        <w:footnoteReference w:id="15"/>
      </w:r>
      <w:r>
        <w:rPr>
          <w:rFonts w:ascii="Times New Roman" w:hAnsi="Times New Roman"/>
          <w:noProof/>
          <w:sz w:val="24"/>
        </w:rPr>
        <w:t xml:space="preserve">. Комисията създаде Промишления форум за чиста енергия по въпросите на възобновяемите енергийни източници, за да укрепи промишлената база за възобновяемите енергийни източници в Европа. В тясно сътрудничество с основните участници в </w:t>
      </w:r>
      <w:r>
        <w:rPr>
          <w:rFonts w:ascii="Times New Roman" w:hAnsi="Times New Roman"/>
          <w:noProof/>
          <w:sz w:val="24"/>
        </w:rPr>
        <w:t xml:space="preserve">сектора форумът предлага действия за подобряване на конкурентоспособността на европейската верига на доставките за възобновяеми енергийни източници. </w:t>
      </w:r>
    </w:p>
    <w:p w:rsidR="0073630F" w:rsidRDefault="00EB4AF3">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Ползите от възобновяемите енергийни източници се простират далеч отвъд въздействието им върху петте измере</w:t>
      </w:r>
      <w:r>
        <w:rPr>
          <w:rFonts w:ascii="Times New Roman" w:hAnsi="Times New Roman"/>
          <w:noProof/>
          <w:sz w:val="24"/>
        </w:rPr>
        <w:t>ния на политиката, посочени по-горе. Възобновяемата енергия е източник на икономически растеж и работни места за европейците, и по-специално на местни работни места, като понастоящем в сектора работят над 1,4 милиона души и съответният оборот се оценява на</w:t>
      </w:r>
      <w:r>
        <w:rPr>
          <w:rFonts w:ascii="Times New Roman" w:hAnsi="Times New Roman"/>
          <w:noProof/>
          <w:sz w:val="24"/>
        </w:rPr>
        <w:t xml:space="preserve"> 154,7 милиарда евро</w:t>
      </w:r>
      <w:r>
        <w:rPr>
          <w:rStyle w:val="FootnoteReference"/>
          <w:rFonts w:ascii="Times New Roman" w:hAnsi="Times New Roman"/>
          <w:noProof/>
          <w:sz w:val="24"/>
        </w:rPr>
        <w:footnoteReference w:id="16"/>
      </w:r>
      <w:r>
        <w:rPr>
          <w:rFonts w:ascii="Times New Roman" w:hAnsi="Times New Roman"/>
          <w:noProof/>
          <w:sz w:val="24"/>
        </w:rPr>
        <w:t xml:space="preserve">.В неотдавнашния доклад относно цените и разходите за енергия в Европа </w:t>
      </w:r>
      <w:r>
        <w:rPr>
          <w:rStyle w:val="FootnoteReference"/>
          <w:rFonts w:ascii="Times New Roman" w:hAnsi="Times New Roman"/>
          <w:noProof/>
          <w:sz w:val="24"/>
        </w:rPr>
        <w:footnoteReference w:id="17"/>
      </w:r>
      <w:r>
        <w:rPr>
          <w:rFonts w:ascii="Times New Roman" w:hAnsi="Times New Roman"/>
          <w:noProof/>
          <w:sz w:val="24"/>
        </w:rPr>
        <w:t xml:space="preserve"> бяха документирани още положителни въздействия върху конкурентоспособността на промишления сектор, тъй като по-големите количества възобновяема енергия са ключов </w:t>
      </w:r>
      <w:r>
        <w:rPr>
          <w:rFonts w:ascii="Times New Roman" w:hAnsi="Times New Roman"/>
          <w:noProof/>
          <w:sz w:val="24"/>
        </w:rPr>
        <w:t>фактор за спада на цените на енергията на едро през последните години. Както се подчертава от IRENA, нарастващото навлизане на възобновяеми енергийни източници е довело и до преобразуване на енергетиката в световен мащаб със значителни последици за геополи</w:t>
      </w:r>
      <w:r>
        <w:rPr>
          <w:rFonts w:ascii="Times New Roman" w:hAnsi="Times New Roman"/>
          <w:noProof/>
          <w:sz w:val="24"/>
        </w:rPr>
        <w:t>тиката, като ЕС безспорно заема водеща позиция</w:t>
      </w:r>
      <w:r>
        <w:rPr>
          <w:rStyle w:val="FootnoteReference"/>
          <w:rFonts w:ascii="Times New Roman" w:hAnsi="Times New Roman"/>
          <w:noProof/>
          <w:sz w:val="24"/>
        </w:rPr>
        <w:footnoteReference w:id="18"/>
      </w:r>
      <w:r>
        <w:rPr>
          <w:rFonts w:ascii="Times New Roman" w:hAnsi="Times New Roman"/>
          <w:noProof/>
          <w:sz w:val="24"/>
        </w:rPr>
        <w:t>.</w:t>
      </w:r>
    </w:p>
    <w:p w:rsidR="0073630F" w:rsidRDefault="00EB4AF3">
      <w:pPr>
        <w:autoSpaceDE w:val="0"/>
        <w:autoSpaceDN w:val="0"/>
        <w:jc w:val="both"/>
        <w:rPr>
          <w:rFonts w:ascii="Times New Roman" w:hAnsi="Times New Roman" w:cs="Times New Roman"/>
          <w:noProof/>
          <w:sz w:val="24"/>
          <w:szCs w:val="24"/>
        </w:rPr>
      </w:pPr>
      <w:r>
        <w:rPr>
          <w:rFonts w:ascii="Times New Roman" w:hAnsi="Times New Roman"/>
          <w:noProof/>
          <w:sz w:val="24"/>
        </w:rPr>
        <w:t>Те допринасят също за намаляване на замърсяването на въздуха и за улесняване на достъпа на развиващите се държави до евтина и чиста енергия. Между 2011 и 2016 г. капацитетът за производство на възобновяема е</w:t>
      </w:r>
      <w:r>
        <w:rPr>
          <w:rFonts w:ascii="Times New Roman" w:hAnsi="Times New Roman"/>
          <w:noProof/>
          <w:sz w:val="24"/>
        </w:rPr>
        <w:t>нергия се е увеличил с почти 10 GW, а броят на хората, които се възползват от решения за възобновяема енергия извън електропреносната мрежа, е нараснал шест пъти, достигайки повече от 133 милиона</w:t>
      </w:r>
      <w:r>
        <w:rPr>
          <w:rStyle w:val="FootnoteReference"/>
          <w:rFonts w:ascii="Times New Roman" w:hAnsi="Times New Roman"/>
          <w:noProof/>
          <w:sz w:val="24"/>
        </w:rPr>
        <w:footnoteReference w:id="19"/>
      </w:r>
      <w:r>
        <w:rPr>
          <w:rFonts w:ascii="Times New Roman" w:hAnsi="Times New Roman"/>
          <w:noProof/>
          <w:sz w:val="24"/>
        </w:rPr>
        <w:t>. Смята се, че до 2030 г. възобновяемите енергийни източници</w:t>
      </w:r>
      <w:r>
        <w:rPr>
          <w:rFonts w:ascii="Times New Roman" w:hAnsi="Times New Roman"/>
          <w:noProof/>
          <w:sz w:val="24"/>
        </w:rPr>
        <w:t xml:space="preserve"> ще захранват над 60 % от новия достъп до електроенергия, а самостоятелните системи и системите за мини-мрежи ще осигуряват средства за почти половината от новия достъп</w:t>
      </w:r>
      <w:r>
        <w:rPr>
          <w:rStyle w:val="FootnoteReference"/>
          <w:rFonts w:ascii="Times New Roman" w:hAnsi="Times New Roman"/>
          <w:noProof/>
          <w:sz w:val="24"/>
        </w:rPr>
        <w:footnoteReference w:id="20"/>
      </w:r>
      <w:r>
        <w:rPr>
          <w:rFonts w:ascii="Times New Roman" w:hAnsi="Times New Roman"/>
          <w:noProof/>
          <w:sz w:val="24"/>
        </w:rPr>
        <w:t>. И накрая, най-важното е, че по-ниските разходи за технологията, съчетани с цифровизац</w:t>
      </w:r>
      <w:r>
        <w:rPr>
          <w:rFonts w:ascii="Times New Roman" w:hAnsi="Times New Roman"/>
          <w:noProof/>
          <w:sz w:val="24"/>
        </w:rPr>
        <w:t>ията, превръщат възобновяемите енергийни източници в реалната движеща сила за предоставяне на възможности на потребителите да играят ключова роля в енергийния преход.</w:t>
      </w:r>
    </w:p>
    <w:p w:rsidR="0073630F" w:rsidRDefault="00EB4AF3">
      <w:pPr>
        <w:jc w:val="both"/>
        <w:rPr>
          <w:rFonts w:ascii="Times New Roman" w:hAnsi="Times New Roman" w:cs="Times New Roman"/>
          <w:noProof/>
          <w:sz w:val="24"/>
          <w:szCs w:val="24"/>
        </w:rPr>
      </w:pPr>
      <w:r>
        <w:rPr>
          <w:rFonts w:ascii="Times New Roman" w:hAnsi="Times New Roman"/>
          <w:noProof/>
          <w:sz w:val="24"/>
        </w:rPr>
        <w:t>Настоящият доклад предоставя най-новите данни за постигнатия до 2017 г. напредък по изпъл</w:t>
      </w:r>
      <w:r>
        <w:rPr>
          <w:rFonts w:ascii="Times New Roman" w:hAnsi="Times New Roman"/>
          <w:noProof/>
          <w:sz w:val="24"/>
        </w:rPr>
        <w:t>нението на целта за 20 % дял на възобновяемата енергия до 2020 г. и се представя в изпълнение на други задължения на Европейската комисия за докладване съгласно RED I и Директивата за непреките промени в земеползването (НПЗ)</w:t>
      </w:r>
      <w:r>
        <w:rPr>
          <w:rStyle w:val="FootnoteReference"/>
          <w:rFonts w:ascii="Times New Roman" w:hAnsi="Times New Roman"/>
          <w:noProof/>
          <w:sz w:val="24"/>
        </w:rPr>
        <w:footnoteReference w:id="21"/>
      </w:r>
      <w:r>
        <w:rPr>
          <w:rFonts w:ascii="Times New Roman" w:hAnsi="Times New Roman"/>
          <w:noProof/>
          <w:sz w:val="24"/>
        </w:rPr>
        <w:t>. Като основен източник на данн</w:t>
      </w:r>
      <w:r>
        <w:rPr>
          <w:rFonts w:ascii="Times New Roman" w:hAnsi="Times New Roman"/>
          <w:noProof/>
          <w:sz w:val="24"/>
        </w:rPr>
        <w:t xml:space="preserve">и за оценка на напредъка към постигане на целта за 2020 г. се използват статистическите данни за енергетиката, предадени от държавите членки на Евростат до януари 2019 г. Настоящият доклад се основава на четвъртия двугодишен доклад за напредъка в областта </w:t>
      </w:r>
      <w:r>
        <w:rPr>
          <w:rFonts w:ascii="Times New Roman" w:hAnsi="Times New Roman"/>
          <w:noProof/>
          <w:sz w:val="24"/>
        </w:rPr>
        <w:t>на енергията от възобновяеми източници, обхващащ периода 2015—2016 г.</w:t>
      </w:r>
      <w:r>
        <w:rPr>
          <w:rStyle w:val="FootnoteReference"/>
          <w:rFonts w:ascii="Times New Roman" w:hAnsi="Times New Roman"/>
          <w:noProof/>
          <w:sz w:val="24"/>
        </w:rPr>
        <w:footnoteReference w:id="22"/>
      </w:r>
      <w:r>
        <w:rPr>
          <w:rFonts w:ascii="Times New Roman" w:hAnsi="Times New Roman"/>
          <w:noProof/>
          <w:sz w:val="24"/>
        </w:rPr>
        <w:t>, както и на допълнителен технически анализ, извършен през 2018 г. Той също така включва преглед на потенциала по отношение на механизмите за сътрудничество и оценките на административни</w:t>
      </w:r>
      <w:r>
        <w:rPr>
          <w:rFonts w:ascii="Times New Roman" w:hAnsi="Times New Roman"/>
          <w:noProof/>
          <w:sz w:val="24"/>
        </w:rPr>
        <w:t xml:space="preserve">те рамки и устойчивостта на биогоривата. </w:t>
      </w:r>
    </w:p>
    <w:p w:rsidR="0073630F" w:rsidRDefault="00EB4AF3">
      <w:pPr>
        <w:pStyle w:val="Heading1"/>
        <w:rPr>
          <w:noProof/>
        </w:rPr>
      </w:pPr>
      <w:bookmarkStart w:id="3" w:name="_Toc1149218"/>
      <w:r>
        <w:rPr>
          <w:noProof/>
        </w:rPr>
        <w:t>2. НАПРЕДЪК ВЪВ ВНЕДРЯВАНЕТО НА ВЕИ В ЕС-28</w:t>
      </w:r>
      <w:bookmarkEnd w:id="3"/>
      <w:r>
        <w:rPr>
          <w:noProof/>
        </w:rPr>
        <w:t xml:space="preserve"> </w:t>
      </w:r>
    </w:p>
    <w:p w:rsidR="0073630F" w:rsidRDefault="00EB4AF3">
      <w:pPr>
        <w:jc w:val="both"/>
        <w:rPr>
          <w:rFonts w:ascii="Times New Roman" w:hAnsi="Times New Roman" w:cs="Times New Roman"/>
          <w:noProof/>
          <w:sz w:val="24"/>
          <w:szCs w:val="24"/>
        </w:rPr>
      </w:pPr>
      <w:r>
        <w:rPr>
          <w:rFonts w:ascii="Times New Roman" w:hAnsi="Times New Roman"/>
          <w:noProof/>
          <w:sz w:val="24"/>
        </w:rPr>
        <w:t>През 2017 г. ЕС достигна 17,52 % дял на възобновяемата енергия от брутното крайно потребление на енергия спрямо целта от 20 % за 2020 г., превишавайки индикативната крив</w:t>
      </w:r>
      <w:r>
        <w:rPr>
          <w:rFonts w:ascii="Times New Roman" w:hAnsi="Times New Roman"/>
          <w:noProof/>
          <w:sz w:val="24"/>
        </w:rPr>
        <w:t>а от 16 % за 2017/2018 г. Освен това ЕС като цяло леко надхвърли и малко по-амбициозната крива, определена от самите държави членки в техните национални планове за действие относно енергията от възобновяеми източници (НПДЕВИ)</w:t>
      </w:r>
      <w:r>
        <w:rPr>
          <w:rStyle w:val="FootnoteReference"/>
          <w:rFonts w:ascii="Times New Roman" w:hAnsi="Times New Roman"/>
          <w:noProof/>
          <w:sz w:val="24"/>
        </w:rPr>
        <w:footnoteReference w:id="23"/>
      </w:r>
      <w:r>
        <w:rPr>
          <w:rFonts w:ascii="Times New Roman" w:hAnsi="Times New Roman"/>
          <w:noProof/>
          <w:sz w:val="24"/>
        </w:rPr>
        <w:t>. ЕС е на път да изпълни своят</w:t>
      </w:r>
      <w:r>
        <w:rPr>
          <w:rFonts w:ascii="Times New Roman" w:hAnsi="Times New Roman"/>
          <w:noProof/>
          <w:sz w:val="24"/>
        </w:rPr>
        <w:t xml:space="preserve">а цел за 2020 г. През последните години на равнище ЕС се наблюдава непрекъснато нарастване на общия дял на възобновяемите енергийни източници (ВЕИ), както и на секторните дялове на ВЕИ в производството на електроенергия (ВЕИ-Е), топлинна енергия и енергия </w:t>
      </w:r>
      <w:r>
        <w:rPr>
          <w:rFonts w:ascii="Times New Roman" w:hAnsi="Times New Roman"/>
          <w:noProof/>
          <w:sz w:val="24"/>
        </w:rPr>
        <w:t>за охлаждане (ВЕИ-О&amp;О) и в по-малка степен — на енергията в транспортния сектор (ВЕИ-Т).</w:t>
      </w:r>
    </w:p>
    <w:p w:rsidR="0073630F" w:rsidRDefault="00EB4AF3">
      <w:pPr>
        <w:jc w:val="both"/>
        <w:rPr>
          <w:rFonts w:ascii="Times New Roman" w:hAnsi="Times New Roman" w:cs="Times New Roman"/>
          <w:noProof/>
          <w:sz w:val="24"/>
          <w:szCs w:val="24"/>
        </w:rPr>
      </w:pPr>
      <w:r>
        <w:rPr>
          <w:rFonts w:ascii="Times New Roman" w:hAnsi="Times New Roman"/>
          <w:noProof/>
          <w:sz w:val="24"/>
        </w:rPr>
        <w:t>Въпреки това от 2014 г. насам темпът на нарастване на дела на възобновяемата енергия се забави. В сравнение с дела от 16,19 % през 2014 г. средното увеличение за перио</w:t>
      </w:r>
      <w:r>
        <w:rPr>
          <w:rFonts w:ascii="Times New Roman" w:hAnsi="Times New Roman"/>
          <w:noProof/>
          <w:sz w:val="24"/>
        </w:rPr>
        <w:t>да 2014—2017 г. е едва 0,44 процентни пункта годишно, по-ниско от средногодишното увеличение от 0,83 процентни пункта, което ще е необходимо за достигането на дял от 20 % през 2020 г. Тъй като индикативната крива от RED I става по-стръмна през последните г</w:t>
      </w:r>
      <w:r>
        <w:rPr>
          <w:rFonts w:ascii="Times New Roman" w:hAnsi="Times New Roman"/>
          <w:noProof/>
          <w:sz w:val="24"/>
        </w:rPr>
        <w:t xml:space="preserve">одини, за постигането на целите ще бъдат необходими продължителни усилия. </w:t>
      </w:r>
    </w:p>
    <w:p w:rsidR="0073630F" w:rsidRDefault="00EB4AF3">
      <w:pPr>
        <w:jc w:val="both"/>
        <w:rPr>
          <w:rFonts w:ascii="Times New Roman" w:hAnsi="Times New Roman" w:cs="Times New Roman"/>
          <w:noProof/>
          <w:sz w:val="24"/>
          <w:szCs w:val="24"/>
        </w:rPr>
      </w:pPr>
      <w:r>
        <w:rPr>
          <w:rFonts w:ascii="Times New Roman" w:hAnsi="Times New Roman"/>
          <w:noProof/>
          <w:sz w:val="24"/>
        </w:rPr>
        <w:t xml:space="preserve">Що се отнася до отделните сектори, на равнището на ЕС делът на възобновяемата енергия в производството на електроенергия, топлинна енергия и енергия за охлаждане системно надвишава </w:t>
      </w:r>
      <w:r>
        <w:rPr>
          <w:rFonts w:ascii="Times New Roman" w:hAnsi="Times New Roman"/>
          <w:noProof/>
          <w:sz w:val="24"/>
        </w:rPr>
        <w:t xml:space="preserve">равнищата, определени от държавите членки в техните НПДЕВИ, докато в транспортния сектор делът на ВЕИ като цяло следва планираната крива. </w:t>
      </w:r>
    </w:p>
    <w:p w:rsidR="0073630F" w:rsidRDefault="0073630F">
      <w:pPr>
        <w:jc w:val="both"/>
        <w:rPr>
          <w:rFonts w:ascii="Times New Roman" w:hAnsi="Times New Roman" w:cs="Times New Roman"/>
          <w:noProof/>
          <w:sz w:val="24"/>
          <w:szCs w:val="24"/>
        </w:rPr>
      </w:pPr>
    </w:p>
    <w:p w:rsidR="0073630F" w:rsidRDefault="00EB4AF3">
      <w:pPr>
        <w:jc w:val="both"/>
        <w:rPr>
          <w:rFonts w:ascii="Times New Roman" w:hAnsi="Times New Roman" w:cs="Times New Roman"/>
          <w:noProof/>
          <w:sz w:val="24"/>
          <w:szCs w:val="24"/>
        </w:rPr>
      </w:pPr>
      <w:r>
        <w:rPr>
          <w:noProof/>
          <w:lang w:val="fr-BE" w:eastAsia="fr-BE" w:bidi="ar-SA"/>
        </w:rPr>
        <w:drawing>
          <wp:inline distT="0" distB="0" distL="0" distR="0">
            <wp:extent cx="5731510" cy="35481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548113"/>
                    </a:xfrm>
                    <a:prstGeom prst="rect">
                      <a:avLst/>
                    </a:prstGeom>
                    <a:noFill/>
                    <a:ln>
                      <a:noFill/>
                    </a:ln>
                  </pic:spPr>
                </pic:pic>
              </a:graphicData>
            </a:graphic>
          </wp:inline>
        </w:drawing>
      </w:r>
    </w:p>
    <w:p w:rsidR="0073630F" w:rsidRDefault="00EB4AF3">
      <w:pPr>
        <w:jc w:val="both"/>
        <w:rPr>
          <w:rFonts w:ascii="Times New Roman" w:hAnsi="Times New Roman" w:cs="Times New Roman"/>
          <w:i/>
          <w:noProof/>
          <w:sz w:val="24"/>
          <w:szCs w:val="24"/>
        </w:rPr>
      </w:pPr>
      <w:r>
        <w:rPr>
          <w:rFonts w:ascii="Times New Roman" w:hAnsi="Times New Roman"/>
          <w:b/>
          <w:i/>
          <w:noProof/>
          <w:sz w:val="24"/>
        </w:rPr>
        <w:t>Фигура 1</w:t>
      </w:r>
      <w:r>
        <w:rPr>
          <w:rFonts w:ascii="Times New Roman" w:hAnsi="Times New Roman"/>
          <w:i/>
          <w:noProof/>
          <w:sz w:val="24"/>
        </w:rPr>
        <w:t xml:space="preserve">: Действителни и планирани дялове на възобновяемата енергия за ЕС-28 (за периода 2005—2020 г., в %). Източник: Евростат и националните планове за действие относно енергията от възобновяеми източници </w:t>
      </w:r>
    </w:p>
    <w:p w:rsidR="0073630F" w:rsidRDefault="00EB4AF3">
      <w:pPr>
        <w:jc w:val="both"/>
        <w:rPr>
          <w:rFonts w:ascii="Times New Roman" w:hAnsi="Times New Roman" w:cs="Times New Roman"/>
          <w:noProof/>
          <w:sz w:val="24"/>
          <w:szCs w:val="24"/>
        </w:rPr>
      </w:pPr>
      <w:r>
        <w:rPr>
          <w:rFonts w:ascii="Times New Roman" w:hAnsi="Times New Roman"/>
          <w:noProof/>
          <w:sz w:val="24"/>
        </w:rPr>
        <w:t>По отношение на потреблението на енергия от възобновяеми</w:t>
      </w:r>
      <w:r>
        <w:rPr>
          <w:rFonts w:ascii="Times New Roman" w:hAnsi="Times New Roman"/>
          <w:noProof/>
          <w:sz w:val="24"/>
        </w:rPr>
        <w:t xml:space="preserve"> източници като абсолютна стойност през 2017 г. секторът на отоплението и охлаждането осигурява най-голям принос с общо 102 Mtoe, следван непосредствено от електроенергията от ВЕИ с потребление от 86,7 Mtoe и транспортния сектор с потребление от 23,65 Mtoe</w:t>
      </w:r>
      <w:r>
        <w:rPr>
          <w:rFonts w:ascii="Times New Roman" w:hAnsi="Times New Roman"/>
          <w:noProof/>
          <w:sz w:val="24"/>
          <w:vertAlign w:val="superscript"/>
        </w:rPr>
        <w:footnoteReference w:id="24"/>
      </w:r>
      <w:r>
        <w:rPr>
          <w:rFonts w:ascii="Times New Roman" w:hAnsi="Times New Roman"/>
          <w:noProof/>
          <w:sz w:val="24"/>
        </w:rPr>
        <w:t xml:space="preserve">. </w:t>
      </w:r>
    </w:p>
    <w:p w:rsidR="0073630F" w:rsidRDefault="00EB4AF3">
      <w:pPr>
        <w:jc w:val="both"/>
        <w:rPr>
          <w:rFonts w:ascii="Times New Roman" w:hAnsi="Times New Roman" w:cs="Times New Roman"/>
          <w:noProof/>
          <w:sz w:val="24"/>
          <w:szCs w:val="24"/>
        </w:rPr>
      </w:pPr>
      <w:r>
        <w:rPr>
          <w:rFonts w:ascii="Times New Roman" w:hAnsi="Times New Roman"/>
          <w:noProof/>
          <w:sz w:val="24"/>
        </w:rPr>
        <w:t>Основните възобновяеми източници, използвани за потреблението на енергия, са биомасата за отопление и охлаждане, водната и вятърната енергия за електроенергия и биогоривата за транспортния сектор. В електроенергийния сектор се наблюдава ясна промяна на</w:t>
      </w:r>
      <w:r>
        <w:rPr>
          <w:rFonts w:ascii="Times New Roman" w:hAnsi="Times New Roman"/>
          <w:noProof/>
          <w:sz w:val="24"/>
        </w:rPr>
        <w:t xml:space="preserve"> модела в посока към възобновяеми енергийни източници. Един от ключовите фактори за това е намаляването на цената на електроенергията от слънчеви фотоволтаични системи и вятърна енергия, която през периода 2009—2018 г. е спаднала съответно с близо 75 % и 5</w:t>
      </w:r>
      <w:r>
        <w:rPr>
          <w:rFonts w:ascii="Times New Roman" w:hAnsi="Times New Roman"/>
          <w:noProof/>
          <w:sz w:val="24"/>
        </w:rPr>
        <w:t>0 % (в зависимост от пазара) поради намаляването на капиталовите разходи, напредъка по отношение на ефективността и подобренията във веригата на доставките и конкурентните тръжни процедури за схемите за подпомагане. През 2018 г. проектът „Ourika“ в Португа</w:t>
      </w:r>
      <w:r>
        <w:rPr>
          <w:rFonts w:ascii="Times New Roman" w:hAnsi="Times New Roman"/>
          <w:noProof/>
          <w:sz w:val="24"/>
        </w:rPr>
        <w:t>лия беше първият европейски проект за производство на слънчева енергия, разработен без каквото и да е публично подпомагане. В Германия през лятото на 2018 г. пазарните премии, плащани за проект за слънчева фотоволтаична система с мощност от 1,4 MW, бяха по</w:t>
      </w:r>
      <w:r>
        <w:rPr>
          <w:rFonts w:ascii="Times New Roman" w:hAnsi="Times New Roman"/>
          <w:noProof/>
          <w:sz w:val="24"/>
        </w:rPr>
        <w:t>д пазарната стойност за слънчева енергия, а в Дания бяха разработени нови проекти за производство на вятърна енергия за фиксирана преференциална тарифа от 2,5 EUR/MWh. Както в Германия, така и в Нидерландия на търговете за разработването на разположени в м</w:t>
      </w:r>
      <w:r>
        <w:rPr>
          <w:rFonts w:ascii="Times New Roman" w:hAnsi="Times New Roman"/>
          <w:noProof/>
          <w:sz w:val="24"/>
        </w:rPr>
        <w:t>орето инсталации за вятърна енергия с мощност 1610 и 700 MW бяха получени оферти с нулева субсидия.</w:t>
      </w:r>
    </w:p>
    <w:p w:rsidR="0073630F" w:rsidRDefault="00EB4AF3">
      <w:pPr>
        <w:jc w:val="both"/>
        <w:rPr>
          <w:rFonts w:ascii="Times New Roman" w:hAnsi="Times New Roman" w:cs="Times New Roman"/>
          <w:noProof/>
          <w:sz w:val="24"/>
          <w:szCs w:val="24"/>
        </w:rPr>
      </w:pPr>
      <w:r>
        <w:rPr>
          <w:rFonts w:ascii="Times New Roman" w:hAnsi="Times New Roman"/>
          <w:noProof/>
          <w:sz w:val="24"/>
        </w:rPr>
        <w:t>Спадът на разходите също е един от ключовите движещи фактори за увеличаване на корпоративното снабдяване с ВЕИ, особено в случаите, когато корпоративните по</w:t>
      </w:r>
      <w:r>
        <w:rPr>
          <w:rFonts w:ascii="Times New Roman" w:hAnsi="Times New Roman"/>
          <w:noProof/>
          <w:sz w:val="24"/>
        </w:rPr>
        <w:t>требители на енергия подпишат споразумение за директно изкупуване на електроенергия с разработчика на инсталация за възобновяема енергия. За периода 2015—2018 г. корпоративните споразумения за изкупуване на електроенергия за електричество от ВЕИ в Европа</w:t>
      </w:r>
      <w:r>
        <w:rPr>
          <w:rStyle w:val="FootnoteReference"/>
          <w:rFonts w:ascii="Times New Roman" w:hAnsi="Times New Roman"/>
          <w:noProof/>
          <w:sz w:val="24"/>
        </w:rPr>
        <w:footnoteReference w:id="25"/>
      </w:r>
      <w:r>
        <w:rPr>
          <w:rFonts w:ascii="Times New Roman" w:hAnsi="Times New Roman"/>
          <w:noProof/>
          <w:sz w:val="24"/>
        </w:rPr>
        <w:t xml:space="preserve"> </w:t>
      </w:r>
      <w:r>
        <w:rPr>
          <w:rFonts w:ascii="Times New Roman" w:hAnsi="Times New Roman"/>
          <w:noProof/>
          <w:sz w:val="24"/>
        </w:rPr>
        <w:t xml:space="preserve">се увеличиха четирикратно от 506 MW до 1967 MW. </w:t>
      </w:r>
    </w:p>
    <w:p w:rsidR="0073630F" w:rsidRDefault="00EB4AF3">
      <w:pPr>
        <w:pStyle w:val="Heading1"/>
        <w:rPr>
          <w:noProof/>
        </w:rPr>
      </w:pPr>
      <w:bookmarkStart w:id="4" w:name="_Toc1149219"/>
      <w:r>
        <w:rPr>
          <w:noProof/>
        </w:rPr>
        <w:t>3. ПОДРОБНИ ОЦЕНКИ НА НАПРЕДЪКА В ДЪРЖАВИТЕ ЧЛЕНКИ И ПРОГНОЗИ</w:t>
      </w:r>
      <w:bookmarkEnd w:id="4"/>
      <w:r>
        <w:rPr>
          <w:noProof/>
        </w:rPr>
        <w:t xml:space="preserve"> ДО 2020 г.</w:t>
      </w:r>
    </w:p>
    <w:p w:rsidR="0073630F" w:rsidRDefault="00EB4AF3">
      <w:pPr>
        <w:pStyle w:val="Heading2"/>
        <w:spacing w:after="120"/>
        <w:ind w:left="714" w:hanging="357"/>
        <w:rPr>
          <w:noProof/>
        </w:rPr>
      </w:pPr>
      <w:bookmarkStart w:id="5" w:name="_Toc1149220"/>
      <w:r>
        <w:rPr>
          <w:noProof/>
        </w:rPr>
        <w:t>Напредък в електроенергийния сектор, сектора на отоплението и охлаждането и транспортния сектор</w:t>
      </w:r>
      <w:bookmarkEnd w:id="5"/>
    </w:p>
    <w:p w:rsidR="0073630F" w:rsidRDefault="00EB4AF3">
      <w:pPr>
        <w:jc w:val="both"/>
        <w:rPr>
          <w:rFonts w:ascii="Times New Roman" w:hAnsi="Times New Roman" w:cs="Times New Roman"/>
          <w:noProof/>
          <w:sz w:val="24"/>
          <w:szCs w:val="24"/>
        </w:rPr>
      </w:pPr>
      <w:r>
        <w:rPr>
          <w:rFonts w:ascii="Times New Roman" w:hAnsi="Times New Roman"/>
          <w:noProof/>
          <w:sz w:val="24"/>
        </w:rPr>
        <w:t>Дяловете на възобновяемата енергия отр</w:t>
      </w:r>
      <w:r>
        <w:rPr>
          <w:rFonts w:ascii="Times New Roman" w:hAnsi="Times New Roman"/>
          <w:noProof/>
          <w:sz w:val="24"/>
        </w:rPr>
        <w:t>азяват историческото многообразие на енергийния микс в държавите членки и разликите между техния потенциал за възобновяема енергия, като за 2017 г. дяловете варират от 6,4 % в Люксембург до 54,5 % в Швеция (вж. фигура 2).</w:t>
      </w:r>
    </w:p>
    <w:p w:rsidR="0073630F" w:rsidRDefault="00EB4AF3">
      <w:pPr>
        <w:jc w:val="both"/>
        <w:rPr>
          <w:rFonts w:ascii="Times New Roman" w:hAnsi="Times New Roman" w:cs="Times New Roman"/>
          <w:noProof/>
          <w:sz w:val="24"/>
          <w:szCs w:val="24"/>
          <w:lang w:val="en-GB"/>
        </w:rPr>
      </w:pPr>
      <w:r>
        <w:rPr>
          <w:noProof/>
          <w:lang w:val="fr-BE" w:eastAsia="fr-BE" w:bidi="ar-SA"/>
        </w:rPr>
        <w:drawing>
          <wp:inline distT="0" distB="0" distL="0" distR="0">
            <wp:extent cx="5731510" cy="2316359"/>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316359"/>
                    </a:xfrm>
                    <a:prstGeom prst="rect">
                      <a:avLst/>
                    </a:prstGeom>
                    <a:noFill/>
                    <a:ln>
                      <a:noFill/>
                    </a:ln>
                  </pic:spPr>
                </pic:pic>
              </a:graphicData>
            </a:graphic>
          </wp:inline>
        </w:drawing>
      </w:r>
    </w:p>
    <w:p w:rsidR="0073630F" w:rsidRDefault="00EB4AF3">
      <w:pPr>
        <w:jc w:val="both"/>
        <w:rPr>
          <w:rFonts w:ascii="Times New Roman" w:hAnsi="Times New Roman" w:cs="Times New Roman"/>
          <w:i/>
          <w:noProof/>
          <w:sz w:val="24"/>
          <w:szCs w:val="24"/>
        </w:rPr>
      </w:pPr>
      <w:r>
        <w:rPr>
          <w:rFonts w:ascii="Times New Roman" w:hAnsi="Times New Roman"/>
          <w:b/>
          <w:noProof/>
          <w:sz w:val="24"/>
        </w:rPr>
        <w:t>Фигура 2</w:t>
      </w:r>
      <w:r>
        <w:rPr>
          <w:rFonts w:ascii="Times New Roman" w:hAnsi="Times New Roman"/>
          <w:noProof/>
          <w:sz w:val="24"/>
        </w:rPr>
        <w:t xml:space="preserve">: </w:t>
      </w:r>
      <w:r>
        <w:rPr>
          <w:rFonts w:ascii="Times New Roman" w:hAnsi="Times New Roman"/>
          <w:i/>
          <w:noProof/>
          <w:sz w:val="24"/>
        </w:rPr>
        <w:t>Дялове на възобновяема</w:t>
      </w:r>
      <w:r>
        <w:rPr>
          <w:rFonts w:ascii="Times New Roman" w:hAnsi="Times New Roman"/>
          <w:i/>
          <w:noProof/>
          <w:sz w:val="24"/>
        </w:rPr>
        <w:t xml:space="preserve">та енергия от брутното крайно потребление на енергия за периода 2015—2017 г. в ЕС и държавите членки, съпоставени с кривите, заложени в </w:t>
      </w:r>
      <w:r>
        <w:rPr>
          <w:rFonts w:ascii="Times New Roman" w:hAnsi="Times New Roman"/>
          <w:noProof/>
          <w:sz w:val="24"/>
        </w:rPr>
        <w:t>RED I</w:t>
      </w:r>
      <w:r>
        <w:rPr>
          <w:rFonts w:ascii="Times New Roman" w:hAnsi="Times New Roman"/>
          <w:i/>
          <w:noProof/>
          <w:sz w:val="24"/>
        </w:rPr>
        <w:t xml:space="preserve"> (източник: Евростат)</w:t>
      </w:r>
    </w:p>
    <w:p w:rsidR="0073630F" w:rsidRDefault="00EB4AF3">
      <w:pPr>
        <w:jc w:val="both"/>
        <w:rPr>
          <w:rFonts w:ascii="Times New Roman" w:hAnsi="Times New Roman" w:cs="Times New Roman"/>
          <w:noProof/>
          <w:sz w:val="24"/>
          <w:szCs w:val="24"/>
        </w:rPr>
      </w:pPr>
      <w:r>
        <w:rPr>
          <w:rFonts w:ascii="Times New Roman" w:hAnsi="Times New Roman"/>
          <w:noProof/>
          <w:sz w:val="24"/>
        </w:rPr>
        <w:t>Въз основа на четвъртите доклади за напредъка в областта на възобновяемата енергия на държави</w:t>
      </w:r>
      <w:r>
        <w:rPr>
          <w:rFonts w:ascii="Times New Roman" w:hAnsi="Times New Roman"/>
          <w:noProof/>
          <w:sz w:val="24"/>
        </w:rPr>
        <w:t>те членки („доклади за напредъка“), които обхващат периода 2015—2016 г.</w:t>
      </w:r>
      <w:r>
        <w:rPr>
          <w:rStyle w:val="FootnoteReference"/>
          <w:rFonts w:ascii="Times New Roman" w:hAnsi="Times New Roman"/>
          <w:noProof/>
          <w:sz w:val="24"/>
        </w:rPr>
        <w:footnoteReference w:id="26"/>
      </w:r>
      <w:r>
        <w:rPr>
          <w:rFonts w:ascii="Times New Roman" w:hAnsi="Times New Roman"/>
          <w:noProof/>
          <w:sz w:val="24"/>
        </w:rPr>
        <w:t xml:space="preserve">, 25 държави членки са надвишили отнасящата се за тях индикативна крива, предвидена в RED I за периода 2015—2016 г. Сред трите държави членки, чиито дялове са под отнасящата се за тях </w:t>
      </w:r>
      <w:r>
        <w:rPr>
          <w:rFonts w:ascii="Times New Roman" w:hAnsi="Times New Roman"/>
          <w:noProof/>
          <w:sz w:val="24"/>
        </w:rPr>
        <w:t>крива от RED I, Нидерландия показва най-голямо несъответствие, като действителният ѝ среден дял за периода 2015—2016 г. е 5,9 % спрямо индикативната крива съгласно RED I от 7,6 %. Несъответствието с планирания дял на възобновяемата енергия в НПДЕВИ от 9,7 </w:t>
      </w:r>
      <w:r>
        <w:rPr>
          <w:rFonts w:ascii="Times New Roman" w:hAnsi="Times New Roman"/>
          <w:noProof/>
          <w:sz w:val="24"/>
        </w:rPr>
        <w:t>% през 2016 г. е още по-голямо. Държавата продължава да изостава от кривата на планираното ВЕИ-Е и е налице известно закъснение в изграждането на мощности за ВЕИ-Т. Дяловете на Люксембург и Франция също не достигат, макар и с малък марж, отнасящите се за т</w:t>
      </w:r>
      <w:r>
        <w:rPr>
          <w:rFonts w:ascii="Times New Roman" w:hAnsi="Times New Roman"/>
          <w:noProof/>
          <w:sz w:val="24"/>
        </w:rPr>
        <w:t xml:space="preserve">ях индикативни криви за периода 2015—2016 г. съгласно RED I. </w:t>
      </w:r>
    </w:p>
    <w:p w:rsidR="0073630F" w:rsidRDefault="00EB4AF3">
      <w:pPr>
        <w:jc w:val="both"/>
        <w:rPr>
          <w:rFonts w:ascii="Times New Roman" w:hAnsi="Times New Roman" w:cs="Times New Roman"/>
          <w:noProof/>
          <w:sz w:val="24"/>
          <w:szCs w:val="24"/>
        </w:rPr>
      </w:pPr>
      <w:r>
        <w:rPr>
          <w:rFonts w:ascii="Times New Roman" w:hAnsi="Times New Roman"/>
          <w:noProof/>
          <w:sz w:val="24"/>
        </w:rPr>
        <w:t xml:space="preserve">Данните на Евростат за 2017 г. не показват много различна картина. 11 държави членки (България, Дания, Естония, Италия, Литва, Румъния, Унгария, Финландия, Хърватия, Чешката република и Швеция) </w:t>
      </w:r>
      <w:r>
        <w:rPr>
          <w:rFonts w:ascii="Times New Roman" w:hAnsi="Times New Roman"/>
          <w:noProof/>
          <w:sz w:val="24"/>
        </w:rPr>
        <w:t xml:space="preserve">вече са постигнали дял, който отговаря на тяхната цел за 2020 г. Делът на 10 от остананалите17 държави членки вече е достигнал или надвишава отнасящите се за тях временни криви, заложени в RED I за периода 2017—2018 г. Останалите 7 държави членки (Белгия, </w:t>
      </w:r>
      <w:r>
        <w:rPr>
          <w:rFonts w:ascii="Times New Roman" w:hAnsi="Times New Roman"/>
          <w:noProof/>
          <w:sz w:val="24"/>
        </w:rPr>
        <w:t>Ирландия, Люксембург, Нидерландия, Полша, Словения, Франция) ще трябва да активизират усилията си, за да спазят средната крива за периода 2017—2018 г., така че целта за 2020 г. да бъде постигната.</w:t>
      </w:r>
    </w:p>
    <w:p w:rsidR="0073630F" w:rsidRDefault="00EB4AF3">
      <w:pPr>
        <w:jc w:val="both"/>
        <w:rPr>
          <w:rFonts w:ascii="Times New Roman" w:hAnsi="Times New Roman" w:cs="Times New Roman"/>
          <w:noProof/>
          <w:sz w:val="24"/>
          <w:szCs w:val="24"/>
        </w:rPr>
      </w:pPr>
      <w:r>
        <w:rPr>
          <w:rFonts w:ascii="Times New Roman" w:hAnsi="Times New Roman"/>
          <w:noProof/>
          <w:sz w:val="24"/>
        </w:rPr>
        <w:t>По отношение на абсолютните равнища на потребление на възоб</w:t>
      </w:r>
      <w:r>
        <w:rPr>
          <w:rFonts w:ascii="Times New Roman" w:hAnsi="Times New Roman"/>
          <w:noProof/>
          <w:sz w:val="24"/>
        </w:rPr>
        <w:t>новяема енергия в ЕС-28 се наблюдава значително увеличение от 189 Mtoe през 2015 г. на 204 Mtoe през 2017 г., т.е. 8 %. През същия период обаче брутното крайно потребление на енергия се е увеличило от 1 125 Mtoe на 1 159 Mtoe, което доведе до по-малко възд</w:t>
      </w:r>
      <w:r>
        <w:rPr>
          <w:rFonts w:ascii="Times New Roman" w:hAnsi="Times New Roman"/>
          <w:noProof/>
          <w:sz w:val="24"/>
        </w:rPr>
        <w:t>ействие на дeла на възобновяемата енергия, тъй като той се изчислява, като крайното потребление на възобновяема енергия се раздели на брутното крайно потребление на енергия. Това повишено търсене е един от основните определящи фактори за намаляването на де</w:t>
      </w:r>
      <w:r>
        <w:rPr>
          <w:rFonts w:ascii="Times New Roman" w:hAnsi="Times New Roman"/>
          <w:noProof/>
          <w:sz w:val="24"/>
        </w:rPr>
        <w:t xml:space="preserve">ла на възобновяемата енергия през 2017 г. в 9 държави членки (Австрия, България, Полша, Португалия, Румъния, Словакия, Унгария и Чешката република) в сравнение с 2016 г. </w:t>
      </w:r>
    </w:p>
    <w:p w:rsidR="0073630F" w:rsidRDefault="00EB4AF3">
      <w:pPr>
        <w:jc w:val="both"/>
        <w:rPr>
          <w:rFonts w:ascii="Times New Roman" w:hAnsi="Times New Roman" w:cs="Times New Roman"/>
          <w:noProof/>
          <w:sz w:val="24"/>
          <w:szCs w:val="24"/>
        </w:rPr>
      </w:pPr>
      <w:r>
        <w:rPr>
          <w:rFonts w:ascii="Times New Roman" w:hAnsi="Times New Roman"/>
          <w:noProof/>
          <w:sz w:val="24"/>
        </w:rPr>
        <w:t xml:space="preserve">През периода 2015—2017 г. секторните дялове на възобновяемата енергия нараснаха в повечето държави членки. В някои държави членки обаче секторните дялове се променят едва с малко под 0,3 процентни пункта. Такъв е случаят в 9 държави членки по отношение на </w:t>
      </w:r>
      <w:r>
        <w:rPr>
          <w:rFonts w:ascii="Times New Roman" w:hAnsi="Times New Roman"/>
          <w:noProof/>
          <w:sz w:val="24"/>
        </w:rPr>
        <w:t>ВЕИ-Е (България, Испания, Полша, Румъния, Словакия, Словения, Унгария, Чешката република, Швеция), в 7 по отношение на ВЕИ-О&amp;О (Австрия, Германия, Полша, Словакия, Словения, Унгария, Чешката република), и в 10 по отношение на ВЕИ-Т (Австрия, Дания, Естония</w:t>
      </w:r>
      <w:r>
        <w:rPr>
          <w:rFonts w:ascii="Times New Roman" w:hAnsi="Times New Roman"/>
          <w:noProof/>
          <w:sz w:val="24"/>
        </w:rPr>
        <w:t xml:space="preserve">, Кипър, Латвия, Люксембург, Полша, Унгария, Финландия, Чешката република).  </w:t>
      </w:r>
    </w:p>
    <w:p w:rsidR="0073630F" w:rsidRDefault="00EB4AF3">
      <w:pPr>
        <w:jc w:val="both"/>
        <w:rPr>
          <w:rFonts w:ascii="Times New Roman" w:hAnsi="Times New Roman" w:cs="Times New Roman"/>
          <w:noProof/>
          <w:sz w:val="24"/>
          <w:szCs w:val="24"/>
        </w:rPr>
      </w:pPr>
      <w:r>
        <w:rPr>
          <w:rFonts w:ascii="Times New Roman" w:hAnsi="Times New Roman"/>
          <w:noProof/>
          <w:sz w:val="24"/>
        </w:rPr>
        <w:t xml:space="preserve">В транспортния сектор, където всички държави членки следва да достигнат една и съща цел от 10 %, този спад може да представлява предизвикателство за 8-те държави членки (Гърция, </w:t>
      </w:r>
      <w:r>
        <w:rPr>
          <w:rFonts w:ascii="Times New Roman" w:hAnsi="Times New Roman"/>
          <w:noProof/>
          <w:sz w:val="24"/>
        </w:rPr>
        <w:t>Естония, Кипър, Латвия, Литва, Полша, Словения, Унгария), чието потребление на възобновяема енергия в транспортния сектор е по-малко от 5 % и които следователно се нуждаят от рязко увеличение, за да достигнат целта от 10 %. Възможно решение, което следва д</w:t>
      </w:r>
      <w:r>
        <w:rPr>
          <w:rFonts w:ascii="Times New Roman" w:hAnsi="Times New Roman"/>
          <w:noProof/>
          <w:sz w:val="24"/>
        </w:rPr>
        <w:t xml:space="preserve">а се проучи, е прибягването до статистическо прехвърляне в транспортния сектор, което се допуска от Директивата относно непреките промени в земеползването. </w:t>
      </w:r>
    </w:p>
    <w:p w:rsidR="0073630F" w:rsidRDefault="00EB4AF3">
      <w:pPr>
        <w:pStyle w:val="Heading2"/>
        <w:spacing w:after="120"/>
        <w:ind w:left="714" w:hanging="357"/>
        <w:rPr>
          <w:noProof/>
        </w:rPr>
      </w:pPr>
      <w:bookmarkStart w:id="6" w:name="_Toc1149221"/>
      <w:r>
        <w:rPr>
          <w:noProof/>
        </w:rPr>
        <w:t>Механизми за сътрудничество</w:t>
      </w:r>
      <w:bookmarkEnd w:id="6"/>
    </w:p>
    <w:p w:rsidR="0073630F" w:rsidRDefault="00EB4AF3">
      <w:pPr>
        <w:jc w:val="both"/>
        <w:rPr>
          <w:rFonts w:ascii="Times New Roman" w:hAnsi="Times New Roman" w:cs="Times New Roman"/>
          <w:noProof/>
          <w:sz w:val="24"/>
          <w:szCs w:val="24"/>
        </w:rPr>
      </w:pPr>
      <w:r>
        <w:rPr>
          <w:rFonts w:ascii="Times New Roman" w:hAnsi="Times New Roman"/>
          <w:noProof/>
          <w:sz w:val="24"/>
        </w:rPr>
        <w:t>Механизмите за сътрудничество се основават на членове 6—11 от RED I. Те предвиждат няколко механизма, като например статистически прехвърляния, съвместни проекти и съвместни схеми за подпомагане, чрез които държавите членки могат да си сътрудничат при прои</w:t>
      </w:r>
      <w:r>
        <w:rPr>
          <w:rFonts w:ascii="Times New Roman" w:hAnsi="Times New Roman"/>
          <w:noProof/>
          <w:sz w:val="24"/>
        </w:rPr>
        <w:t>зводството на възобновяема енергия. Статистическите прехвърляния са особено важни за улесняване постигането на целите, тъй като те дават възможност на държавите членки, които са достигнали по-висок дял на възобновяемата енергия от своята национална цел, да</w:t>
      </w:r>
      <w:r>
        <w:rPr>
          <w:rFonts w:ascii="Times New Roman" w:hAnsi="Times New Roman"/>
          <w:noProof/>
          <w:sz w:val="24"/>
        </w:rPr>
        <w:t xml:space="preserve"> прехвърлят излишъка си на друга държава членка. Понастоящем съществуват две споразумения за използване на тези статистически прехвърляния — между Люксембург и Литва и между Люксембург и Естония. И в двата случая в споразуменията се посочва, че Люксембург </w:t>
      </w:r>
      <w:r>
        <w:rPr>
          <w:rFonts w:ascii="Times New Roman" w:hAnsi="Times New Roman"/>
          <w:noProof/>
          <w:sz w:val="24"/>
        </w:rPr>
        <w:t xml:space="preserve">ще получи статистически прехвърляния за периода 2018—2020 г. </w:t>
      </w:r>
    </w:p>
    <w:p w:rsidR="0073630F" w:rsidRDefault="00EB4AF3">
      <w:pPr>
        <w:jc w:val="both"/>
        <w:rPr>
          <w:rFonts w:ascii="Times New Roman" w:hAnsi="Times New Roman" w:cs="Times New Roman"/>
          <w:noProof/>
          <w:sz w:val="24"/>
          <w:szCs w:val="24"/>
        </w:rPr>
      </w:pPr>
      <w:r>
        <w:rPr>
          <w:rFonts w:ascii="Times New Roman" w:hAnsi="Times New Roman"/>
          <w:noProof/>
          <w:sz w:val="24"/>
        </w:rPr>
        <w:t>Според оценките, които държавите членки са включили в докладите си за напредъка, ще има общо свръхпроизводство на възобновяема енергия спрямо индикативната крива в размер на 12 564 ktoe, което щ</w:t>
      </w:r>
      <w:r>
        <w:rPr>
          <w:rFonts w:ascii="Times New Roman" w:hAnsi="Times New Roman"/>
          <w:noProof/>
          <w:sz w:val="24"/>
        </w:rPr>
        <w:t>е бъде на разположение за потенциални статистически прехвърляния през 2020 г. Това съответства на около половината от брутното крайно потребление на енергия от възобновяеми източници на Франция. За държавите членки, които не могат да постигнат целта за 202</w:t>
      </w:r>
      <w:r>
        <w:rPr>
          <w:rFonts w:ascii="Times New Roman" w:hAnsi="Times New Roman"/>
          <w:noProof/>
          <w:sz w:val="24"/>
        </w:rPr>
        <w:t xml:space="preserve">0 г. чрез свои собствени възобновяеми енергийни източници, това може да бъде реална възможност да го направят по разходоефективен начин (вж. таблица 1). </w:t>
      </w:r>
    </w:p>
    <w:tbl>
      <w:tblPr>
        <w:tblStyle w:val="Tablestylegreen2"/>
        <w:tblW w:w="5445" w:type="pct"/>
        <w:tblLayout w:type="fixed"/>
        <w:tblLook w:val="04A0" w:firstRow="1" w:lastRow="0" w:firstColumn="1" w:lastColumn="0" w:noHBand="0" w:noVBand="1"/>
      </w:tblPr>
      <w:tblGrid>
        <w:gridCol w:w="1420"/>
        <w:gridCol w:w="846"/>
        <w:gridCol w:w="708"/>
        <w:gridCol w:w="710"/>
        <w:gridCol w:w="711"/>
        <w:gridCol w:w="709"/>
        <w:gridCol w:w="711"/>
        <w:gridCol w:w="709"/>
        <w:gridCol w:w="709"/>
        <w:gridCol w:w="711"/>
        <w:gridCol w:w="707"/>
        <w:gridCol w:w="707"/>
        <w:gridCol w:w="707"/>
      </w:tblGrid>
      <w:tr w:rsidR="0073630F" w:rsidTr="0073630F">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706" w:type="pct"/>
            <w:noWrap/>
          </w:tcPr>
          <w:p w:rsidR="0073630F" w:rsidRDefault="0073630F">
            <w:pPr>
              <w:keepNext/>
              <w:spacing w:before="0" w:beforeAutospacing="0" w:after="0" w:afterAutospacing="0"/>
              <w:jc w:val="both"/>
              <w:rPr>
                <w:rFonts w:cs="Arial"/>
                <w:noProof/>
                <w:color w:val="FFFFFF" w:themeColor="background1"/>
                <w:szCs w:val="16"/>
              </w:rPr>
            </w:pPr>
          </w:p>
        </w:tc>
        <w:tc>
          <w:tcPr>
            <w:tcW w:w="421" w:type="pct"/>
            <w:shd w:val="clear" w:color="auto" w:fill="648C1A"/>
            <w:noWrap/>
          </w:tcPr>
          <w:p w:rsidR="0073630F" w:rsidRDefault="00EB4AF3">
            <w:pPr>
              <w:keepNext/>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2009 г.</w:t>
            </w:r>
          </w:p>
        </w:tc>
        <w:tc>
          <w:tcPr>
            <w:tcW w:w="352" w:type="pct"/>
            <w:shd w:val="clear" w:color="auto" w:fill="648C1A"/>
            <w:noWrap/>
          </w:tcPr>
          <w:p w:rsidR="0073630F" w:rsidRDefault="00EB4AF3">
            <w:pPr>
              <w:keepNext/>
              <w:spacing w:before="0" w:beforeAutospacing="0" w:after="0" w:afterAutospacing="0"/>
              <w:ind w:right="-108"/>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2010 г.</w:t>
            </w:r>
          </w:p>
        </w:tc>
        <w:tc>
          <w:tcPr>
            <w:tcW w:w="353"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2011 г.</w:t>
            </w:r>
          </w:p>
        </w:tc>
        <w:tc>
          <w:tcPr>
            <w:tcW w:w="353"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2012 г.</w:t>
            </w:r>
          </w:p>
        </w:tc>
        <w:tc>
          <w:tcPr>
            <w:tcW w:w="352" w:type="pct"/>
            <w:shd w:val="clear" w:color="auto" w:fill="648C1A"/>
            <w:noWrap/>
          </w:tcPr>
          <w:p w:rsidR="0073630F" w:rsidRDefault="00EB4AF3">
            <w:pPr>
              <w:keepNext/>
              <w:spacing w:before="0" w:beforeAutospacing="0" w:after="0" w:afterAutospacing="0"/>
              <w:ind w:right="-108"/>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2013 г.</w:t>
            </w:r>
          </w:p>
        </w:tc>
        <w:tc>
          <w:tcPr>
            <w:tcW w:w="353"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2014 г.</w:t>
            </w:r>
          </w:p>
        </w:tc>
        <w:tc>
          <w:tcPr>
            <w:tcW w:w="352"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2015 г.</w:t>
            </w:r>
          </w:p>
        </w:tc>
        <w:tc>
          <w:tcPr>
            <w:tcW w:w="352" w:type="pct"/>
            <w:shd w:val="clear" w:color="auto" w:fill="648C1A"/>
            <w:noWrap/>
          </w:tcPr>
          <w:p w:rsidR="0073630F" w:rsidRDefault="00EB4AF3">
            <w:pPr>
              <w:keepNext/>
              <w:spacing w:before="0" w:beforeAutospacing="0" w:after="0" w:afterAutospacing="0"/>
              <w:ind w:right="-109"/>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2016 г.</w:t>
            </w:r>
          </w:p>
        </w:tc>
        <w:tc>
          <w:tcPr>
            <w:tcW w:w="353"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2017 г.</w:t>
            </w:r>
          </w:p>
        </w:tc>
        <w:tc>
          <w:tcPr>
            <w:tcW w:w="351" w:type="pct"/>
            <w:shd w:val="clear" w:color="auto" w:fill="648C1A"/>
            <w:noWrap/>
          </w:tcPr>
          <w:p w:rsidR="0073630F" w:rsidRDefault="00EB4AF3">
            <w:pPr>
              <w:keepNext/>
              <w:spacing w:before="0" w:beforeAutospacing="0" w:after="0" w:afterAutospacing="0"/>
              <w:ind w:right="-107"/>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2018 г.</w:t>
            </w:r>
          </w:p>
        </w:tc>
        <w:tc>
          <w:tcPr>
            <w:tcW w:w="351" w:type="pct"/>
            <w:shd w:val="clear" w:color="auto" w:fill="648C1A"/>
            <w:noWrap/>
          </w:tcPr>
          <w:p w:rsidR="0073630F" w:rsidRDefault="00EB4AF3">
            <w:pPr>
              <w:keepNext/>
              <w:spacing w:before="0" w:beforeAutospacing="0" w:after="0" w:afterAutospacing="0"/>
              <w:ind w:right="-109"/>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2019 г.</w:t>
            </w:r>
          </w:p>
        </w:tc>
        <w:tc>
          <w:tcPr>
            <w:tcW w:w="353" w:type="pct"/>
            <w:shd w:val="clear" w:color="auto" w:fill="648C1A"/>
            <w:noWrap/>
          </w:tcPr>
          <w:p w:rsidR="0073630F" w:rsidRDefault="00EB4AF3">
            <w:pPr>
              <w:keepNext/>
              <w:spacing w:before="0" w:beforeAutospacing="0" w:after="0" w:afterAutospacing="0"/>
              <w:ind w:right="-108"/>
              <w:jc w:val="both"/>
              <w:cnfStyle w:val="100000000000" w:firstRow="1" w:lastRow="0" w:firstColumn="0" w:lastColumn="0" w:oddVBand="0" w:evenVBand="0" w:oddHBand="0" w:evenHBand="0" w:firstRowFirstColumn="0" w:firstRowLastColumn="0" w:lastRowFirstColumn="0" w:lastRowLastColumn="0"/>
              <w:rPr>
                <w:rFonts w:cs="Arial"/>
                <w:b/>
                <w:noProof/>
                <w:color w:val="FFFFFF" w:themeColor="background1"/>
                <w:szCs w:val="16"/>
              </w:rPr>
            </w:pPr>
            <w:r>
              <w:rPr>
                <w:b/>
                <w:noProof/>
                <w:color w:val="FFFFFF" w:themeColor="background1"/>
              </w:rPr>
              <w:t>2020 г.</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Белгия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България</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372</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357</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528</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641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601</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610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691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420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471</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411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341</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Чешка република</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1 145</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1 039</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947</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863</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892</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678</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643</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Дания</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694</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834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1 123</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1 106</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1 223</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1 452</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552</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619</w:t>
            </w:r>
          </w:p>
        </w:tc>
        <w:tc>
          <w:tcPr>
            <w:tcW w:w="35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63</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Германия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6 895</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8 436</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6 546</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9 390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7 272</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7 911</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4 130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5 976</w:t>
            </w: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3 065</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Естония</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101</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117</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135</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122</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75</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94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154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163</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186</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235</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279</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296</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Ирландия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-14</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111</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79</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-142</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-239</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-366</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Гърция</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137</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201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320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242</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195</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137</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-162</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737</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743</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683</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529</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Испания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2 290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3 083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2 720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3 357</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1 990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2 963</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2 049</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2 793</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 xml:space="preserve"> </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839</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Франция</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-641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-2 708</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-1 877</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-1 565</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-3 721</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-4 048</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-4 075</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Италия</w:t>
            </w:r>
          </w:p>
        </w:tc>
        <w:tc>
          <w:tcPr>
            <w:tcW w:w="42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8 324</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8 613</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7 405</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10 011</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10 937</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9 343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9 468</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7 789</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7 259</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5 828</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4 462</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3 397</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Кипър</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28</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45</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43</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29</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57</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34</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21</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Латвия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-69</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-127</w:t>
            </w: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Люксембург</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-50</w:t>
            </w:r>
          </w:p>
        </w:tc>
        <w:tc>
          <w:tcPr>
            <w:tcW w:w="35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Унгария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968</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1 150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1 213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1 295</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883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970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803</w:t>
            </w: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Малта</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2"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10</w:t>
            </w:r>
          </w:p>
        </w:tc>
        <w:tc>
          <w:tcPr>
            <w:tcW w:w="353"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Нидерландия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Австрия</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Полша</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543</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729</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929</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530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174</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-260</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968</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968</w:t>
            </w: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587</w:t>
            </w:r>
          </w:p>
        </w:tc>
      </w:tr>
      <w:tr w:rsidR="0073630F" w:rsidTr="0073630F">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Португалия</w:t>
            </w:r>
          </w:p>
        </w:tc>
        <w:tc>
          <w:tcPr>
            <w:tcW w:w="421"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83</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82</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84</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144</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128</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154</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81</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131</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-4</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50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Румъния</w:t>
            </w:r>
          </w:p>
        </w:tc>
        <w:tc>
          <w:tcPr>
            <w:tcW w:w="42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1 153</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1 306</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794</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942</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645</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692</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1 089</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886</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258</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405</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263</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Словения</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Словакия</w:t>
            </w:r>
          </w:p>
        </w:tc>
        <w:tc>
          <w:tcPr>
            <w:tcW w:w="42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b/>
                <w:noProof/>
                <w:szCs w:val="16"/>
              </w:rPr>
            </w:pPr>
          </w:p>
        </w:tc>
        <w:tc>
          <w:tcPr>
            <w:tcW w:w="352"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302</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254</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142</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222</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305</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364</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90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110</w:t>
            </w:r>
          </w:p>
        </w:tc>
        <w:tc>
          <w:tcPr>
            <w:tcW w:w="351" w:type="pct"/>
            <w:noWrap/>
          </w:tcPr>
          <w:p w:rsidR="0073630F" w:rsidRDefault="0073630F">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0</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Финландия</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noProof/>
                <w:szCs w:val="16"/>
              </w:rPr>
            </w:pPr>
            <w:r>
              <w:rPr>
                <w:noProof/>
              </w:rPr>
              <w:t>0</w:t>
            </w:r>
          </w:p>
        </w:tc>
      </w:tr>
      <w:bookmarkStart w:id="7" w:name="RANGE!C29"/>
      <w:tr w:rsidR="0073630F" w:rsidTr="0073630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rPr>
              <w:fldChar w:fldCharType="begin"/>
            </w:r>
            <w:r>
              <w:rPr>
                <w:noProof/>
              </w:rPr>
              <w:instrText xml:space="preserve">HYPERLINK "file:///C:\\Users\\fvonbluecher\\Desktop\\stuff\\2020%20PREBS\\Cooperation%20mechanism%20overview.xlsx" \l </w:instrText>
            </w:r>
            <w:r>
              <w:rPr>
                <w:noProof/>
              </w:rPr>
              <w:instrText>"RANGE!#REF!"</w:instrText>
            </w:r>
            <w:r>
              <w:rPr>
                <w:noProof/>
              </w:rPr>
              <w:fldChar w:fldCharType="separate"/>
            </w:r>
            <w:r>
              <w:rPr>
                <w:noProof/>
                <w:color w:val="FFFFFF" w:themeColor="background1"/>
              </w:rPr>
              <w:t>Швеция</w:t>
            </w:r>
            <w:r>
              <w:rPr>
                <w:noProof/>
              </w:rPr>
              <w:fldChar w:fldCharType="end"/>
            </w:r>
            <w:bookmarkEnd w:id="7"/>
          </w:p>
        </w:tc>
        <w:tc>
          <w:tcPr>
            <w:tcW w:w="42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2 407</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2 141</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2 482</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3 318</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3 214</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3 335</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3 347</w:t>
            </w:r>
          </w:p>
        </w:tc>
        <w:tc>
          <w:tcPr>
            <w:tcW w:w="352"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3 475</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3 215</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3 610</w:t>
            </w:r>
          </w:p>
        </w:tc>
        <w:tc>
          <w:tcPr>
            <w:tcW w:w="351"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3 428</w:t>
            </w:r>
          </w:p>
        </w:tc>
        <w:tc>
          <w:tcPr>
            <w:tcW w:w="353" w:type="pct"/>
            <w:noWrap/>
          </w:tcPr>
          <w:p w:rsidR="0073630F" w:rsidRDefault="00EB4AF3">
            <w:pPr>
              <w:keepNext/>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cs="Arial"/>
                <w:noProof/>
                <w:szCs w:val="16"/>
              </w:rPr>
            </w:pPr>
            <w:r>
              <w:rPr>
                <w:noProof/>
              </w:rPr>
              <w:t>3 241</w:t>
            </w:r>
          </w:p>
        </w:tc>
      </w:tr>
      <w:tr w:rsidR="0073630F" w:rsidTr="0073630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06" w:type="pct"/>
            <w:noWrap/>
          </w:tcPr>
          <w:p w:rsidR="0073630F" w:rsidRDefault="00EB4AF3">
            <w:pPr>
              <w:keepNext/>
              <w:spacing w:before="0" w:beforeAutospacing="0" w:after="0" w:afterAutospacing="0"/>
              <w:jc w:val="both"/>
              <w:rPr>
                <w:rFonts w:cs="Arial"/>
                <w:b w:val="0"/>
                <w:noProof/>
                <w:color w:val="FFFFFF" w:themeColor="background1"/>
                <w:szCs w:val="16"/>
              </w:rPr>
            </w:pPr>
            <w:r>
              <w:rPr>
                <w:noProof/>
                <w:color w:val="FFFFFF" w:themeColor="background1"/>
              </w:rPr>
              <w:t xml:space="preserve">Общо </w:t>
            </w:r>
          </w:p>
        </w:tc>
        <w:tc>
          <w:tcPr>
            <w:tcW w:w="42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11 985</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13 544</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20 838</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28 332</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26 660</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27 033</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23 901</w:t>
            </w:r>
          </w:p>
        </w:tc>
        <w:tc>
          <w:tcPr>
            <w:tcW w:w="352"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23 038</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20 722</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22 752</w:t>
            </w:r>
          </w:p>
        </w:tc>
        <w:tc>
          <w:tcPr>
            <w:tcW w:w="351"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9 982</w:t>
            </w:r>
          </w:p>
        </w:tc>
        <w:tc>
          <w:tcPr>
            <w:tcW w:w="353" w:type="pct"/>
            <w:noWrap/>
          </w:tcPr>
          <w:p w:rsidR="0073630F" w:rsidRDefault="00EB4AF3">
            <w:pPr>
              <w:keepNext/>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cs="Arial"/>
                <w:b/>
                <w:noProof/>
                <w:szCs w:val="16"/>
              </w:rPr>
            </w:pPr>
            <w:r>
              <w:rPr>
                <w:b/>
                <w:noProof/>
              </w:rPr>
              <w:t>12 564</w:t>
            </w:r>
          </w:p>
        </w:tc>
      </w:tr>
    </w:tbl>
    <w:p w:rsidR="0073630F" w:rsidRDefault="00EB4AF3">
      <w:pPr>
        <w:keepNext/>
        <w:jc w:val="both"/>
        <w:rPr>
          <w:rFonts w:ascii="Times New Roman" w:hAnsi="Times New Roman" w:cs="Times New Roman"/>
          <w:i/>
          <w:noProof/>
          <w:sz w:val="24"/>
        </w:rPr>
      </w:pPr>
      <w:r>
        <w:rPr>
          <w:rFonts w:ascii="Times New Roman" w:hAnsi="Times New Roman"/>
          <w:b/>
          <w:noProof/>
          <w:sz w:val="24"/>
        </w:rPr>
        <w:t>Таблица 1</w:t>
      </w:r>
      <w:r>
        <w:rPr>
          <w:rFonts w:ascii="Times New Roman" w:hAnsi="Times New Roman"/>
          <w:noProof/>
          <w:sz w:val="24"/>
        </w:rPr>
        <w:t xml:space="preserve">: </w:t>
      </w:r>
      <w:r>
        <w:rPr>
          <w:rFonts w:ascii="Times New Roman" w:hAnsi="Times New Roman"/>
          <w:i/>
          <w:noProof/>
          <w:sz w:val="24"/>
        </w:rPr>
        <w:t xml:space="preserve">Действително и прогнозно свръхпроизводство и/или </w:t>
      </w:r>
      <w:r>
        <w:rPr>
          <w:rFonts w:ascii="Times New Roman" w:hAnsi="Times New Roman"/>
          <w:i/>
          <w:noProof/>
          <w:sz w:val="24"/>
        </w:rPr>
        <w:t>недостатъчно производство на възобновяема енергия в държавите членки спрямо индикативната крива от Директивата за възобновяемата енергия (в ktoe). Източник: Navigant, 2019 г.</w:t>
      </w:r>
      <w:r>
        <w:rPr>
          <w:rStyle w:val="FootnoteReference"/>
          <w:rFonts w:ascii="Times New Roman" w:hAnsi="Times New Roman"/>
          <w:i/>
          <w:noProof/>
          <w:sz w:val="24"/>
        </w:rPr>
        <w:footnoteReference w:id="27"/>
      </w:r>
      <w:r>
        <w:rPr>
          <w:rFonts w:ascii="Times New Roman" w:hAnsi="Times New Roman"/>
          <w:i/>
          <w:noProof/>
          <w:sz w:val="24"/>
        </w:rPr>
        <w:t>, доклади на държавите членки</w:t>
      </w:r>
      <w:r>
        <w:rPr>
          <w:rStyle w:val="FootnoteReference"/>
          <w:rFonts w:ascii="Times New Roman" w:hAnsi="Times New Roman"/>
          <w:i/>
          <w:noProof/>
          <w:sz w:val="24"/>
        </w:rPr>
        <w:footnoteReference w:id="28"/>
      </w:r>
      <w:r>
        <w:rPr>
          <w:rFonts w:ascii="Times New Roman" w:hAnsi="Times New Roman"/>
          <w:i/>
          <w:noProof/>
          <w:sz w:val="24"/>
        </w:rPr>
        <w:t>.</w:t>
      </w:r>
    </w:p>
    <w:p w:rsidR="0073630F" w:rsidRDefault="00EB4AF3">
      <w:pPr>
        <w:pStyle w:val="Heading2"/>
        <w:spacing w:after="120"/>
        <w:ind w:left="714" w:hanging="357"/>
        <w:rPr>
          <w:noProof/>
        </w:rPr>
      </w:pPr>
      <w:bookmarkStart w:id="8" w:name="_Toc1149222"/>
      <w:r>
        <w:rPr>
          <w:noProof/>
        </w:rPr>
        <w:t>Прогнози</w:t>
      </w:r>
      <w:bookmarkEnd w:id="8"/>
      <w:r>
        <w:rPr>
          <w:noProof/>
        </w:rPr>
        <w:t xml:space="preserve"> </w:t>
      </w:r>
    </w:p>
    <w:p w:rsidR="0073630F" w:rsidRDefault="00EB4AF3">
      <w:pPr>
        <w:jc w:val="both"/>
        <w:rPr>
          <w:rFonts w:ascii="Times New Roman" w:hAnsi="Times New Roman" w:cs="Times New Roman"/>
          <w:noProof/>
          <w:sz w:val="24"/>
          <w:szCs w:val="24"/>
        </w:rPr>
      </w:pPr>
      <w:r>
        <w:rPr>
          <w:rFonts w:ascii="Times New Roman" w:hAnsi="Times New Roman"/>
          <w:noProof/>
          <w:sz w:val="24"/>
        </w:rPr>
        <w:t>Беше извършено моделиране</w:t>
      </w:r>
      <w:r>
        <w:rPr>
          <w:rStyle w:val="FootnoteReference"/>
          <w:rFonts w:ascii="Times New Roman" w:hAnsi="Times New Roman"/>
          <w:noProof/>
          <w:sz w:val="24"/>
        </w:rPr>
        <w:footnoteReference w:id="29"/>
      </w:r>
      <w:r>
        <w:rPr>
          <w:rFonts w:ascii="Times New Roman" w:hAnsi="Times New Roman"/>
          <w:noProof/>
          <w:sz w:val="24"/>
        </w:rPr>
        <w:t xml:space="preserve"> за Комисията, за да се оцени осъществимостта на постигането на целта за 2020 г. В анализа се проучва до каква степен текущите политически инициативи в областта на възобновяемата енергия (докладвани от държавите членки в техните доклади за напредъка), допъ</w:t>
      </w:r>
      <w:r>
        <w:rPr>
          <w:rFonts w:ascii="Times New Roman" w:hAnsi="Times New Roman"/>
          <w:noProof/>
          <w:sz w:val="24"/>
        </w:rPr>
        <w:t>лнени от планираните политически инициативи, ще бъдат достатъчни за всяка държава членка, за да стартира целевото навлизане на възобновяема енергия в периода на подготовка за 2020 г. С това моделиране беше установено, че при прилаганите понастоящем или пла</w:t>
      </w:r>
      <w:r>
        <w:rPr>
          <w:rFonts w:ascii="Times New Roman" w:hAnsi="Times New Roman"/>
          <w:noProof/>
          <w:sz w:val="24"/>
        </w:rPr>
        <w:t>нираните политики в областта на възобновяемата енергия</w:t>
      </w:r>
      <w:r>
        <w:rPr>
          <w:rFonts w:ascii="Times New Roman" w:hAnsi="Times New Roman"/>
          <w:noProof/>
          <w:sz w:val="24"/>
          <w:vertAlign w:val="superscript"/>
        </w:rPr>
        <w:footnoteReference w:id="30"/>
      </w:r>
      <w:r>
        <w:rPr>
          <w:rFonts w:ascii="Times New Roman" w:hAnsi="Times New Roman"/>
          <w:noProof/>
          <w:sz w:val="24"/>
        </w:rPr>
        <w:t xml:space="preserve"> може да се очаква дял на възобновяемата енергия на равнище ЕС за 2020 г. от 18,1 % до 20,7 %. През оставащите години се очаква редица държави членки да покажат добри резултати, като достигнат равнища </w:t>
      </w:r>
      <w:r>
        <w:rPr>
          <w:rFonts w:ascii="Times New Roman" w:hAnsi="Times New Roman"/>
          <w:noProof/>
          <w:sz w:val="24"/>
        </w:rPr>
        <w:t xml:space="preserve">на навлизане, които надхвърлят техните целеви равнища. </w:t>
      </w:r>
    </w:p>
    <w:p w:rsidR="0073630F" w:rsidRDefault="00EB4AF3">
      <w:pPr>
        <w:jc w:val="both"/>
        <w:rPr>
          <w:rFonts w:ascii="Times New Roman" w:hAnsi="Times New Roman" w:cs="Times New Roman"/>
          <w:noProof/>
          <w:sz w:val="24"/>
          <w:szCs w:val="24"/>
        </w:rPr>
      </w:pPr>
      <w:r>
        <w:rPr>
          <w:rFonts w:ascii="Times New Roman" w:hAnsi="Times New Roman"/>
          <w:noProof/>
          <w:sz w:val="24"/>
        </w:rPr>
        <w:t>За 11 държави членки обаче (Белгия, Гърция, Ирландия, Кипър, Люксембург, Малта, Нидерландия, Обединеното кралство, Полша, Португалия и Франция) прилаганите понастоящем политики в областта на възобновя</w:t>
      </w:r>
      <w:r>
        <w:rPr>
          <w:rFonts w:ascii="Times New Roman" w:hAnsi="Times New Roman"/>
          <w:noProof/>
          <w:sz w:val="24"/>
        </w:rPr>
        <w:t xml:space="preserve">емата енергия и вече планираните политически инициативи в областта на възобновяемата енергия днес изглежда са недостатъчни, за да породят производството на необходимите количества възобновяема енергия изцяло на вътрешно равнище. </w:t>
      </w:r>
    </w:p>
    <w:p w:rsidR="0073630F" w:rsidRDefault="00EB4AF3">
      <w:pPr>
        <w:jc w:val="both"/>
        <w:rPr>
          <w:rFonts w:ascii="Times New Roman" w:hAnsi="Times New Roman" w:cs="Times New Roman"/>
          <w:noProof/>
          <w:sz w:val="24"/>
          <w:szCs w:val="24"/>
        </w:rPr>
      </w:pPr>
      <w:r>
        <w:rPr>
          <w:rFonts w:ascii="Times New Roman" w:hAnsi="Times New Roman"/>
          <w:noProof/>
          <w:sz w:val="24"/>
        </w:rPr>
        <w:t>Освен това за 7 държави чл</w:t>
      </w:r>
      <w:r>
        <w:rPr>
          <w:rFonts w:ascii="Times New Roman" w:hAnsi="Times New Roman"/>
          <w:noProof/>
          <w:sz w:val="24"/>
        </w:rPr>
        <w:t>енки (Австрия, Германия, Испания, Латвия, Румъния, Словакия и Словения) съществува известна несигурност относно постигането на целта за възобновяемата енергия за 2020 г. Способността им да постигнат националните си обвързващи цели до голяма степен ще завис</w:t>
      </w:r>
      <w:r>
        <w:rPr>
          <w:rFonts w:ascii="Times New Roman" w:hAnsi="Times New Roman"/>
          <w:noProof/>
          <w:sz w:val="24"/>
        </w:rPr>
        <w:t>и от равнищата на енергийните потребности, тъй като ако те се увеличат значително, потреблението на енергия в държавите членки ще се върне към първоначалната тенденция, посочена в последния референтен сценарии за ЕС. Резултатите са показани на фигура 4, ка</w:t>
      </w:r>
      <w:r>
        <w:rPr>
          <w:rFonts w:ascii="Times New Roman" w:hAnsi="Times New Roman"/>
          <w:noProof/>
          <w:sz w:val="24"/>
        </w:rPr>
        <w:t xml:space="preserve">то са взети предвид договорените механизми за сътрудничество за Люксембург, Естония и Литва. </w:t>
      </w:r>
    </w:p>
    <w:p w:rsidR="0073630F" w:rsidRDefault="00EB4AF3">
      <w:pPr>
        <w:jc w:val="both"/>
        <w:rPr>
          <w:rFonts w:ascii="Times New Roman" w:hAnsi="Times New Roman" w:cs="Times New Roman"/>
          <w:b/>
          <w:noProof/>
          <w:sz w:val="24"/>
          <w:szCs w:val="24"/>
        </w:rPr>
      </w:pPr>
      <w:r>
        <w:rPr>
          <w:noProof/>
          <w:lang w:val="fr-BE" w:eastAsia="fr-BE" w:bidi="ar-SA"/>
        </w:rPr>
        <w:drawing>
          <wp:inline distT="0" distB="0" distL="0" distR="0">
            <wp:extent cx="5734050" cy="26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691207"/>
                    </a:xfrm>
                    <a:prstGeom prst="rect">
                      <a:avLst/>
                    </a:prstGeom>
                    <a:noFill/>
                    <a:ln>
                      <a:noFill/>
                    </a:ln>
                  </pic:spPr>
                </pic:pic>
              </a:graphicData>
            </a:graphic>
          </wp:inline>
        </w:drawing>
      </w:r>
    </w:p>
    <w:p w:rsidR="0073630F" w:rsidRDefault="00EB4AF3">
      <w:pPr>
        <w:jc w:val="both"/>
        <w:rPr>
          <w:rFonts w:ascii="Times New Roman" w:hAnsi="Times New Roman" w:cs="Times New Roman"/>
          <w:i/>
          <w:noProof/>
          <w:sz w:val="24"/>
          <w:szCs w:val="24"/>
        </w:rPr>
      </w:pPr>
      <w:r>
        <w:rPr>
          <w:rFonts w:ascii="Times New Roman" w:hAnsi="Times New Roman"/>
          <w:b/>
          <w:noProof/>
          <w:sz w:val="24"/>
        </w:rPr>
        <w:t>Фигура 3</w:t>
      </w:r>
      <w:r>
        <w:rPr>
          <w:rFonts w:ascii="Times New Roman" w:hAnsi="Times New Roman"/>
          <w:noProof/>
          <w:sz w:val="24"/>
        </w:rPr>
        <w:t xml:space="preserve">. </w:t>
      </w:r>
      <w:r>
        <w:rPr>
          <w:rFonts w:ascii="Times New Roman" w:hAnsi="Times New Roman"/>
          <w:i/>
          <w:noProof/>
          <w:sz w:val="24"/>
        </w:rPr>
        <w:t>Очакван дял на възобновяемата енергия през 2020 г. спрямо целите за 2020 г., заложени в Директивата за възобновяемата енергия, и планираните цели за 2</w:t>
      </w:r>
      <w:r>
        <w:rPr>
          <w:rFonts w:ascii="Times New Roman" w:hAnsi="Times New Roman"/>
          <w:i/>
          <w:noProof/>
          <w:sz w:val="24"/>
        </w:rPr>
        <w:t xml:space="preserve">020 г. (от НПДЕВИ) (в %), </w:t>
      </w:r>
      <w:r>
        <w:rPr>
          <w:rFonts w:ascii="Times New Roman" w:hAnsi="Times New Roman"/>
          <w:i/>
          <w:noProof/>
          <w:sz w:val="24"/>
          <w:u w:val="single"/>
        </w:rPr>
        <w:t>без да се отчитат механизмите за сътрудничество</w:t>
      </w:r>
      <w:r>
        <w:rPr>
          <w:rFonts w:ascii="Times New Roman" w:hAnsi="Times New Roman"/>
          <w:i/>
          <w:noProof/>
          <w:sz w:val="24"/>
        </w:rPr>
        <w:t>. (Navigant, 2019 г.</w:t>
      </w:r>
      <w:r>
        <w:rPr>
          <w:rStyle w:val="FootnoteReference"/>
          <w:rFonts w:ascii="Times New Roman" w:hAnsi="Times New Roman"/>
          <w:i/>
          <w:noProof/>
          <w:sz w:val="24"/>
        </w:rPr>
        <w:footnoteReference w:id="31"/>
      </w:r>
      <w:r>
        <w:rPr>
          <w:rFonts w:ascii="Times New Roman" w:hAnsi="Times New Roman"/>
          <w:i/>
          <w:noProof/>
          <w:sz w:val="24"/>
        </w:rPr>
        <w:t>)</w:t>
      </w:r>
    </w:p>
    <w:p w:rsidR="0073630F" w:rsidRDefault="00EB4AF3">
      <w:pPr>
        <w:jc w:val="both"/>
        <w:rPr>
          <w:rFonts w:ascii="Times New Roman" w:hAnsi="Times New Roman" w:cs="Times New Roman"/>
          <w:bCs/>
          <w:noProof/>
          <w:sz w:val="24"/>
          <w:szCs w:val="24"/>
          <w:lang w:val="en-GB"/>
        </w:rPr>
      </w:pPr>
      <w:r>
        <w:rPr>
          <w:noProof/>
          <w:lang w:val="fr-BE" w:eastAsia="fr-BE" w:bidi="ar-SA"/>
        </w:rPr>
        <w:drawing>
          <wp:inline distT="0" distB="0" distL="0" distR="0">
            <wp:extent cx="5731510" cy="263339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633396"/>
                    </a:xfrm>
                    <a:prstGeom prst="rect">
                      <a:avLst/>
                    </a:prstGeom>
                    <a:noFill/>
                    <a:ln>
                      <a:noFill/>
                    </a:ln>
                  </pic:spPr>
                </pic:pic>
              </a:graphicData>
            </a:graphic>
          </wp:inline>
        </w:drawing>
      </w:r>
    </w:p>
    <w:p w:rsidR="0073630F" w:rsidRDefault="00EB4AF3">
      <w:pPr>
        <w:jc w:val="both"/>
        <w:rPr>
          <w:rFonts w:ascii="Times New Roman" w:hAnsi="Times New Roman" w:cs="Times New Roman"/>
          <w:i/>
          <w:noProof/>
          <w:sz w:val="24"/>
          <w:szCs w:val="24"/>
        </w:rPr>
      </w:pPr>
      <w:bookmarkStart w:id="9" w:name="_Ref527045038"/>
      <w:r>
        <w:rPr>
          <w:rFonts w:ascii="Times New Roman" w:hAnsi="Times New Roman"/>
          <w:b/>
          <w:noProof/>
          <w:sz w:val="24"/>
        </w:rPr>
        <w:t xml:space="preserve">Фигура </w:t>
      </w:r>
      <w:bookmarkEnd w:id="9"/>
      <w:r>
        <w:rPr>
          <w:rFonts w:ascii="Times New Roman" w:hAnsi="Times New Roman"/>
          <w:b/>
          <w:noProof/>
          <w:sz w:val="24"/>
        </w:rPr>
        <w:t>4</w:t>
      </w:r>
      <w:r>
        <w:rPr>
          <w:rFonts w:ascii="Times New Roman" w:hAnsi="Times New Roman"/>
          <w:noProof/>
          <w:sz w:val="24"/>
        </w:rPr>
        <w:t xml:space="preserve">. </w:t>
      </w:r>
      <w:r>
        <w:rPr>
          <w:rFonts w:ascii="Times New Roman" w:hAnsi="Times New Roman"/>
          <w:i/>
          <w:noProof/>
          <w:sz w:val="24"/>
        </w:rPr>
        <w:t xml:space="preserve">Очаквани дялове на възобновяемата енергия през 2020 г. спрямо целите за 2020 г., заложени в Директивата за възобновяемата енергия, и планираните цели за 2020 г. (от НПДЕВИ), </w:t>
      </w:r>
      <w:r>
        <w:rPr>
          <w:rFonts w:ascii="Times New Roman" w:hAnsi="Times New Roman"/>
          <w:i/>
          <w:noProof/>
          <w:sz w:val="24"/>
          <w:u w:val="single"/>
        </w:rPr>
        <w:t>включително механизмите за сътрудничество</w:t>
      </w:r>
      <w:r>
        <w:rPr>
          <w:rFonts w:ascii="Times New Roman" w:hAnsi="Times New Roman"/>
          <w:i/>
          <w:noProof/>
          <w:sz w:val="24"/>
        </w:rPr>
        <w:t xml:space="preserve"> (държави членки, в %). Източник: Navigan</w:t>
      </w:r>
      <w:r>
        <w:rPr>
          <w:rFonts w:ascii="Times New Roman" w:hAnsi="Times New Roman"/>
          <w:i/>
          <w:noProof/>
          <w:sz w:val="24"/>
        </w:rPr>
        <w:t>t, 2019 г.</w:t>
      </w:r>
    </w:p>
    <w:p w:rsidR="0073630F" w:rsidRDefault="00EB4AF3">
      <w:pPr>
        <w:jc w:val="both"/>
        <w:rPr>
          <w:rFonts w:ascii="Times New Roman" w:hAnsi="Times New Roman" w:cs="Times New Roman"/>
          <w:noProof/>
          <w:sz w:val="24"/>
          <w:szCs w:val="24"/>
        </w:rPr>
      </w:pPr>
      <w:r>
        <w:rPr>
          <w:rFonts w:ascii="Times New Roman" w:hAnsi="Times New Roman"/>
          <w:noProof/>
          <w:sz w:val="24"/>
        </w:rPr>
        <w:t>Поради относително ниското крайно потребление на енергия в Люксембург прехвърлянията от Естония и Литва оказват значително въздействие върху способността на Люксембург да постигне целта си: според най-оптимистичните сценарии се очаква Люксембург</w:t>
      </w:r>
      <w:r>
        <w:rPr>
          <w:rFonts w:ascii="Times New Roman" w:hAnsi="Times New Roman"/>
          <w:noProof/>
          <w:sz w:val="24"/>
        </w:rPr>
        <w:t xml:space="preserve"> да постигне целта си от 11 % за 2020 г. Същите прехвърляния оказват ограничено въздействие върху дела на възобновяемата енергия на Естония и Литва, който според най-песимистичния сценарий намалява само с 0,7 % за Естония и с 0,9 % за Литва.</w:t>
      </w:r>
    </w:p>
    <w:p w:rsidR="0073630F" w:rsidRDefault="00EB4AF3">
      <w:pPr>
        <w:jc w:val="both"/>
        <w:rPr>
          <w:rFonts w:ascii="Times New Roman" w:hAnsi="Times New Roman" w:cs="Times New Roman"/>
          <w:noProof/>
          <w:sz w:val="24"/>
          <w:szCs w:val="24"/>
        </w:rPr>
      </w:pPr>
      <w:bookmarkStart w:id="10" w:name="_Toc1149223"/>
      <w:r>
        <w:rPr>
          <w:rFonts w:ascii="Times New Roman" w:hAnsi="Times New Roman"/>
          <w:noProof/>
          <w:sz w:val="24"/>
        </w:rPr>
        <w:t>Според проекти</w:t>
      </w:r>
      <w:r>
        <w:rPr>
          <w:rFonts w:ascii="Times New Roman" w:hAnsi="Times New Roman"/>
          <w:noProof/>
          <w:sz w:val="24"/>
        </w:rPr>
        <w:t>те им на национални планове в областта на енергетиката и климата за 2030 г.</w:t>
      </w:r>
      <w:r>
        <w:rPr>
          <w:rStyle w:val="FootnoteReference"/>
          <w:rFonts w:ascii="Times New Roman" w:hAnsi="Times New Roman"/>
          <w:noProof/>
          <w:sz w:val="24"/>
        </w:rPr>
        <w:footnoteReference w:id="32"/>
      </w:r>
      <w:r>
        <w:rPr>
          <w:rFonts w:ascii="Times New Roman" w:hAnsi="Times New Roman"/>
          <w:noProof/>
          <w:sz w:val="24"/>
        </w:rPr>
        <w:t xml:space="preserve"> всички държави членки вече са посочили национален принос за обвързващата цел на равнище ЕС от най-малко 32 %, което ще превърне възобновяемите енергийни източници в гръбнака на ен</w:t>
      </w:r>
      <w:r>
        <w:rPr>
          <w:rFonts w:ascii="Times New Roman" w:hAnsi="Times New Roman"/>
          <w:noProof/>
          <w:sz w:val="24"/>
        </w:rPr>
        <w:t>ергийната система на Съюза. До юни 2019 г. Комисията ще оцени дали този национален принос и свързаните с него политики и мерки са в съответствие с амбицията на ЕС и ако е целесъобразно, ще издаде препоръки за държавите членки.</w:t>
      </w:r>
    </w:p>
    <w:p w:rsidR="0073630F" w:rsidRDefault="00EB4AF3">
      <w:pPr>
        <w:pStyle w:val="Heading2"/>
        <w:spacing w:after="120"/>
        <w:ind w:left="714" w:hanging="357"/>
        <w:rPr>
          <w:noProof/>
        </w:rPr>
      </w:pPr>
      <w:r>
        <w:rPr>
          <w:noProof/>
        </w:rPr>
        <w:t>Административни пречки</w:t>
      </w:r>
      <w:bookmarkEnd w:id="10"/>
    </w:p>
    <w:p w:rsidR="0073630F" w:rsidRDefault="00EB4AF3">
      <w:pPr>
        <w:jc w:val="both"/>
        <w:rPr>
          <w:rFonts w:ascii="Times New Roman" w:hAnsi="Times New Roman" w:cs="Times New Roman"/>
          <w:noProof/>
          <w:sz w:val="24"/>
          <w:szCs w:val="24"/>
        </w:rPr>
      </w:pPr>
      <w:r>
        <w:rPr>
          <w:rFonts w:ascii="Times New Roman" w:hAnsi="Times New Roman"/>
          <w:noProof/>
          <w:sz w:val="24"/>
        </w:rPr>
        <w:t>В свои</w:t>
      </w:r>
      <w:r>
        <w:rPr>
          <w:rFonts w:ascii="Times New Roman" w:hAnsi="Times New Roman"/>
          <w:noProof/>
          <w:sz w:val="24"/>
        </w:rPr>
        <w:t xml:space="preserve">те четвърти национални доклади за напредъка в областта на възобновяемата енергия държавите членки докладват относно мерките за рационализиране на административните процедури за изготвяне на проекти в областта на възобновяемата енергия (съгласно член 13 от </w:t>
      </w:r>
      <w:r>
        <w:rPr>
          <w:rFonts w:ascii="Times New Roman" w:hAnsi="Times New Roman"/>
          <w:noProof/>
          <w:sz w:val="24"/>
        </w:rPr>
        <w:t>RED I). Според направения външен анализ</w:t>
      </w:r>
      <w:r>
        <w:rPr>
          <w:rFonts w:ascii="Times New Roman" w:hAnsi="Times New Roman"/>
          <w:noProof/>
          <w:sz w:val="24"/>
          <w:vertAlign w:val="superscript"/>
        </w:rPr>
        <w:footnoteReference w:id="33"/>
      </w:r>
      <w:r>
        <w:rPr>
          <w:rFonts w:ascii="Times New Roman" w:hAnsi="Times New Roman"/>
          <w:noProof/>
          <w:sz w:val="24"/>
        </w:rPr>
        <w:t xml:space="preserve"> като цяло голяма част от съответните мерки, посочени в RED I, са приложени успешно в държавите членки. Наред с друго, тези мерки включват: облекчени процедури за малки проекти, изисквания към операторите на системи </w:t>
      </w:r>
      <w:r>
        <w:rPr>
          <w:rFonts w:ascii="Times New Roman" w:hAnsi="Times New Roman"/>
          <w:noProof/>
          <w:sz w:val="24"/>
        </w:rPr>
        <w:t>да предоставят оценки на разходите и друга необходима информация, изисквания за разпределяне на разходите за изграждане на мрежи за възобновяема енергия и присъединяването към тях, отчитане на ВЕИ-Е, в националните планове за изграждане на мрежите, и налич</w:t>
      </w:r>
      <w:r>
        <w:rPr>
          <w:rFonts w:ascii="Times New Roman" w:hAnsi="Times New Roman"/>
          <w:noProof/>
          <w:sz w:val="24"/>
        </w:rPr>
        <w:t>ието на схеми за подпомагане, насърчаващи използването на възобновяема енергия.</w:t>
      </w:r>
    </w:p>
    <w:p w:rsidR="0073630F" w:rsidRDefault="00EB4AF3">
      <w:pPr>
        <w:jc w:val="both"/>
        <w:rPr>
          <w:rFonts w:ascii="Times New Roman" w:hAnsi="Times New Roman" w:cs="Times New Roman"/>
          <w:noProof/>
          <w:sz w:val="24"/>
          <w:szCs w:val="24"/>
        </w:rPr>
      </w:pPr>
      <w:r>
        <w:rPr>
          <w:rFonts w:ascii="Times New Roman" w:hAnsi="Times New Roman"/>
          <w:noProof/>
          <w:sz w:val="24"/>
        </w:rPr>
        <w:t>През последните години обаче пречките, свързани с изготвянето и планирането на процедури, са се увеличили. В електроенергийния сектор преминаването към по-големи проекти е нало</w:t>
      </w:r>
      <w:r>
        <w:rPr>
          <w:rFonts w:ascii="Times New Roman" w:hAnsi="Times New Roman"/>
          <w:noProof/>
          <w:sz w:val="24"/>
        </w:rPr>
        <w:t>жило някои пречки, тъй като за тези проекти има допълнителни изисквания по отношение на териториалното устройство и екологичното планиране. В сектора на отоплението и охлаждането пречките се дължат основно на недостатъците, свързани с капацитета на мрежите</w:t>
      </w:r>
      <w:r>
        <w:rPr>
          <w:rFonts w:ascii="Times New Roman" w:hAnsi="Times New Roman"/>
          <w:noProof/>
          <w:sz w:val="24"/>
        </w:rPr>
        <w:t xml:space="preserve"> на местните топлофикационни системи, докато в транспортния сектор се срещат пречки, произтичащи основно от липсата на подходяща инфраструктура както за биогорива, така и за електрически превозни средства. Интегрирането в мрежата на увеличаващите се мощнос</w:t>
      </w:r>
      <w:r>
        <w:rPr>
          <w:rFonts w:ascii="Times New Roman" w:hAnsi="Times New Roman"/>
          <w:noProof/>
          <w:sz w:val="24"/>
        </w:rPr>
        <w:t xml:space="preserve">ти от ВЕИ също представлява трайно предизвикателство за по-голямата част от държавите членки. Пречките произтичат предимно от високите разходи за присъединяване към мрежата, както и от липсата на предвидимост и прозрачност на процедурите за присъединяване </w:t>
      </w:r>
      <w:r>
        <w:rPr>
          <w:rFonts w:ascii="Times New Roman" w:hAnsi="Times New Roman"/>
          <w:noProof/>
          <w:sz w:val="24"/>
        </w:rPr>
        <w:t xml:space="preserve">към мрежата. </w:t>
      </w:r>
    </w:p>
    <w:p w:rsidR="0073630F" w:rsidRDefault="00EB4AF3">
      <w:pPr>
        <w:pStyle w:val="Heading1"/>
        <w:rPr>
          <w:noProof/>
        </w:rPr>
      </w:pPr>
      <w:bookmarkStart w:id="11" w:name="_Toc1149224"/>
      <w:r>
        <w:rPr>
          <w:noProof/>
        </w:rPr>
        <w:t>4. ОЦЕНКА НА УСТОЙЧИВОСТТА НА ПРОИЗВОДСТВОТО НА БИОГОРИВА</w:t>
      </w:r>
      <w:bookmarkEnd w:id="11"/>
      <w:r>
        <w:rPr>
          <w:noProof/>
          <w:vertAlign w:val="superscript"/>
        </w:rPr>
        <w:footnoteReference w:id="34"/>
      </w:r>
      <w:r>
        <w:rPr>
          <w:noProof/>
        </w:rPr>
        <w:t xml:space="preserve"> </w:t>
      </w:r>
    </w:p>
    <w:p w:rsidR="0073630F" w:rsidRDefault="00EB4AF3">
      <w:pPr>
        <w:pStyle w:val="Heading2"/>
        <w:numPr>
          <w:ilvl w:val="0"/>
          <w:numId w:val="28"/>
        </w:numPr>
        <w:spacing w:after="120"/>
        <w:rPr>
          <w:noProof/>
        </w:rPr>
      </w:pPr>
      <w:r>
        <w:rPr>
          <w:noProof/>
        </w:rPr>
        <w:t>Преглед на потреблението на биогорива в ЕС</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През 2016 г. потреблението на устойчиви горива в ЕС достигна 13 840 ktoe. От тях 11 083 ktoe (80 %) са биодизел, а 2 620 ktoe (19 %) — биое</w:t>
      </w:r>
      <w:r>
        <w:rPr>
          <w:rFonts w:ascii="Times New Roman" w:hAnsi="Times New Roman"/>
          <w:noProof/>
          <w:sz w:val="24"/>
        </w:rPr>
        <w:t xml:space="preserve">танол. По-голямата част (64 %) от използвания биодизел в ЕС през 2016 г. е произведена от суровини от ЕС, основно от рапица (~38 %), използвано олио за готвене (13 %), животински мазнини (8 %) и талово масло (2,5 %). От останалите 36 % биодизел, използван </w:t>
      </w:r>
      <w:r>
        <w:rPr>
          <w:rFonts w:ascii="Times New Roman" w:hAnsi="Times New Roman"/>
          <w:noProof/>
          <w:sz w:val="24"/>
        </w:rPr>
        <w:t>в ЕС, 19,6 % са палмово масло от Индонезия (13,3 %) и Малайзия (6,3 %), 6,1 % са рапица основно от Австралия (2,6 %), Украйна (1,8 %) и Канада (1,2 %), 4,8 % са използвано олио за готвене от различни държави извън ЕС и 4,3 % са соя основно от Съединените щ</w:t>
      </w:r>
      <w:r>
        <w:rPr>
          <w:rFonts w:ascii="Times New Roman" w:hAnsi="Times New Roman"/>
          <w:noProof/>
          <w:sz w:val="24"/>
        </w:rPr>
        <w:t>ати (1,5 %) и Бразилия (1,5 %).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Използваният етанол в ЕС се произвежда основно от суровини от ЕС (65 %), включително от пшеница (~25 %), царевица (~22 %) и захарно цвекло (17 %) и само малка част (~1 %) от целулозен етанол. Суровините на основата на етанол от държави извън ЕС включват ца</w:t>
      </w:r>
      <w:r>
        <w:rPr>
          <w:rFonts w:ascii="Times New Roman" w:hAnsi="Times New Roman"/>
          <w:noProof/>
          <w:sz w:val="24"/>
        </w:rPr>
        <w:t>ревица (16,4 %), пшеница (2,9 %) и захарна тръстика (2,9 %) от различни държави. Основните трети държави, в които се произвеждат суровини за биоетанол, използван в ЕС, включват Украйна (9,8 %), Русия (2,1 %), Бразилия (1,8 %), САЩ (1,7 %) и Канада (1,6 %).</w:t>
      </w:r>
      <w:r>
        <w:rPr>
          <w:rFonts w:ascii="Times New Roman" w:hAnsi="Times New Roman"/>
          <w:noProof/>
          <w:sz w:val="24"/>
        </w:rPr>
        <w:t xml:space="preserve"> </w:t>
      </w:r>
    </w:p>
    <w:p w:rsidR="0073630F" w:rsidRDefault="00EB4AF3">
      <w:pPr>
        <w:jc w:val="both"/>
        <w:rPr>
          <w:rFonts w:ascii="Times New Roman" w:hAnsi="Times New Roman" w:cs="Times New Roman"/>
          <w:i/>
          <w:noProof/>
          <w:sz w:val="24"/>
          <w:szCs w:val="24"/>
        </w:rPr>
      </w:pPr>
      <w:r>
        <w:rPr>
          <w:rFonts w:ascii="Times New Roman" w:hAnsi="Times New Roman"/>
          <w:noProof/>
          <w:sz w:val="24"/>
        </w:rPr>
        <w:t xml:space="preserve">Оценено е, че почти всичкият биогаз, използван в ЕС през 2016 г. (75 %), е получен от местни суровини, главно от култури и селскостопански/хранителни отпадъци (включително тор). На следващо място са сметищният газ (16 %) и газът от утайка от пречистване </w:t>
      </w:r>
      <w:r>
        <w:rPr>
          <w:rFonts w:ascii="Times New Roman" w:hAnsi="Times New Roman"/>
          <w:noProof/>
          <w:sz w:val="24"/>
        </w:rPr>
        <w:t>на отпадъчни води (9 %). Трудно е да се установи произходът на течните горива от биомаса, на които през 2016 г. се пада под 1 % от цялата биоенергия, използвана в ЕС, тъй като държавите членки не разпределят суровините, използвани за производството на биог</w:t>
      </w:r>
      <w:r>
        <w:rPr>
          <w:rFonts w:ascii="Times New Roman" w:hAnsi="Times New Roman"/>
          <w:noProof/>
          <w:sz w:val="24"/>
        </w:rPr>
        <w:t xml:space="preserve">орива и на течни горива от биомаса. </w:t>
      </w:r>
    </w:p>
    <w:tbl>
      <w:tblPr>
        <w:tblStyle w:val="Tablestylegreen"/>
        <w:tblW w:w="0" w:type="auto"/>
        <w:tblLayout w:type="fixed"/>
        <w:tblLook w:val="04A0" w:firstRow="1" w:lastRow="0" w:firstColumn="1" w:lastColumn="0" w:noHBand="0" w:noVBand="1"/>
      </w:tblPr>
      <w:tblGrid>
        <w:gridCol w:w="1879"/>
        <w:gridCol w:w="709"/>
        <w:gridCol w:w="850"/>
        <w:gridCol w:w="914"/>
        <w:gridCol w:w="1071"/>
        <w:gridCol w:w="850"/>
        <w:gridCol w:w="851"/>
        <w:gridCol w:w="1134"/>
      </w:tblGrid>
      <w:tr w:rsidR="0073630F" w:rsidTr="0073630F">
        <w:trPr>
          <w:cnfStyle w:val="100000000000" w:firstRow="1" w:lastRow="0" w:firstColumn="0" w:lastColumn="0" w:oddVBand="0" w:evenVBand="0" w:oddHBand="0" w:evenHBand="0" w:firstRowFirstColumn="0" w:firstRowLastColumn="0" w:lastRowFirstColumn="0" w:lastRowLastColumn="0"/>
          <w:cantSplit/>
          <w:trHeight w:val="1357"/>
        </w:trPr>
        <w:tc>
          <w:tcPr>
            <w:cnfStyle w:val="001000000100" w:firstRow="0" w:lastRow="0" w:firstColumn="1" w:lastColumn="0" w:oddVBand="0" w:evenVBand="0" w:oddHBand="0" w:evenHBand="0" w:firstRowFirstColumn="1" w:firstRowLastColumn="0" w:lastRowFirstColumn="0" w:lastRowLastColumn="0"/>
            <w:tcW w:w="1879" w:type="dxa"/>
            <w:noWrap/>
            <w:vAlign w:val="top"/>
          </w:tcPr>
          <w:p w:rsidR="0073630F" w:rsidRDefault="0073630F">
            <w:pPr>
              <w:keepNext/>
              <w:keepLines/>
              <w:tabs>
                <w:tab w:val="left" w:pos="1446"/>
              </w:tabs>
              <w:spacing w:after="200" w:line="276" w:lineRule="auto"/>
              <w:contextualSpacing w:val="0"/>
              <w:rPr>
                <w:rFonts w:ascii="Times New Roman" w:eastAsiaTheme="minorHAnsi" w:hAnsi="Times New Roman" w:cstheme="minorBidi"/>
                <w:noProof/>
                <w:sz w:val="22"/>
                <w:szCs w:val="22"/>
              </w:rPr>
            </w:pPr>
          </w:p>
        </w:tc>
        <w:tc>
          <w:tcPr>
            <w:tcW w:w="709" w:type="dxa"/>
            <w:noWrap/>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Биогаз</w:t>
            </w:r>
          </w:p>
        </w:tc>
        <w:tc>
          <w:tcPr>
            <w:tcW w:w="850" w:type="dxa"/>
            <w:noWrap/>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Биобензин</w:t>
            </w:r>
          </w:p>
        </w:tc>
        <w:tc>
          <w:tcPr>
            <w:tcW w:w="914" w:type="dxa"/>
            <w:noWrap/>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Биодизел</w:t>
            </w:r>
          </w:p>
        </w:tc>
        <w:tc>
          <w:tcPr>
            <w:tcW w:w="1071" w:type="dxa"/>
            <w:noWrap/>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Други течни биогорива</w:t>
            </w:r>
          </w:p>
        </w:tc>
        <w:tc>
          <w:tcPr>
            <w:tcW w:w="850" w:type="dxa"/>
            <w:noWrap/>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Биокеросин за реактивни двигатели</w:t>
            </w:r>
          </w:p>
        </w:tc>
        <w:tc>
          <w:tcPr>
            <w:tcW w:w="851" w:type="dxa"/>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Общо течни биогорива</w:t>
            </w:r>
          </w:p>
        </w:tc>
        <w:tc>
          <w:tcPr>
            <w:tcW w:w="1134" w:type="dxa"/>
            <w:textDirection w:val="btLr"/>
          </w:tcPr>
          <w:p w:rsidR="0073630F" w:rsidRDefault="00EB4AF3">
            <w:pPr>
              <w:keepNext/>
              <w:keepLines/>
              <w:spacing w:after="200" w:line="276" w:lineRule="auto"/>
              <w:contextualSpacing w:val="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Общо</w:t>
            </w:r>
          </w:p>
        </w:tc>
      </w:tr>
      <w:tr w:rsidR="0073630F" w:rsidTr="0073630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Автомобилен транспорт</w:t>
            </w:r>
          </w:p>
        </w:tc>
        <w:tc>
          <w:tcPr>
            <w:tcW w:w="709"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131</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2 619</w:t>
            </w:r>
          </w:p>
        </w:tc>
        <w:tc>
          <w:tcPr>
            <w:tcW w:w="914"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11 041</w:t>
            </w:r>
          </w:p>
        </w:tc>
        <w:tc>
          <w:tcPr>
            <w:tcW w:w="1071"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4,5</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w:t>
            </w:r>
          </w:p>
        </w:tc>
        <w:tc>
          <w:tcPr>
            <w:tcW w:w="851"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13 664</w:t>
            </w:r>
          </w:p>
        </w:tc>
        <w:tc>
          <w:tcPr>
            <w:tcW w:w="1134"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13 796</w:t>
            </w:r>
          </w:p>
        </w:tc>
      </w:tr>
      <w:tr w:rsidR="0073630F" w:rsidTr="0073630F">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Железопътен транспорт</w:t>
            </w:r>
          </w:p>
        </w:tc>
        <w:tc>
          <w:tcPr>
            <w:tcW w:w="709"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0,0</w:t>
            </w:r>
          </w:p>
        </w:tc>
        <w:tc>
          <w:tcPr>
            <w:tcW w:w="850" w:type="dxa"/>
            <w:noWrap/>
            <w:vAlign w:val="top"/>
          </w:tcPr>
          <w:p w:rsidR="0073630F" w:rsidRDefault="0073630F">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p>
        </w:tc>
        <w:tc>
          <w:tcPr>
            <w:tcW w:w="914"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32,9</w:t>
            </w:r>
          </w:p>
        </w:tc>
        <w:tc>
          <w:tcPr>
            <w:tcW w:w="1071"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w:t>
            </w:r>
          </w:p>
        </w:tc>
        <w:tc>
          <w:tcPr>
            <w:tcW w:w="851"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32,9</w:t>
            </w:r>
          </w:p>
        </w:tc>
        <w:tc>
          <w:tcPr>
            <w:tcW w:w="1134"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33,1</w:t>
            </w:r>
          </w:p>
        </w:tc>
      </w:tr>
      <w:tr w:rsidR="0073630F" w:rsidTr="0073630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Международни полети</w:t>
            </w:r>
          </w:p>
        </w:tc>
        <w:tc>
          <w:tcPr>
            <w:tcW w:w="709"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914"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1071"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1"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0,0</w:t>
            </w:r>
          </w:p>
        </w:tc>
        <w:tc>
          <w:tcPr>
            <w:tcW w:w="1134"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0</w:t>
            </w:r>
          </w:p>
        </w:tc>
      </w:tr>
      <w:tr w:rsidR="0073630F" w:rsidTr="0073630F">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Вътрешни полети</w:t>
            </w:r>
          </w:p>
        </w:tc>
        <w:tc>
          <w:tcPr>
            <w:tcW w:w="709"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w:t>
            </w:r>
          </w:p>
        </w:tc>
        <w:tc>
          <w:tcPr>
            <w:tcW w:w="850"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914"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1071"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1"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0,0</w:t>
            </w:r>
          </w:p>
        </w:tc>
        <w:tc>
          <w:tcPr>
            <w:tcW w:w="1134"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0</w:t>
            </w:r>
          </w:p>
        </w:tc>
      </w:tr>
      <w:tr w:rsidR="0073630F" w:rsidTr="0073630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Вътрешно корабоплаване</w:t>
            </w:r>
          </w:p>
        </w:tc>
        <w:tc>
          <w:tcPr>
            <w:tcW w:w="709"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1,4</w:t>
            </w:r>
          </w:p>
        </w:tc>
        <w:tc>
          <w:tcPr>
            <w:tcW w:w="914"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3,5</w:t>
            </w:r>
          </w:p>
        </w:tc>
        <w:tc>
          <w:tcPr>
            <w:tcW w:w="1071"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w:t>
            </w:r>
          </w:p>
        </w:tc>
        <w:tc>
          <w:tcPr>
            <w:tcW w:w="851"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5,0</w:t>
            </w:r>
          </w:p>
        </w:tc>
        <w:tc>
          <w:tcPr>
            <w:tcW w:w="1134"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5,0</w:t>
            </w:r>
          </w:p>
        </w:tc>
      </w:tr>
      <w:tr w:rsidR="0073630F" w:rsidTr="0073630F">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noProof/>
                <w:sz w:val="22"/>
                <w:szCs w:val="22"/>
              </w:rPr>
            </w:pPr>
            <w:r>
              <w:rPr>
                <w:rFonts w:ascii="Times New Roman" w:eastAsiaTheme="minorHAnsi" w:hAnsi="Times New Roman" w:cstheme="minorBidi"/>
                <w:noProof/>
                <w:sz w:val="22"/>
              </w:rPr>
              <w:t>Неуточнен транспорт</w:t>
            </w:r>
          </w:p>
        </w:tc>
        <w:tc>
          <w:tcPr>
            <w:tcW w:w="709"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0,5</w:t>
            </w:r>
          </w:p>
        </w:tc>
        <w:tc>
          <w:tcPr>
            <w:tcW w:w="850"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914"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6,2</w:t>
            </w:r>
          </w:p>
        </w:tc>
        <w:tc>
          <w:tcPr>
            <w:tcW w:w="1071"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0" w:type="dxa"/>
            <w:noWrap/>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i/>
                <w:noProof/>
                <w:sz w:val="22"/>
                <w:szCs w:val="22"/>
              </w:rPr>
            </w:pPr>
            <w:r>
              <w:rPr>
                <w:rFonts w:ascii="Times New Roman" w:eastAsiaTheme="minorHAnsi" w:hAnsi="Times New Roman" w:cstheme="minorBidi"/>
                <w:i/>
                <w:noProof/>
                <w:sz w:val="22"/>
              </w:rPr>
              <w:t>0,0</w:t>
            </w:r>
          </w:p>
        </w:tc>
        <w:tc>
          <w:tcPr>
            <w:tcW w:w="851"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noProof/>
                <w:sz w:val="22"/>
                <w:szCs w:val="22"/>
              </w:rPr>
            </w:pPr>
            <w:r>
              <w:rPr>
                <w:rFonts w:ascii="Times New Roman" w:eastAsiaTheme="minorHAnsi" w:hAnsi="Times New Roman" w:cstheme="minorBidi"/>
                <w:noProof/>
                <w:sz w:val="22"/>
              </w:rPr>
              <w:t>6,2</w:t>
            </w:r>
          </w:p>
        </w:tc>
        <w:tc>
          <w:tcPr>
            <w:tcW w:w="1134" w:type="dxa"/>
            <w:vAlign w:val="top"/>
          </w:tcPr>
          <w:p w:rsidR="0073630F" w:rsidRDefault="00EB4AF3">
            <w:pPr>
              <w:keepNext/>
              <w:keepLines/>
              <w:tabs>
                <w:tab w:val="decimal" w:pos="493"/>
              </w:tabs>
              <w:spacing w:after="200" w:line="276" w:lineRule="auto"/>
              <w:contextualSpacing w:val="0"/>
              <w:jc w:val="right"/>
              <w:cnfStyle w:val="000000010000" w:firstRow="0" w:lastRow="0" w:firstColumn="0" w:lastColumn="0" w:oddVBand="0" w:evenVBand="0" w:oddHBand="0" w:evenHBand="1"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6,7</w:t>
            </w:r>
          </w:p>
        </w:tc>
      </w:tr>
      <w:tr w:rsidR="0073630F" w:rsidTr="0073630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79" w:type="dxa"/>
            <w:noWrap/>
          </w:tcPr>
          <w:p w:rsidR="0073630F" w:rsidRDefault="00EB4AF3">
            <w:pPr>
              <w:keepNext/>
              <w:keepLines/>
              <w:spacing w:after="200" w:line="276" w:lineRule="auto"/>
              <w:contextualSpacing w:val="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Общо</w:t>
            </w:r>
          </w:p>
        </w:tc>
        <w:tc>
          <w:tcPr>
            <w:tcW w:w="709"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132</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rPr>
            </w:pPr>
            <w:r>
              <w:rPr>
                <w:rFonts w:ascii="Times New Roman" w:eastAsiaTheme="minorHAnsi" w:hAnsi="Times New Roman" w:cstheme="minorBidi"/>
                <w:b/>
                <w:i/>
                <w:noProof/>
                <w:sz w:val="22"/>
              </w:rPr>
              <w:t>2 620</w:t>
            </w:r>
          </w:p>
        </w:tc>
        <w:tc>
          <w:tcPr>
            <w:tcW w:w="914"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rPr>
            </w:pPr>
            <w:r>
              <w:rPr>
                <w:rFonts w:ascii="Times New Roman" w:eastAsiaTheme="minorHAnsi" w:hAnsi="Times New Roman" w:cstheme="minorBidi"/>
                <w:b/>
                <w:i/>
                <w:noProof/>
                <w:sz w:val="22"/>
              </w:rPr>
              <w:t>11 083</w:t>
            </w:r>
          </w:p>
        </w:tc>
        <w:tc>
          <w:tcPr>
            <w:tcW w:w="1071"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rPr>
            </w:pPr>
            <w:r>
              <w:rPr>
                <w:rFonts w:ascii="Times New Roman" w:eastAsiaTheme="minorHAnsi" w:hAnsi="Times New Roman" w:cstheme="minorBidi"/>
                <w:b/>
                <w:i/>
                <w:noProof/>
                <w:sz w:val="22"/>
              </w:rPr>
              <w:t>4,5</w:t>
            </w:r>
          </w:p>
        </w:tc>
        <w:tc>
          <w:tcPr>
            <w:tcW w:w="850" w:type="dxa"/>
            <w:noWrap/>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i/>
                <w:noProof/>
                <w:sz w:val="22"/>
                <w:szCs w:val="22"/>
              </w:rPr>
            </w:pPr>
            <w:r>
              <w:rPr>
                <w:rFonts w:ascii="Times New Roman" w:eastAsiaTheme="minorHAnsi" w:hAnsi="Times New Roman" w:cstheme="minorBidi"/>
                <w:b/>
                <w:i/>
                <w:noProof/>
                <w:sz w:val="22"/>
              </w:rPr>
              <w:t>0,0</w:t>
            </w:r>
          </w:p>
        </w:tc>
        <w:tc>
          <w:tcPr>
            <w:tcW w:w="851"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13 708</w:t>
            </w:r>
          </w:p>
        </w:tc>
        <w:tc>
          <w:tcPr>
            <w:tcW w:w="1134" w:type="dxa"/>
            <w:vAlign w:val="top"/>
          </w:tcPr>
          <w:p w:rsidR="0073630F" w:rsidRDefault="00EB4AF3">
            <w:pPr>
              <w:keepNext/>
              <w:keepLines/>
              <w:tabs>
                <w:tab w:val="decimal" w:pos="493"/>
              </w:tabs>
              <w:spacing w:after="200" w:line="276" w:lineRule="auto"/>
              <w:contextualSpacing w:val="0"/>
              <w:jc w:val="righ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b/>
                <w:noProof/>
                <w:sz w:val="22"/>
                <w:szCs w:val="22"/>
              </w:rPr>
            </w:pPr>
            <w:r>
              <w:rPr>
                <w:rFonts w:ascii="Times New Roman" w:eastAsiaTheme="minorHAnsi" w:hAnsi="Times New Roman" w:cstheme="minorBidi"/>
                <w:b/>
                <w:noProof/>
                <w:sz w:val="22"/>
              </w:rPr>
              <w:t>13 840</w:t>
            </w:r>
          </w:p>
        </w:tc>
      </w:tr>
    </w:tbl>
    <w:p w:rsidR="0073630F" w:rsidRDefault="00EB4AF3">
      <w:pPr>
        <w:jc w:val="both"/>
        <w:rPr>
          <w:rFonts w:ascii="Times New Roman" w:hAnsi="Times New Roman" w:cs="Times New Roman"/>
          <w:i/>
          <w:noProof/>
          <w:sz w:val="24"/>
          <w:szCs w:val="24"/>
        </w:rPr>
      </w:pPr>
      <w:r>
        <w:rPr>
          <w:rFonts w:ascii="Times New Roman" w:hAnsi="Times New Roman"/>
          <w:b/>
          <w:noProof/>
          <w:sz w:val="24"/>
        </w:rPr>
        <w:t>Таблица 2</w:t>
      </w:r>
      <w:r>
        <w:rPr>
          <w:rFonts w:ascii="Times New Roman" w:hAnsi="Times New Roman"/>
          <w:noProof/>
          <w:sz w:val="24"/>
        </w:rPr>
        <w:t xml:space="preserve">: </w:t>
      </w:r>
      <w:r>
        <w:rPr>
          <w:rFonts w:ascii="Times New Roman" w:hAnsi="Times New Roman"/>
          <w:i/>
          <w:noProof/>
          <w:sz w:val="24"/>
        </w:rPr>
        <w:t xml:space="preserve">Крайно </w:t>
      </w:r>
      <w:r>
        <w:rPr>
          <w:rFonts w:ascii="Times New Roman" w:hAnsi="Times New Roman"/>
          <w:i/>
          <w:noProof/>
          <w:sz w:val="24"/>
        </w:rPr>
        <w:t>потребление на биоенергия в сектора на транспорта в ЕС (2016 г., ktoe). Източник: Евростат</w:t>
      </w:r>
    </w:p>
    <w:p w:rsidR="0073630F" w:rsidRDefault="00EB4AF3">
      <w:pPr>
        <w:pStyle w:val="Heading2"/>
        <w:numPr>
          <w:ilvl w:val="0"/>
          <w:numId w:val="28"/>
        </w:numPr>
        <w:spacing w:after="120"/>
        <w:rPr>
          <w:noProof/>
        </w:rPr>
      </w:pPr>
      <w:r>
        <w:rPr>
          <w:noProof/>
        </w:rPr>
        <w:t xml:space="preserve">Въздействие на биогоривата, използвани в ЕС </w:t>
      </w:r>
    </w:p>
    <w:p w:rsidR="0073630F" w:rsidRDefault="00EB4AF3">
      <w:pPr>
        <w:spacing w:before="240"/>
        <w:jc w:val="both"/>
        <w:rPr>
          <w:rFonts w:ascii="Times New Roman" w:eastAsia="Calibri" w:hAnsi="Times New Roman" w:cs="Times New Roman"/>
          <w:noProof/>
          <w:sz w:val="24"/>
          <w:szCs w:val="24"/>
        </w:rPr>
      </w:pPr>
      <w:r>
        <w:rPr>
          <w:rFonts w:ascii="Times New Roman" w:hAnsi="Times New Roman"/>
          <w:noProof/>
          <w:sz w:val="24"/>
        </w:rPr>
        <w:t>Въз основа на анализ на произхода на суровините за биогорива</w:t>
      </w:r>
      <w:r>
        <w:rPr>
          <w:rFonts w:ascii="Times New Roman" w:hAnsi="Times New Roman"/>
          <w:noProof/>
          <w:sz w:val="24"/>
          <w:vertAlign w:val="superscript"/>
        </w:rPr>
        <w:footnoteReference w:id="35"/>
      </w:r>
      <w:r>
        <w:rPr>
          <w:rFonts w:ascii="Times New Roman" w:hAnsi="Times New Roman"/>
          <w:noProof/>
          <w:sz w:val="24"/>
        </w:rPr>
        <w:t xml:space="preserve"> е оценено, че за производството на култури за потреблениет</w:t>
      </w:r>
      <w:r>
        <w:rPr>
          <w:rFonts w:ascii="Times New Roman" w:hAnsi="Times New Roman"/>
          <w:noProof/>
          <w:sz w:val="24"/>
        </w:rPr>
        <w:t xml:space="preserve">о на биогорива в ЕС през 2016 г. са необходими 4,9 млн. ha земя. 3,6 млн. ha (73 %) от тази площ се намират в ЕС, а останалите 1,3 млн. ha (26 %) — в трети държави. По отношение на общата площ обработваема земя, предназначена за производство на биогориво, </w:t>
      </w:r>
      <w:r>
        <w:rPr>
          <w:rFonts w:ascii="Times New Roman" w:hAnsi="Times New Roman"/>
          <w:noProof/>
          <w:sz w:val="24"/>
        </w:rPr>
        <w:t>в ЕС тя възлизаше на 3,1 % (въз основа на оценка на общата обработваема земя в ЕС с площ 115 млн. ha), като рапицата представлява 56 % от дела на цялата земя, използвана за производството но биогорива. Четирите основни държави извън ЕС, доставящи култури з</w:t>
      </w:r>
      <w:r>
        <w:rPr>
          <w:rFonts w:ascii="Times New Roman" w:hAnsi="Times New Roman"/>
          <w:noProof/>
          <w:sz w:val="24"/>
        </w:rPr>
        <w:t xml:space="preserve">а производството на биогорива, които се използват в ЕС (Украйна, Бразилия, Индонезия и Малайзия), са използвали по-малко от 0,5 % от общата си обработваема земя за тази цел.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Съгласно информацията, докладвана от държавите членки, общите намаления на емисии</w:t>
      </w:r>
      <w:r>
        <w:rPr>
          <w:rFonts w:ascii="Times New Roman" w:hAnsi="Times New Roman"/>
          <w:noProof/>
          <w:sz w:val="24"/>
        </w:rPr>
        <w:t xml:space="preserve"> от използването на биогорива в транспортния сектор на ЕС през 2016 г. възлиза на 33,2 млн. тона еквивалент на CO</w:t>
      </w:r>
      <w:r>
        <w:rPr>
          <w:rFonts w:ascii="Times New Roman" w:hAnsi="Times New Roman"/>
          <w:noProof/>
          <w:sz w:val="24"/>
          <w:vertAlign w:val="subscript"/>
        </w:rPr>
        <w:t>2</w:t>
      </w:r>
      <w:r>
        <w:rPr>
          <w:rFonts w:ascii="Times New Roman" w:hAnsi="Times New Roman"/>
          <w:noProof/>
          <w:sz w:val="24"/>
        </w:rPr>
        <w:t>. Като се вземат предвид емисиите от НПЗ, които се оценяват чрез умножаване на обемите на суровините от култури за 2016 г. по съответните сред</w:t>
      </w:r>
      <w:r>
        <w:rPr>
          <w:rFonts w:ascii="Times New Roman" w:hAnsi="Times New Roman"/>
          <w:noProof/>
          <w:sz w:val="24"/>
        </w:rPr>
        <w:t xml:space="preserve">ни стойности на НПЗ от Директивата относно непреките промени в земеползването, общото намаление на емисиите от използването на биогорива в транспортния сектор в ЕС се е свило до 11,8 млн. тона еквивалент на CO2 (с намаления в диапазон от 7,4 до 20,4  млн. </w:t>
      </w:r>
      <w:r>
        <w:rPr>
          <w:rFonts w:ascii="Times New Roman" w:hAnsi="Times New Roman"/>
          <w:noProof/>
          <w:sz w:val="24"/>
        </w:rPr>
        <w:t>тона еквивалент на CO</w:t>
      </w:r>
      <w:r>
        <w:rPr>
          <w:rFonts w:ascii="Times New Roman" w:hAnsi="Times New Roman"/>
          <w:noProof/>
          <w:sz w:val="24"/>
          <w:vertAlign w:val="subscript"/>
        </w:rPr>
        <w:t>2</w:t>
      </w:r>
      <w:r>
        <w:rPr>
          <w:rFonts w:ascii="Times New Roman" w:hAnsi="Times New Roman"/>
          <w:noProof/>
          <w:sz w:val="24"/>
        </w:rPr>
        <w:t>)</w:t>
      </w:r>
      <w:r>
        <w:rPr>
          <w:rFonts w:ascii="Times New Roman" w:hAnsi="Times New Roman"/>
          <w:noProof/>
          <w:sz w:val="24"/>
          <w:vertAlign w:val="superscript"/>
        </w:rPr>
        <w:footnoteReference w:id="36"/>
      </w:r>
      <w:r>
        <w:rPr>
          <w:rFonts w:ascii="Times New Roman" w:hAnsi="Times New Roman"/>
          <w:noProof/>
          <w:sz w:val="24"/>
        </w:rPr>
        <w:t xml:space="preserve">.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Неотдавнашен обстоен преглед</w:t>
      </w:r>
      <w:r>
        <w:rPr>
          <w:rFonts w:ascii="Times New Roman" w:hAnsi="Times New Roman"/>
          <w:noProof/>
          <w:sz w:val="24"/>
          <w:vertAlign w:val="superscript"/>
        </w:rPr>
        <w:footnoteReference w:id="37"/>
      </w:r>
      <w:r>
        <w:rPr>
          <w:rFonts w:ascii="Times New Roman" w:hAnsi="Times New Roman"/>
          <w:noProof/>
          <w:sz w:val="24"/>
        </w:rPr>
        <w:t xml:space="preserve"> на най-новата налична научна литература, проведен за Комисията, посочва, че биодизелът е свързан с най-значителните въздействия от НПЗ (със средно равнище на емисии от НПЗ 52 gCO2-eq/MJ), като най-ви</w:t>
      </w:r>
      <w:r>
        <w:rPr>
          <w:rFonts w:ascii="Times New Roman" w:hAnsi="Times New Roman"/>
          <w:noProof/>
          <w:sz w:val="24"/>
        </w:rPr>
        <w:t xml:space="preserve">соките оценки в тази категория се отнасят за биодизела от палмово масло, който също така дава най-големите колебания в резултатите. Етанолът на основата на хранителни и фуражни култури има средно равнище на емисии от НПЗ от 21 gCO2-eq/MJ.  </w:t>
      </w:r>
      <w:r>
        <w:rPr>
          <w:rFonts w:ascii="Times New Roman" w:hAnsi="Times New Roman"/>
          <w:noProof/>
          <w:color w:val="000000"/>
          <w:sz w:val="24"/>
        </w:rPr>
        <w:t>За сравнение, вр</w:t>
      </w:r>
      <w:r>
        <w:rPr>
          <w:rFonts w:ascii="Times New Roman" w:hAnsi="Times New Roman"/>
          <w:noProof/>
          <w:color w:val="000000"/>
          <w:sz w:val="24"/>
        </w:rPr>
        <w:t>еменните предвиждани количества емисии вследствие на непреки промени в земеползването, изброени в приложение VIII към Директивата за възобновяемата енергия, са в размер на 55 gCO2eq/MJ за маслодайните култури, 12 gCO2eq/MJ — за зърнените култури и други бо</w:t>
      </w:r>
      <w:r>
        <w:rPr>
          <w:rFonts w:ascii="Times New Roman" w:hAnsi="Times New Roman"/>
          <w:noProof/>
          <w:color w:val="000000"/>
          <w:sz w:val="24"/>
        </w:rPr>
        <w:t xml:space="preserve">гати на скорбяла култури, и 13 gCO2eq/MJ — за захарните култури. Прегледът съдържа допълнителна информация за непреките въздействия на биогоривата.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Отглеждането на суровини, които се използват за производството на биогорива, потребявани в ЕС, може потенци</w:t>
      </w:r>
      <w:r>
        <w:rPr>
          <w:rFonts w:ascii="Times New Roman" w:hAnsi="Times New Roman"/>
          <w:noProof/>
          <w:sz w:val="24"/>
        </w:rPr>
        <w:t>ално да доведе до отрицателни въздействия върху околната среда, които са специфични за дадено място и зависят от прилаганите селскостопански практики</w:t>
      </w:r>
      <w:r>
        <w:rPr>
          <w:rStyle w:val="FootnoteReference"/>
          <w:rFonts w:ascii="Times New Roman" w:hAnsi="Times New Roman"/>
          <w:noProof/>
          <w:sz w:val="24"/>
        </w:rPr>
        <w:footnoteReference w:id="38"/>
      </w:r>
      <w:r>
        <w:rPr>
          <w:rFonts w:ascii="Times New Roman" w:hAnsi="Times New Roman"/>
          <w:noProof/>
          <w:sz w:val="24"/>
        </w:rPr>
        <w:t>. В докладите си за напредъка повечето държави членки посочват ограниченото отглеждане на суровини, използ</w:t>
      </w:r>
      <w:r>
        <w:rPr>
          <w:rFonts w:ascii="Times New Roman" w:hAnsi="Times New Roman"/>
          <w:noProof/>
          <w:sz w:val="24"/>
        </w:rPr>
        <w:t>вани за производството на биогорива, спрямо общите селскостопански дейности и поради това считат, че свързаните въздействия върху околната среда са незначителни. Няколко държави членки изтъкват, че цялото селскостопанско производство се регулира по отношен</w:t>
      </w:r>
      <w:r>
        <w:rPr>
          <w:rFonts w:ascii="Times New Roman" w:hAnsi="Times New Roman"/>
          <w:noProof/>
          <w:sz w:val="24"/>
        </w:rPr>
        <w:t>ие на въздействията върху околната среда и поради това считат, че не следва да се очакват повече въздействия, произтичащи от производството на култури за биогорива, отколкото от производството на други култури</w:t>
      </w:r>
      <w:r>
        <w:rPr>
          <w:rStyle w:val="FootnoteReference"/>
          <w:rFonts w:ascii="Times New Roman" w:hAnsi="Times New Roman"/>
          <w:noProof/>
          <w:sz w:val="24"/>
        </w:rPr>
        <w:footnoteReference w:id="39"/>
      </w:r>
      <w:r>
        <w:rPr>
          <w:rFonts w:ascii="Times New Roman" w:hAnsi="Times New Roman"/>
          <w:noProof/>
          <w:sz w:val="24"/>
        </w:rPr>
        <w:t>. Подробна оценка на въздействието върху околн</w:t>
      </w:r>
      <w:r>
        <w:rPr>
          <w:rFonts w:ascii="Times New Roman" w:hAnsi="Times New Roman"/>
          <w:noProof/>
          <w:sz w:val="24"/>
        </w:rPr>
        <w:t>ата среда на производството на биогоривата, потребявани в ЕС, се съдържа във външно проучване</w:t>
      </w:r>
      <w:r>
        <w:rPr>
          <w:rStyle w:val="FootnoteReference"/>
          <w:rFonts w:ascii="Times New Roman" w:hAnsi="Times New Roman"/>
          <w:noProof/>
          <w:sz w:val="24"/>
        </w:rPr>
        <w:footnoteReference w:id="40"/>
      </w:r>
      <w:r>
        <w:rPr>
          <w:rFonts w:ascii="Times New Roman" w:hAnsi="Times New Roman"/>
          <w:noProof/>
          <w:sz w:val="24"/>
        </w:rPr>
        <w:t xml:space="preserve">. Наскоро Комисията публикува също подробен доклад, представящ най-новите данни и оценки на състоянието на разширението на производството на хранителни и фуражни </w:t>
      </w:r>
      <w:r>
        <w:rPr>
          <w:rFonts w:ascii="Times New Roman" w:hAnsi="Times New Roman"/>
          <w:noProof/>
          <w:sz w:val="24"/>
        </w:rPr>
        <w:t>култури в световен мащаб</w:t>
      </w:r>
      <w:r>
        <w:rPr>
          <w:rStyle w:val="FootnoteReference"/>
          <w:rFonts w:ascii="Times New Roman" w:hAnsi="Times New Roman"/>
          <w:noProof/>
          <w:sz w:val="24"/>
        </w:rPr>
        <w:footnoteReference w:id="41"/>
      </w:r>
      <w:r>
        <w:rPr>
          <w:rFonts w:ascii="Times New Roman" w:hAnsi="Times New Roman"/>
          <w:noProof/>
          <w:sz w:val="24"/>
        </w:rPr>
        <w:t>.</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 xml:space="preserve">Рамката за устойчивост на биоенергията в ЕС беше подсилена в преработената Директива за възобновяемата енергия. По-конкретно в директивата се определят национални пределни стойности, които до 2030 г. постепенно ще намалеят до </w:t>
      </w:r>
      <w:r>
        <w:rPr>
          <w:rFonts w:ascii="Times New Roman" w:hAnsi="Times New Roman"/>
          <w:noProof/>
          <w:sz w:val="24"/>
        </w:rPr>
        <w:t>нула, за биогоривата, течните горива от биомаса и газообразните и твърдите горива от биомаса с висок риск от НПЗ, произведени от хранителни или фуражни култури, за които се наблюдава значително разширяване на производствения район в терени с високи въглеро</w:t>
      </w:r>
      <w:r>
        <w:rPr>
          <w:rFonts w:ascii="Times New Roman" w:hAnsi="Times New Roman"/>
          <w:noProof/>
          <w:sz w:val="24"/>
        </w:rPr>
        <w:t>дни запаси. Тези пределни стойности ще се отразят на количеството на тези горива, което може да се отчита при изчисляването на общия дял на възобновяемите енергийни източници и на дела на възобновяемите енергийни източници в транспортния сектор. Директиват</w:t>
      </w:r>
      <w:r>
        <w:rPr>
          <w:rFonts w:ascii="Times New Roman" w:hAnsi="Times New Roman"/>
          <w:noProof/>
          <w:sz w:val="24"/>
        </w:rPr>
        <w:t>а обаче позволява освобождаване от националните пределни стойности на онези биогорива, течни горива от биомаса и газообразни и твърди горива от биомаса, които са сертифицирани като горива с нисък риск от НПЗ</w:t>
      </w:r>
      <w:r>
        <w:rPr>
          <w:noProof/>
        </w:rPr>
        <w:t>.</w:t>
      </w:r>
      <w:r>
        <w:rPr>
          <w:rFonts w:ascii="Times New Roman" w:hAnsi="Times New Roman"/>
          <w:noProof/>
          <w:sz w:val="24"/>
        </w:rPr>
        <w:t xml:space="preserve">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 xml:space="preserve">С цел прилагане на този подход на 13 март </w:t>
      </w:r>
      <w:r>
        <w:rPr>
          <w:rFonts w:ascii="Times New Roman" w:hAnsi="Times New Roman"/>
          <w:noProof/>
          <w:sz w:val="24"/>
        </w:rPr>
        <w:t>2019 г. Комисията прие Делегиран акт относно биогоривата с висок и нисък риск от НПЗ</w:t>
      </w:r>
      <w:r>
        <w:rPr>
          <w:rStyle w:val="FootnoteReference"/>
          <w:rFonts w:ascii="Times New Roman" w:hAnsi="Times New Roman"/>
          <w:noProof/>
          <w:sz w:val="24"/>
        </w:rPr>
        <w:footnoteReference w:id="42"/>
      </w:r>
      <w:r>
        <w:rPr>
          <w:rFonts w:ascii="Times New Roman" w:hAnsi="Times New Roman"/>
          <w:noProof/>
          <w:sz w:val="24"/>
        </w:rPr>
        <w:t>, който понастоящем се разглежда от Съвета и Европейския парламент. Като цяло ЕС реши в бъдеще да се съсредоточи върху насърчаването на производството на биогорива от ново</w:t>
      </w:r>
      <w:r>
        <w:rPr>
          <w:rFonts w:ascii="Times New Roman" w:hAnsi="Times New Roman"/>
          <w:noProof/>
          <w:sz w:val="24"/>
        </w:rPr>
        <w:t xml:space="preserve"> поколение и други горива с ниски въглеродни емисии, като например електроенергията от възобновяеми източници и възобновяемите течни и газообразни транспортни горива от небиологичен произход. Биогоривата от ново поколение имат много малък пазарен дял, но с</w:t>
      </w:r>
      <w:r>
        <w:rPr>
          <w:rFonts w:ascii="Times New Roman" w:hAnsi="Times New Roman"/>
          <w:noProof/>
          <w:sz w:val="24"/>
        </w:rPr>
        <w:t>ъществува огромен потенциал за увеличаване на производството. Комисията ще продължи да насърчава производството на биогорива от ново поколение, включително чрез проучване на източници на нови потенциални суровини. Въпреки че на този етап няма достатъчни на</w:t>
      </w:r>
      <w:r>
        <w:rPr>
          <w:rFonts w:ascii="Times New Roman" w:hAnsi="Times New Roman"/>
          <w:noProof/>
          <w:sz w:val="24"/>
        </w:rPr>
        <w:t>учни доказателства, които да оправдаят разширяването на суровинната основа за производството на биогоривата от ново поколение, определена в приложение IX към RED II, Комисията ще продължи да оценява дали в бъдеще биха могли да се използват допълнителни сур</w:t>
      </w:r>
      <w:r>
        <w:rPr>
          <w:rFonts w:ascii="Times New Roman" w:hAnsi="Times New Roman"/>
          <w:noProof/>
          <w:sz w:val="24"/>
        </w:rPr>
        <w:t>овини за производството биогорива от ново поколение</w:t>
      </w:r>
      <w:r>
        <w:rPr>
          <w:rStyle w:val="FootnoteReference"/>
          <w:rFonts w:ascii="Times New Roman" w:hAnsi="Times New Roman"/>
          <w:noProof/>
          <w:sz w:val="24"/>
        </w:rPr>
        <w:footnoteReference w:id="43"/>
      </w:r>
      <w:r>
        <w:rPr>
          <w:rFonts w:ascii="Times New Roman" w:hAnsi="Times New Roman"/>
          <w:noProof/>
          <w:sz w:val="24"/>
        </w:rPr>
        <w:t>.</w:t>
      </w:r>
    </w:p>
    <w:p w:rsidR="0073630F" w:rsidRDefault="00EB4AF3">
      <w:pPr>
        <w:pStyle w:val="Heading2"/>
        <w:numPr>
          <w:ilvl w:val="0"/>
          <w:numId w:val="28"/>
        </w:numPr>
        <w:spacing w:after="120"/>
        <w:rPr>
          <w:noProof/>
        </w:rPr>
      </w:pPr>
      <w:r>
        <w:rPr>
          <w:noProof/>
        </w:rPr>
        <w:t xml:space="preserve">Функциониране на доброволните схеми, признати от Комисията </w:t>
      </w:r>
    </w:p>
    <w:p w:rsidR="0073630F" w:rsidRDefault="00EB4AF3">
      <w:pPr>
        <w:spacing w:before="240"/>
        <w:jc w:val="both"/>
        <w:rPr>
          <w:rFonts w:ascii="Times New Roman" w:eastAsia="Calibri" w:hAnsi="Times New Roman" w:cs="Times New Roman"/>
          <w:noProof/>
          <w:sz w:val="24"/>
          <w:szCs w:val="24"/>
        </w:rPr>
      </w:pPr>
      <w:r>
        <w:rPr>
          <w:rFonts w:ascii="Times New Roman" w:hAnsi="Times New Roman"/>
          <w:noProof/>
          <w:sz w:val="24"/>
        </w:rPr>
        <w:t>RED I предоставя на Комисията правомощия да признава международни или национални сертификационни схеми, наричани доброволни схеми, които опера</w:t>
      </w:r>
      <w:r>
        <w:rPr>
          <w:rFonts w:ascii="Times New Roman" w:hAnsi="Times New Roman"/>
          <w:noProof/>
          <w:sz w:val="24"/>
        </w:rPr>
        <w:t>торите могат да използват, за да докажат съответствие с критериите за устойчивост и намаление на емисиите на парникови газове, които директивата предвижда за биогоривата и течните горива от биомаса. Понастоящем за тази цел са признати 14 доброволни схеми</w:t>
      </w:r>
      <w:r>
        <w:rPr>
          <w:noProof/>
          <w:vertAlign w:val="superscript"/>
        </w:rPr>
        <w:footnoteReference w:id="44"/>
      </w:r>
      <w:r>
        <w:rPr>
          <w:rFonts w:ascii="Times New Roman" w:hAnsi="Times New Roman"/>
          <w:noProof/>
          <w:sz w:val="24"/>
        </w:rPr>
        <w:t>.</w:t>
      </w:r>
      <w:r>
        <w:rPr>
          <w:rFonts w:ascii="Times New Roman" w:hAnsi="Times New Roman"/>
          <w:noProof/>
          <w:sz w:val="24"/>
        </w:rPr>
        <w:t xml:space="preserve"> От държавите членки се изисква да приемат доказателствата относно критериите за устойчивост, получени от операторите — участници в тези схеми. Тази разпоредба улеснява значително изпълнението на критериите за устойчивост, тъй като позволява на операторите</w:t>
      </w:r>
      <w:r>
        <w:rPr>
          <w:rFonts w:ascii="Times New Roman" w:hAnsi="Times New Roman"/>
          <w:noProof/>
          <w:sz w:val="24"/>
        </w:rPr>
        <w:t xml:space="preserve"> да предоставят изискваните доказателства, като следват единна административна процедура във всички държави — членки на ЕС</w:t>
      </w:r>
      <w:r>
        <w:rPr>
          <w:noProof/>
          <w:vertAlign w:val="superscript"/>
        </w:rPr>
        <w:footnoteReference w:id="45"/>
      </w:r>
      <w:r>
        <w:rPr>
          <w:rFonts w:ascii="Times New Roman" w:hAnsi="Times New Roman"/>
          <w:noProof/>
          <w:sz w:val="24"/>
        </w:rPr>
        <w:t>. Всяка доброволна схема, по отношение на която е било прието решение и която е функционирала през последните дванадесет месеца, тряб</w:t>
      </w:r>
      <w:r>
        <w:rPr>
          <w:rFonts w:ascii="Times New Roman" w:hAnsi="Times New Roman"/>
          <w:noProof/>
          <w:sz w:val="24"/>
        </w:rPr>
        <w:t>ва ежегодно да представя доклад на Комисията</w:t>
      </w:r>
      <w:r>
        <w:rPr>
          <w:rStyle w:val="FootnoteReference"/>
          <w:rFonts w:ascii="Times New Roman" w:hAnsi="Times New Roman"/>
          <w:noProof/>
          <w:sz w:val="24"/>
        </w:rPr>
        <w:footnoteReference w:id="46"/>
      </w:r>
      <w:r>
        <w:rPr>
          <w:rFonts w:ascii="Times New Roman" w:hAnsi="Times New Roman"/>
          <w:noProof/>
          <w:sz w:val="24"/>
        </w:rPr>
        <w:t xml:space="preserve">.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През последните няколко години доброволните схеми се превърнаха в основния инструмент за демонстриране на съответствие с критериите на ЕС за устойчивост на биогоривата. През календарната 2017 година 21 429 ки</w:t>
      </w:r>
      <w:r>
        <w:rPr>
          <w:rFonts w:ascii="Times New Roman" w:hAnsi="Times New Roman"/>
          <w:noProof/>
          <w:sz w:val="24"/>
        </w:rPr>
        <w:t>лотона (kt) течни биогорива (в т.ч. чисто растително масло), 140 045 хиляди m</w:t>
      </w:r>
      <w:r>
        <w:rPr>
          <w:rFonts w:ascii="Times New Roman" w:hAnsi="Times New Roman"/>
          <w:noProof/>
          <w:sz w:val="24"/>
          <w:vertAlign w:val="superscript"/>
        </w:rPr>
        <w:t>3</w:t>
      </w:r>
      <w:r>
        <w:rPr>
          <w:rFonts w:ascii="Times New Roman" w:hAnsi="Times New Roman"/>
          <w:noProof/>
          <w:sz w:val="24"/>
        </w:rPr>
        <w:t xml:space="preserve"> биометан (еквивалентни на около 100,8 kt) и 119 119 kt суровини са сертифицирани като съответстващи на критериите на ЕС за устойчивост, предвидени в член 17, параграфи 2—5 от Ди</w:t>
      </w:r>
      <w:r>
        <w:rPr>
          <w:rFonts w:ascii="Times New Roman" w:hAnsi="Times New Roman"/>
          <w:noProof/>
          <w:sz w:val="24"/>
        </w:rPr>
        <w:t>рективата за възобновяемата енергия. Според по-детайлните данни относно сертифицираните течни биогорива 12 198 kt (57 % от общото количество) са биодизел, а 6 224 kt (29 %) са биоетанол. Останалата част се състои от биогорива от хидрогенирани растителни ма</w:t>
      </w:r>
      <w:r>
        <w:rPr>
          <w:rFonts w:ascii="Times New Roman" w:hAnsi="Times New Roman"/>
          <w:noProof/>
          <w:sz w:val="24"/>
        </w:rPr>
        <w:t xml:space="preserve">сла (ХРМ) (1 784 kt, 8 %), чисто растително масло (1 053 kt, 5 %) и други горива. Най-големите количества сертифицирани суровини, използвани за биогорива, са рапица (27 %), палмово масло (16 %), използвано олио за готвене (13 %) и царевица (12 %). </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Комисия</w:t>
      </w:r>
      <w:r>
        <w:rPr>
          <w:rFonts w:ascii="Times New Roman" w:hAnsi="Times New Roman"/>
          <w:noProof/>
          <w:sz w:val="24"/>
        </w:rPr>
        <w:t>та признава само схеми, които отговарят на адекватни стандарти за надеждност, прозрачност и независимо одитиране. За тази цел Комисията провежда задълбочена оценка на кандидатстващите за признаване доброволни схеми</w:t>
      </w:r>
      <w:r>
        <w:rPr>
          <w:rStyle w:val="FootnoteReference"/>
          <w:rFonts w:ascii="Times New Roman" w:hAnsi="Times New Roman"/>
          <w:noProof/>
          <w:sz w:val="24"/>
        </w:rPr>
        <w:footnoteReference w:id="47"/>
      </w:r>
      <w:r>
        <w:rPr>
          <w:rFonts w:ascii="Times New Roman" w:hAnsi="Times New Roman"/>
          <w:noProof/>
          <w:sz w:val="24"/>
        </w:rPr>
        <w:t>. Наред с другото, това гарантира, че: пр</w:t>
      </w:r>
      <w:r>
        <w:rPr>
          <w:rFonts w:ascii="Times New Roman" w:hAnsi="Times New Roman"/>
          <w:noProof/>
          <w:sz w:val="24"/>
        </w:rPr>
        <w:t>оизводителите на суровини отговарят на критериите за устойчивост съгласно RED I, информацията относно характеристиките на устойчивостта може да бъде проследена до произхода на суровината, дружествата преминават одит, преди да се присъединят към схемата, ре</w:t>
      </w:r>
      <w:r>
        <w:rPr>
          <w:rFonts w:ascii="Times New Roman" w:hAnsi="Times New Roman"/>
          <w:noProof/>
          <w:sz w:val="24"/>
        </w:rPr>
        <w:t>довно се извършват одити със задна дата и одиторите са външни и независими.</w:t>
      </w:r>
    </w:p>
    <w:p w:rsidR="0073630F" w:rsidRDefault="00EB4AF3">
      <w:pPr>
        <w:jc w:val="both"/>
        <w:rPr>
          <w:rFonts w:ascii="Times New Roman" w:eastAsia="Calibri" w:hAnsi="Times New Roman" w:cs="Times New Roman"/>
          <w:noProof/>
          <w:sz w:val="24"/>
          <w:szCs w:val="24"/>
        </w:rPr>
      </w:pPr>
      <w:r>
        <w:rPr>
          <w:rFonts w:ascii="Times New Roman" w:hAnsi="Times New Roman"/>
          <w:noProof/>
          <w:sz w:val="24"/>
        </w:rPr>
        <w:t>През последните години управлението на доброволните схеми е подложено на засилен обществен контрол</w:t>
      </w:r>
      <w:r>
        <w:rPr>
          <w:rStyle w:val="FootnoteReference"/>
          <w:rFonts w:ascii="Times New Roman" w:hAnsi="Times New Roman"/>
          <w:noProof/>
          <w:sz w:val="24"/>
        </w:rPr>
        <w:footnoteReference w:id="48"/>
      </w:r>
      <w:r>
        <w:rPr>
          <w:rFonts w:ascii="Times New Roman" w:hAnsi="Times New Roman"/>
          <w:noProof/>
          <w:sz w:val="24"/>
        </w:rPr>
        <w:t>. С цел да се отговори на тези опасения и да се гарантира надеждното прилагане, в</w:t>
      </w:r>
      <w:r>
        <w:rPr>
          <w:rFonts w:ascii="Times New Roman" w:hAnsi="Times New Roman"/>
          <w:noProof/>
          <w:sz w:val="24"/>
        </w:rPr>
        <w:t xml:space="preserve"> член 30 от RED II са включени по-строги правила за проверка на съответствието с критериите за устойчивост на биоенергията, включително засилен национален и европейски надзор на доброволните схеми и одитиране от трети страни. Освен това от Комисията се изи</w:t>
      </w:r>
      <w:r>
        <w:rPr>
          <w:rFonts w:ascii="Times New Roman" w:hAnsi="Times New Roman"/>
          <w:noProof/>
          <w:sz w:val="24"/>
        </w:rPr>
        <w:t>сква да приеме подробни правила за прилагане на адекватни стандарти за надеждност, прозрачност и независимо одитиране и да изисква всички признати доброволни схеми да ги прилагат. И накрая, Комисията ще създаде европейска база данни, за да подобри проследя</w:t>
      </w:r>
      <w:r>
        <w:rPr>
          <w:rFonts w:ascii="Times New Roman" w:hAnsi="Times New Roman"/>
          <w:noProof/>
          <w:sz w:val="24"/>
        </w:rPr>
        <w:t xml:space="preserve">ването на устойчивите биогорива. </w:t>
      </w:r>
    </w:p>
    <w:p w:rsidR="0073630F" w:rsidRDefault="0073630F">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2660"/>
        <w:gridCol w:w="2126"/>
        <w:gridCol w:w="1843"/>
        <w:gridCol w:w="2613"/>
      </w:tblGrid>
      <w:tr w:rsidR="0073630F">
        <w:trPr>
          <w:trHeight w:val="435"/>
        </w:trPr>
        <w:tc>
          <w:tcPr>
            <w:tcW w:w="2660" w:type="dxa"/>
          </w:tcPr>
          <w:p w:rsidR="0073630F" w:rsidRDefault="00EB4AF3">
            <w:pPr>
              <w:keepNext/>
              <w:jc w:val="center"/>
              <w:rPr>
                <w:rFonts w:ascii="Times New Roman" w:eastAsia="Calibri" w:hAnsi="Times New Roman" w:cs="Times New Roman"/>
                <w:b/>
                <w:bCs/>
                <w:noProof/>
                <w:sz w:val="20"/>
                <w:szCs w:val="20"/>
              </w:rPr>
            </w:pPr>
            <w:bookmarkStart w:id="12" w:name="RANGE!B1:E16"/>
            <w:r>
              <w:rPr>
                <w:rFonts w:ascii="Times New Roman" w:hAnsi="Times New Roman"/>
                <w:b/>
                <w:noProof/>
                <w:sz w:val="20"/>
              </w:rPr>
              <w:t>Доброволна схема</w:t>
            </w:r>
            <w:bookmarkEnd w:id="12"/>
          </w:p>
        </w:tc>
        <w:tc>
          <w:tcPr>
            <w:tcW w:w="6582" w:type="dxa"/>
            <w:gridSpan w:val="3"/>
          </w:tcPr>
          <w:p w:rsidR="0073630F" w:rsidRDefault="00EB4AF3">
            <w:pPr>
              <w:keepNext/>
              <w:jc w:val="center"/>
              <w:rPr>
                <w:rFonts w:ascii="Times New Roman" w:eastAsia="Calibri" w:hAnsi="Times New Roman" w:cs="Times New Roman"/>
                <w:b/>
                <w:bCs/>
                <w:noProof/>
                <w:sz w:val="20"/>
                <w:szCs w:val="20"/>
              </w:rPr>
            </w:pPr>
            <w:r>
              <w:rPr>
                <w:rFonts w:ascii="Times New Roman" w:hAnsi="Times New Roman"/>
                <w:b/>
                <w:noProof/>
                <w:sz w:val="20"/>
              </w:rPr>
              <w:t>Обхват</w:t>
            </w:r>
          </w:p>
        </w:tc>
      </w:tr>
      <w:tr w:rsidR="0073630F">
        <w:trPr>
          <w:trHeight w:val="265"/>
        </w:trPr>
        <w:tc>
          <w:tcPr>
            <w:tcW w:w="2660" w:type="dxa"/>
          </w:tcPr>
          <w:p w:rsidR="0073630F" w:rsidRDefault="00EB4AF3">
            <w:pPr>
              <w:keepNext/>
              <w:jc w:val="center"/>
              <w:rPr>
                <w:rFonts w:ascii="Times New Roman" w:eastAsia="Calibri" w:hAnsi="Times New Roman"/>
                <w:i/>
                <w:noProof/>
                <w:sz w:val="20"/>
              </w:rPr>
            </w:pPr>
            <w:r>
              <w:rPr>
                <w:rFonts w:ascii="Times New Roman" w:hAnsi="Times New Roman"/>
                <w:i/>
                <w:noProof/>
                <w:sz w:val="20"/>
              </w:rPr>
              <w:t>Наименование</w:t>
            </w:r>
          </w:p>
        </w:tc>
        <w:tc>
          <w:tcPr>
            <w:tcW w:w="2126" w:type="dxa"/>
          </w:tcPr>
          <w:p w:rsidR="0073630F" w:rsidRDefault="00EB4AF3">
            <w:pPr>
              <w:keepNext/>
              <w:jc w:val="center"/>
              <w:rPr>
                <w:rFonts w:ascii="Times New Roman" w:eastAsia="Calibri" w:hAnsi="Times New Roman"/>
                <w:i/>
                <w:noProof/>
                <w:sz w:val="20"/>
              </w:rPr>
            </w:pPr>
            <w:r>
              <w:rPr>
                <w:rFonts w:ascii="Times New Roman" w:hAnsi="Times New Roman"/>
                <w:i/>
                <w:noProof/>
                <w:sz w:val="20"/>
              </w:rPr>
              <w:t>Вид на суровините</w:t>
            </w:r>
          </w:p>
        </w:tc>
        <w:tc>
          <w:tcPr>
            <w:tcW w:w="1843" w:type="dxa"/>
          </w:tcPr>
          <w:p w:rsidR="0073630F" w:rsidRDefault="00EB4AF3">
            <w:pPr>
              <w:keepNext/>
              <w:jc w:val="center"/>
              <w:rPr>
                <w:rFonts w:ascii="Times New Roman" w:eastAsia="Calibri" w:hAnsi="Times New Roman"/>
                <w:i/>
                <w:noProof/>
                <w:sz w:val="20"/>
              </w:rPr>
            </w:pPr>
            <w:r>
              <w:rPr>
                <w:rFonts w:ascii="Times New Roman" w:hAnsi="Times New Roman"/>
                <w:i/>
                <w:noProof/>
                <w:sz w:val="20"/>
              </w:rPr>
              <w:t>Произход на суровините</w:t>
            </w:r>
          </w:p>
        </w:tc>
        <w:tc>
          <w:tcPr>
            <w:tcW w:w="2613" w:type="dxa"/>
          </w:tcPr>
          <w:p w:rsidR="0073630F" w:rsidRDefault="00EB4AF3">
            <w:pPr>
              <w:keepNext/>
              <w:jc w:val="center"/>
              <w:rPr>
                <w:rFonts w:ascii="Times New Roman" w:eastAsia="Calibri" w:hAnsi="Times New Roman"/>
                <w:i/>
                <w:noProof/>
                <w:sz w:val="20"/>
              </w:rPr>
            </w:pPr>
            <w:r>
              <w:rPr>
                <w:rFonts w:ascii="Times New Roman" w:hAnsi="Times New Roman"/>
                <w:i/>
                <w:noProof/>
                <w:sz w:val="20"/>
              </w:rPr>
              <w:t>Обхваната верига на доставките</w:t>
            </w:r>
          </w:p>
        </w:tc>
      </w:tr>
      <w:tr w:rsidR="0073630F">
        <w:trPr>
          <w:trHeight w:val="555"/>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„International Sustainability and Carbon Certification“ (ISCC)</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 xml:space="preserve">Пълна </w:t>
            </w:r>
            <w:r>
              <w:rPr>
                <w:rFonts w:ascii="Times New Roman" w:hAnsi="Times New Roman"/>
                <w:noProof/>
                <w:sz w:val="20"/>
              </w:rPr>
              <w:t>верига на доставките</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„Bonsucro EU“</w:t>
            </w:r>
          </w:p>
        </w:tc>
        <w:tc>
          <w:tcPr>
            <w:tcW w:w="2126" w:type="dxa"/>
            <w:noWrap/>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Захарна тръстика</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555"/>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„Roundtable on Sustainable Biomaterial EU RED“ („RSB EU RED“)</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„RTRS EU RED“</w:t>
            </w:r>
          </w:p>
        </w:tc>
        <w:tc>
          <w:tcPr>
            <w:tcW w:w="2126" w:type="dxa"/>
            <w:noWrap/>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Соя</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w:t>
            </w:r>
            <w:r>
              <w:rPr>
                <w:rFonts w:ascii="Times New Roman" w:hAnsi="Times New Roman"/>
                <w:noProof/>
                <w:sz w:val="20"/>
              </w:rPr>
              <w:t xml:space="preserve"> верига на доставките</w:t>
            </w:r>
          </w:p>
        </w:tc>
      </w:tr>
      <w:tr w:rsidR="0073630F">
        <w:trPr>
          <w:trHeight w:val="72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„U.S. Soybean Sustainability Assurance Protocol“ (SSAP)</w:t>
            </w:r>
          </w:p>
        </w:tc>
        <w:tc>
          <w:tcPr>
            <w:tcW w:w="2126" w:type="dxa"/>
            <w:noWrap/>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 xml:space="preserve">Соя </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САЩ</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засяването до мястото на износ</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„Biomass Biofuels voluntary scheme“ — 2BSvs</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noWrap/>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69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 xml:space="preserve">„Scottish Quality Farm </w:t>
            </w:r>
            <w:r>
              <w:rPr>
                <w:rFonts w:ascii="Times New Roman" w:hAnsi="Times New Roman"/>
                <w:noProof/>
                <w:sz w:val="20"/>
              </w:rPr>
              <w:t>Assured Combinable Crops Limited“ (SQC)</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Всички зърнени култури и маслодайни семена</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Северна Великобритания</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До първата точка на доставка на суровини</w:t>
            </w:r>
          </w:p>
        </w:tc>
      </w:tr>
      <w:tr w:rsidR="0073630F">
        <w:trPr>
          <w:trHeight w:val="555"/>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„Red Tractor Farm Assurance Combinable Crops &amp; Sugar Beet“ (Red Tractor)</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Зърнени култури, маслодайни семена,</w:t>
            </w:r>
            <w:r>
              <w:rPr>
                <w:rFonts w:ascii="Times New Roman" w:hAnsi="Times New Roman"/>
                <w:noProof/>
                <w:sz w:val="18"/>
              </w:rPr>
              <w:t xml:space="preserve"> захарно цвекло</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Обединеното кралство</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До първата точка на доставка на суровини</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„REDcert“</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Европа</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„Better Biomass“</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538"/>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 xml:space="preserve">„Gafta Trade Assurance Scheme“ </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 xml:space="preserve">Широк спектър от суровини </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От цял свят</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Схема на отговорно пазене от портала на стопанството до първия преработвател</w:t>
            </w:r>
          </w:p>
        </w:tc>
      </w:tr>
      <w:tr w:rsidR="0073630F">
        <w:trPr>
          <w:trHeight w:val="360"/>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„KZR INiG System“</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Широк спектър от суровини</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Европа</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Пълна верига на доставките</w:t>
            </w:r>
          </w:p>
        </w:tc>
      </w:tr>
      <w:tr w:rsidR="0073630F">
        <w:trPr>
          <w:trHeight w:val="766"/>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 xml:space="preserve">„Trade Assurance Scheme for </w:t>
            </w:r>
            <w:r>
              <w:rPr>
                <w:rFonts w:ascii="Times New Roman" w:hAnsi="Times New Roman"/>
                <w:noProof/>
                <w:sz w:val="20"/>
              </w:rPr>
              <w:t>Combinable Crops“ (TASC)</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Комбинирани култури, като зърнени култури, маслодайни семена и захарно цвекло</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Обединено кралство</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Схема на отговорно пазене от портала на стопанството до първия преработвател</w:t>
            </w:r>
          </w:p>
        </w:tc>
      </w:tr>
      <w:tr w:rsidR="0073630F">
        <w:trPr>
          <w:trHeight w:val="738"/>
        </w:trPr>
        <w:tc>
          <w:tcPr>
            <w:tcW w:w="2660"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„Universal Feed Assurance Scheme“ (UFAS)</w:t>
            </w:r>
          </w:p>
        </w:tc>
        <w:tc>
          <w:tcPr>
            <w:tcW w:w="2126" w:type="dxa"/>
          </w:tcPr>
          <w:p w:rsidR="0073630F" w:rsidRDefault="00EB4AF3">
            <w:pPr>
              <w:keepNext/>
              <w:rPr>
                <w:rFonts w:ascii="Times New Roman" w:eastAsia="Calibri" w:hAnsi="Times New Roman" w:cs="Times New Roman"/>
                <w:noProof/>
                <w:sz w:val="18"/>
                <w:szCs w:val="20"/>
              </w:rPr>
            </w:pPr>
            <w:r>
              <w:rPr>
                <w:rFonts w:ascii="Times New Roman" w:hAnsi="Times New Roman"/>
                <w:noProof/>
                <w:sz w:val="18"/>
              </w:rPr>
              <w:t>Фуражни съставк</w:t>
            </w:r>
            <w:r>
              <w:rPr>
                <w:rFonts w:ascii="Times New Roman" w:hAnsi="Times New Roman"/>
                <w:noProof/>
                <w:sz w:val="18"/>
              </w:rPr>
              <w:t>и и комбинирани фуражи, както и комбинирани култури</w:t>
            </w:r>
          </w:p>
        </w:tc>
        <w:tc>
          <w:tcPr>
            <w:tcW w:w="184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Обединено кралство</w:t>
            </w:r>
          </w:p>
        </w:tc>
        <w:tc>
          <w:tcPr>
            <w:tcW w:w="2613" w:type="dxa"/>
          </w:tcPr>
          <w:p w:rsidR="0073630F" w:rsidRDefault="00EB4AF3">
            <w:pPr>
              <w:keepNext/>
              <w:rPr>
                <w:rFonts w:ascii="Times New Roman" w:eastAsia="Calibri" w:hAnsi="Times New Roman" w:cs="Times New Roman"/>
                <w:noProof/>
                <w:sz w:val="20"/>
                <w:szCs w:val="20"/>
              </w:rPr>
            </w:pPr>
            <w:r>
              <w:rPr>
                <w:rFonts w:ascii="Times New Roman" w:hAnsi="Times New Roman"/>
                <w:noProof/>
                <w:sz w:val="20"/>
              </w:rPr>
              <w:t>Схема на отговорно пазене от портала на стопанството до първия преработвател</w:t>
            </w:r>
          </w:p>
        </w:tc>
      </w:tr>
    </w:tbl>
    <w:p w:rsidR="0073630F" w:rsidRDefault="00EB4AF3">
      <w:pPr>
        <w:keepNext/>
        <w:jc w:val="both"/>
        <w:rPr>
          <w:rFonts w:ascii="Times New Roman" w:eastAsia="Calibri" w:hAnsi="Times New Roman" w:cs="Times New Roman"/>
          <w:i/>
          <w:noProof/>
          <w:sz w:val="24"/>
          <w:szCs w:val="24"/>
        </w:rPr>
      </w:pPr>
      <w:r>
        <w:rPr>
          <w:b/>
          <w:i/>
          <w:noProof/>
        </w:rPr>
        <w:t xml:space="preserve"> </w:t>
      </w:r>
      <w:r>
        <w:rPr>
          <w:rFonts w:ascii="Times New Roman" w:hAnsi="Times New Roman"/>
          <w:b/>
          <w:i/>
          <w:noProof/>
          <w:sz w:val="24"/>
        </w:rPr>
        <w:t>Таблица 3</w:t>
      </w:r>
      <w:r>
        <w:rPr>
          <w:rFonts w:ascii="Times New Roman" w:hAnsi="Times New Roman"/>
          <w:i/>
          <w:noProof/>
          <w:sz w:val="24"/>
        </w:rPr>
        <w:t>: Доброволни схеми, понастоящем признати от Комисията</w:t>
      </w:r>
    </w:p>
    <w:p w:rsidR="0073630F" w:rsidRDefault="00EB4AF3">
      <w:pPr>
        <w:rPr>
          <w:rFonts w:ascii="Times New Roman" w:eastAsia="Calibri" w:hAnsi="Times New Roman" w:cs="Times New Roman"/>
          <w:b/>
          <w:noProof/>
          <w:sz w:val="24"/>
          <w:szCs w:val="24"/>
        </w:rPr>
      </w:pPr>
      <w:r>
        <w:rPr>
          <w:noProof/>
        </w:rPr>
        <w:br w:type="page"/>
      </w:r>
    </w:p>
    <w:p w:rsidR="0073630F" w:rsidRDefault="00EB4AF3">
      <w:pPr>
        <w:pStyle w:val="Heading1"/>
        <w:rPr>
          <w:noProof/>
          <w:sz w:val="22"/>
        </w:rPr>
      </w:pPr>
      <w:bookmarkStart w:id="13" w:name="_Toc1149228"/>
      <w:r>
        <w:rPr>
          <w:noProof/>
        </w:rPr>
        <w:t>5. ЗАКЛЮЧЕНИЯ</w:t>
      </w:r>
      <w:bookmarkEnd w:id="13"/>
    </w:p>
    <w:p w:rsidR="0073630F" w:rsidRDefault="00EB4AF3">
      <w:pPr>
        <w:spacing w:after="120"/>
        <w:jc w:val="both"/>
        <w:rPr>
          <w:rFonts w:ascii="Times New Roman" w:hAnsi="Times New Roman" w:cs="Times New Roman"/>
          <w:noProof/>
          <w:sz w:val="24"/>
          <w:szCs w:val="24"/>
        </w:rPr>
      </w:pPr>
      <w:r>
        <w:rPr>
          <w:rFonts w:ascii="Times New Roman" w:hAnsi="Times New Roman"/>
          <w:noProof/>
          <w:sz w:val="24"/>
        </w:rPr>
        <w:t xml:space="preserve">ЕС е на път да изпълни </w:t>
      </w:r>
      <w:r>
        <w:rPr>
          <w:rFonts w:ascii="Times New Roman" w:hAnsi="Times New Roman"/>
          <w:noProof/>
          <w:sz w:val="24"/>
        </w:rPr>
        <w:t>своята цел за 2020 г. в областта на възобновяемата енергия. През 2017 г. делът на възобновяемата енергия в енергийния микс на ЕС достигна 17,52 %. Инвестициите във възобновяема енергия във все по-голяма степен се ръководят от пазара и делът на публичните с</w:t>
      </w:r>
      <w:r>
        <w:rPr>
          <w:rFonts w:ascii="Times New Roman" w:hAnsi="Times New Roman"/>
          <w:noProof/>
          <w:sz w:val="24"/>
        </w:rPr>
        <w:t xml:space="preserve">убсидии намалява. Това е предизвикано от значителния спад на цената на технологиите за възобновяема енергия и намаляването на субсидиите чрез по-конкурентни схеми за подпомагане и е илюстрирано от многобройните резултати от търговете с нулева субсидия или </w:t>
      </w:r>
      <w:r>
        <w:rPr>
          <w:rFonts w:ascii="Times New Roman" w:hAnsi="Times New Roman"/>
          <w:noProof/>
          <w:sz w:val="24"/>
        </w:rPr>
        <w:t>ниска цена в няколко европейски държави.</w:t>
      </w:r>
    </w:p>
    <w:p w:rsidR="0073630F" w:rsidRDefault="00EB4AF3">
      <w:pPr>
        <w:spacing w:after="120"/>
        <w:jc w:val="both"/>
        <w:rPr>
          <w:rFonts w:ascii="Times New Roman" w:hAnsi="Times New Roman" w:cs="Times New Roman"/>
          <w:noProof/>
          <w:sz w:val="24"/>
          <w:szCs w:val="24"/>
        </w:rPr>
      </w:pPr>
      <w:r>
        <w:rPr>
          <w:rFonts w:ascii="Times New Roman" w:hAnsi="Times New Roman"/>
          <w:noProof/>
          <w:sz w:val="24"/>
        </w:rPr>
        <w:t>Въпреки това от 2014 г. насам темпът на нарастване на дела на възобновяемата енергия се забави. Макар че все още има изгледи ЕС да постигне целите си за 2020 г. в областта на възобновяемата енергия, за да се гаранти</w:t>
      </w:r>
      <w:r>
        <w:rPr>
          <w:rFonts w:ascii="Times New Roman" w:hAnsi="Times New Roman"/>
          <w:noProof/>
          <w:sz w:val="24"/>
        </w:rPr>
        <w:t>ра това, през оставащия период до 2020 г. усилията следва да се активизират, също и във връзка с очакваното по-високо потребление на енергия в бъдеще. През 2017 г. 11 държави членки вече имат дял на възобновяемата енергия, надвишаващ съответните им цели за</w:t>
      </w:r>
      <w:r>
        <w:rPr>
          <w:rFonts w:ascii="Times New Roman" w:hAnsi="Times New Roman"/>
          <w:noProof/>
          <w:sz w:val="24"/>
        </w:rPr>
        <w:t xml:space="preserve"> 2020 г. Други 10 държави членки са изпълнили или надхвърлили средната си индикативна крива, заложена в Директивата за възобновяемата енергия за двугодишния период от 2017 до 2018 г. Остават обаче 7 държави членки (Белгия, Ирландия, Люксембург, Нидерландия</w:t>
      </w:r>
      <w:r>
        <w:rPr>
          <w:rFonts w:ascii="Times New Roman" w:hAnsi="Times New Roman"/>
          <w:noProof/>
          <w:sz w:val="24"/>
        </w:rPr>
        <w:t xml:space="preserve">, Полша, Словения и Франция), които ще трябва да положат допълнителни усилия, за да спазят средната индикативна крива за периода 2017—2018 г., така че целта за 2020 г. да бъде постигната. </w:t>
      </w:r>
    </w:p>
    <w:p w:rsidR="0073630F" w:rsidRDefault="00EB4AF3">
      <w:pPr>
        <w:jc w:val="both"/>
        <w:rPr>
          <w:rFonts w:ascii="Times New Roman" w:hAnsi="Times New Roman" w:cs="Times New Roman"/>
          <w:noProof/>
          <w:sz w:val="24"/>
          <w:szCs w:val="24"/>
        </w:rPr>
      </w:pPr>
      <w:r>
        <w:rPr>
          <w:rFonts w:ascii="Times New Roman" w:hAnsi="Times New Roman"/>
          <w:noProof/>
          <w:sz w:val="24"/>
        </w:rPr>
        <w:t>За да бъдат изпълнени целите за 2020 г. в областта на възобновяемат</w:t>
      </w:r>
      <w:r>
        <w:rPr>
          <w:rFonts w:ascii="Times New Roman" w:hAnsi="Times New Roman"/>
          <w:noProof/>
          <w:sz w:val="24"/>
        </w:rPr>
        <w:t>а енергия и тези равнища да бъдат запазени като базисни стойности от 2021 г. нататък, повечето държави членки се насърчават да продължат активизирането на усилията си за навлизане на ВЕИ в трите сектора, като в същото време намаляват потреблението на енерг</w:t>
      </w:r>
      <w:r>
        <w:rPr>
          <w:rFonts w:ascii="Times New Roman" w:hAnsi="Times New Roman"/>
          <w:noProof/>
          <w:sz w:val="24"/>
        </w:rPr>
        <w:t>ия. Извършеното наскоро моделиране показа, че прилаганите понастоящем политики в областта на възобновяемата енергия и вече планираните политически инициативи в областта на възобновяемата енергия може да бъдат недостатъчни в редица държави членки за своевре</w:t>
      </w:r>
      <w:r>
        <w:rPr>
          <w:rFonts w:ascii="Times New Roman" w:hAnsi="Times New Roman"/>
          <w:noProof/>
          <w:sz w:val="24"/>
        </w:rPr>
        <w:t>менното постигане на националните им обвързващи цели, ако се разглежда само вътрешното предлагане, без механизмите за сътрудничество. И накрая, държавите членки следва да обмислят възможността да използват статистическите прехвърляния, предвидени в Директи</w:t>
      </w:r>
      <w:r>
        <w:rPr>
          <w:rFonts w:ascii="Times New Roman" w:hAnsi="Times New Roman"/>
          <w:noProof/>
          <w:sz w:val="24"/>
        </w:rPr>
        <w:t>вата за енергията от възобновяеми източници, като начин да се гарантира постигането на целите, когато има недостиг, или с цел продажба на потенциалните им излишъци на други държави членки. Комисията е готова да подкрепя активно държавите членки в това отно</w:t>
      </w:r>
      <w:r>
        <w:rPr>
          <w:rFonts w:ascii="Times New Roman" w:hAnsi="Times New Roman"/>
          <w:noProof/>
          <w:sz w:val="24"/>
        </w:rPr>
        <w:t xml:space="preserve">шение и да улеснява необходимото сътрудничество. </w:t>
      </w:r>
    </w:p>
    <w:p w:rsidR="0073630F" w:rsidRDefault="00EB4AF3">
      <w:pPr>
        <w:spacing w:after="120"/>
        <w:jc w:val="both"/>
        <w:rPr>
          <w:rFonts w:ascii="Times New Roman" w:hAnsi="Times New Roman" w:cs="Times New Roman"/>
          <w:noProof/>
          <w:sz w:val="24"/>
          <w:szCs w:val="24"/>
        </w:rPr>
      </w:pPr>
      <w:r>
        <w:rPr>
          <w:rFonts w:ascii="Times New Roman" w:hAnsi="Times New Roman"/>
          <w:noProof/>
          <w:sz w:val="24"/>
        </w:rPr>
        <w:t>В този контекст е налице ново мобилизиране на усилията на всички равнища и в целия Европейски съюз. Това се осъществява, наред с другото, чрез специалната работна група по енергийна ефективност, създадена о</w:t>
      </w:r>
      <w:r>
        <w:rPr>
          <w:rFonts w:ascii="Times New Roman" w:hAnsi="Times New Roman"/>
          <w:noProof/>
          <w:sz w:val="24"/>
        </w:rPr>
        <w:t>т Комисията, успоредно с новите търгове за възобновяема енергия, които вече бяха обявени в няколко държави членки като Франция, Нидерландия и Португалия, или по-широкото използване на корпоративни споразумения за изкупуване на електроенергия, чрез които ев</w:t>
      </w:r>
      <w:r>
        <w:rPr>
          <w:rFonts w:ascii="Times New Roman" w:hAnsi="Times New Roman"/>
          <w:noProof/>
          <w:sz w:val="24"/>
        </w:rPr>
        <w:t>ропейските дружества са закупили рекордно количество ветроенергийни мощности през 2018 г. Очаква се тези мерки да доведат до резултати през следващите години.</w:t>
      </w:r>
    </w:p>
    <w:p w:rsidR="0073630F" w:rsidRDefault="00EB4AF3">
      <w:pPr>
        <w:jc w:val="both"/>
        <w:rPr>
          <w:rFonts w:ascii="Times New Roman" w:hAnsi="Times New Roman" w:cs="Times New Roman"/>
          <w:noProof/>
          <w:sz w:val="24"/>
          <w:szCs w:val="24"/>
        </w:rPr>
      </w:pPr>
      <w:r>
        <w:rPr>
          <w:rFonts w:ascii="Times New Roman" w:hAnsi="Times New Roman"/>
          <w:noProof/>
          <w:sz w:val="24"/>
        </w:rPr>
        <w:t>Биогоривата, потребявани в ЕС, продължават да се произвеждат предимно от местни суровини. Въз осн</w:t>
      </w:r>
      <w:r>
        <w:rPr>
          <w:rFonts w:ascii="Times New Roman" w:hAnsi="Times New Roman"/>
          <w:noProof/>
          <w:sz w:val="24"/>
        </w:rPr>
        <w:t>ова на критериите за устойчивост на ЕС успешно е сведен до минимум рискът от големи преки въздействия върху околната среда, свързани с биогоривата, независимо дали те са местно производство или се внасят от трети държави. През последните няколко години доб</w:t>
      </w:r>
      <w:r>
        <w:rPr>
          <w:rFonts w:ascii="Times New Roman" w:hAnsi="Times New Roman"/>
          <w:noProof/>
          <w:sz w:val="24"/>
        </w:rPr>
        <w:t>роволните схеми, признати от Европейската комисия, се превърнаха в основния инструмент за демонстриране на съответствие с критериите на ЕС за устойчивост на биогоривата, поради което те станаха предмет на засилен обществен контрол. Освен това, в RED II е з</w:t>
      </w:r>
      <w:r>
        <w:rPr>
          <w:rFonts w:ascii="Times New Roman" w:hAnsi="Times New Roman"/>
          <w:noProof/>
          <w:sz w:val="24"/>
        </w:rPr>
        <w:t>аложена подсилена рамка за устойчивост за всички употреби на биоенергията (които не се ограничават до биогоривата, а обхващат и използването на биомаса и биогаз за производството на топлинна и електрическа енергия), включително нов подход, който ограничава</w:t>
      </w:r>
      <w:r>
        <w:rPr>
          <w:rFonts w:ascii="Times New Roman" w:hAnsi="Times New Roman"/>
          <w:noProof/>
          <w:sz w:val="24"/>
        </w:rPr>
        <w:t xml:space="preserve"> ролята на биогоривата с висок риск от НПЗ. Управлението на доброволните схеми бе подсилено, включително стабилността на одитирането от трети страни.</w:t>
      </w:r>
    </w:p>
    <w:sectPr w:rsidR="007363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0F" w:rsidRDefault="00EB4AF3">
      <w:pPr>
        <w:spacing w:after="0" w:line="240" w:lineRule="auto"/>
      </w:pPr>
      <w:r>
        <w:separator/>
      </w:r>
    </w:p>
  </w:endnote>
  <w:endnote w:type="continuationSeparator" w:id="0">
    <w:p w:rsidR="0073630F" w:rsidRDefault="00EB4AF3">
      <w:pPr>
        <w:spacing w:after="0" w:line="240" w:lineRule="auto"/>
      </w:pPr>
      <w:r>
        <w:continuationSeparator/>
      </w:r>
    </w:p>
  </w:endnote>
  <w:endnote w:type="continuationNotice" w:id="1">
    <w:p w:rsidR="0073630F" w:rsidRDefault="00736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EB4AF3">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8997"/>
      <w:docPartObj>
        <w:docPartGallery w:val="Page Numbers (Bottom of Page)"/>
        <w:docPartUnique/>
      </w:docPartObj>
    </w:sdtPr>
    <w:sdtEndPr>
      <w:rPr>
        <w:noProof/>
      </w:rPr>
    </w:sdtEndPr>
    <w:sdtContent>
      <w:p w:rsidR="0073630F" w:rsidRDefault="00EB4A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3630F" w:rsidRDefault="0073630F">
    <w:pPr>
      <w:pStyle w:val="Footer"/>
      <w:tabs>
        <w:tab w:val="center" w:pos="4638"/>
      </w:tabs>
      <w:rPr>
        <w:rFonts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0F" w:rsidRDefault="00EB4AF3">
      <w:pPr>
        <w:spacing w:after="0" w:line="240" w:lineRule="auto"/>
      </w:pPr>
      <w:r>
        <w:separator/>
      </w:r>
    </w:p>
  </w:footnote>
  <w:footnote w:type="continuationSeparator" w:id="0">
    <w:p w:rsidR="0073630F" w:rsidRDefault="00EB4AF3">
      <w:pPr>
        <w:spacing w:after="0" w:line="240" w:lineRule="auto"/>
      </w:pPr>
      <w:r>
        <w:continuationSeparator/>
      </w:r>
    </w:p>
  </w:footnote>
  <w:footnote w:type="continuationNotice" w:id="1">
    <w:p w:rsidR="0073630F" w:rsidRDefault="0073630F">
      <w:pPr>
        <w:spacing w:after="0" w:line="240" w:lineRule="auto"/>
      </w:pPr>
    </w:p>
  </w:footnote>
  <w:footnote w:id="2">
    <w:p w:rsidR="0073630F" w:rsidRDefault="00EB4AF3">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hyperlink r:id="rId1">
        <w:r>
          <w:rPr>
            <w:rStyle w:val="Hyperlink"/>
          </w:rPr>
          <w:t>https://ec.europa.eu/energy/en/topics/energy-strategy-and-energy-union/clean-energy-all-europeans</w:t>
        </w:r>
      </w:hyperlink>
      <w:r>
        <w:rPr>
          <w:rFonts w:ascii="Times New Roman" w:hAnsi="Times New Roman"/>
        </w:rPr>
        <w:t xml:space="preserve"> </w:t>
      </w:r>
    </w:p>
  </w:footnote>
  <w:footnote w:id="3">
    <w:p w:rsidR="0073630F" w:rsidRDefault="00EB4AF3">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Директива 2009/28/ЕО на Европейския парламент и на Съвета от 23 април 2009 г. за насърчаване използването на енергия от възобновяеми източници, ОВ L 140, стр. 16—62 </w:t>
      </w:r>
    </w:p>
  </w:footnote>
  <w:footnote w:id="4">
    <w:p w:rsidR="0073630F" w:rsidRDefault="00EB4AF3">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https://www.eea.europa.eu/publications/renewable-energy-in-europe-2018</w:t>
        </w:r>
      </w:hyperlink>
      <w:r>
        <w:rPr>
          <w:rFonts w:ascii="Times New Roman" w:hAnsi="Times New Roman"/>
        </w:rPr>
        <w:t xml:space="preserve"> </w:t>
      </w:r>
    </w:p>
  </w:footnote>
  <w:footnote w:id="5">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773: 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w:t>
      </w:r>
    </w:p>
  </w:footnote>
  <w:footnote w:id="6">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w:t>
      </w:r>
      <w:r>
        <w:rPr>
          <w:rFonts w:ascii="Times New Roman" w:hAnsi="Times New Roman"/>
        </w:rPr>
        <w:t>ростат</w:t>
      </w:r>
    </w:p>
  </w:footnote>
  <w:footnote w:id="7">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за медиите от Energinet.dk, 31 август 2018 г.</w:t>
      </w:r>
    </w:p>
  </w:footnote>
  <w:footnote w:id="8">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hyperlink r:id="rId3">
        <w:r>
          <w:rPr>
            <w:rStyle w:val="Hyperlink"/>
            <w:rFonts w:ascii="Times New Roman" w:hAnsi="Times New Roman"/>
            <w:color w:val="000000" w:themeColor="text1"/>
          </w:rPr>
          <w:t>https://www.eea.europa.eu/publications/renewable-energy-in-europe-2018/</w:t>
        </w:r>
      </w:hyperlink>
      <w:r>
        <w:rPr>
          <w:rFonts w:ascii="Times New Roman" w:hAnsi="Times New Roman"/>
          <w:color w:val="000000" w:themeColor="text1"/>
        </w:rPr>
        <w:t xml:space="preserve"> </w:t>
      </w:r>
    </w:p>
  </w:footnote>
  <w:footnote w:id="9">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ЕАОС, оценки за 2017 г.</w:t>
      </w:r>
    </w:p>
  </w:footnote>
  <w:footnote w:id="10">
    <w:p w:rsidR="0073630F" w:rsidRDefault="00EB4AF3">
      <w:pPr>
        <w:pStyle w:val="FootnoteText"/>
        <w:rPr>
          <w:rFonts w:ascii="Times New Roman" w:hAnsi="Times New Roman" w:cs="Times New Roman"/>
        </w:rPr>
      </w:pPr>
      <w:r>
        <w:rPr>
          <w:rStyle w:val="FootnoteReference"/>
          <w:rFonts w:ascii="Times New Roman" w:hAnsi="Times New Roman"/>
          <w:color w:val="000000" w:themeColor="text1"/>
        </w:rPr>
        <w:footnoteRef/>
      </w:r>
      <w:r>
        <w:rPr>
          <w:rFonts w:ascii="Times New Roman" w:hAnsi="Times New Roman"/>
          <w:color w:val="000000" w:themeColor="text1"/>
        </w:rPr>
        <w:t xml:space="preserve"> Съвместен изследователски център (2017 г.), Monitoring R&amp;I in Low-Carbon Energy Technologies („Мониторинг на научните изследвания и иновациите в областта на нисковъглеродните енергийни технологии“), </w:t>
      </w:r>
      <w:hyperlink r:id="rId4">
        <w:r>
          <w:rPr>
            <w:rStyle w:val="Hyperlink"/>
            <w:rFonts w:ascii="Times New Roman" w:hAnsi="Times New Roman"/>
            <w:color w:val="auto"/>
          </w:rPr>
          <w:t>http://publications.jrc.ec.europa.eu/repository/handle/JRC105642</w:t>
        </w:r>
      </w:hyperlink>
      <w:r>
        <w:rPr>
          <w:rFonts w:ascii="Times New Roman" w:hAnsi="Times New Roman"/>
        </w:rPr>
        <w:t xml:space="preserve">   </w:t>
      </w:r>
    </w:p>
  </w:footnote>
  <w:footnote w:id="11">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Съединените щати, Япония, Южна Корея, Китай</w:t>
      </w:r>
    </w:p>
  </w:footnote>
  <w:footnote w:id="12">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IRENA (2019 г.), Report on </w:t>
      </w:r>
      <w:hyperlink r:id="rId5">
        <w:r>
          <w:rPr>
            <w:rStyle w:val="Hyperlink"/>
            <w:rFonts w:ascii="Times New Roman" w:hAnsi="Times New Roman"/>
            <w:color w:val="auto"/>
            <w:u w:val="none"/>
          </w:rPr>
          <w:t>Innovation landscape for a renewable-powered future:  Solutions to integrate variable renewables</w:t>
        </w:r>
      </w:hyperlink>
      <w:r>
        <w:rPr>
          <w:rStyle w:val="Hyperlink"/>
          <w:rFonts w:ascii="Times New Roman" w:hAnsi="Times New Roman"/>
          <w:color w:val="auto"/>
          <w:u w:val="none"/>
        </w:rPr>
        <w:t xml:space="preserve"> („Доклад относно състоянието на иновациите за постигане на бъдеще, захранвано от възобновяеми енергийни източници: решения за интег</w:t>
      </w:r>
      <w:r>
        <w:rPr>
          <w:rStyle w:val="Hyperlink"/>
          <w:rFonts w:ascii="Times New Roman" w:hAnsi="Times New Roman"/>
          <w:color w:val="auto"/>
          <w:u w:val="none"/>
        </w:rPr>
        <w:t xml:space="preserve">риране на непостоянни възобновяеми енергийни източници“), </w:t>
      </w:r>
      <w:r>
        <w:rPr>
          <w:rStyle w:val="Emphasis"/>
          <w:rFonts w:ascii="Times New Roman" w:hAnsi="Times New Roman"/>
          <w:i w:val="0"/>
        </w:rPr>
        <w:t>инициатива, стартирана в Брюксел на 19 февруари 2019 г.</w:t>
      </w:r>
    </w:p>
  </w:footnote>
  <w:footnote w:id="13">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Съвместен изследователски център (2017 г.), Supply chain of renewable energy technologies in Europe („Верига на доставките на технологии за възобновяема енергия в Европа“)</w:t>
      </w:r>
    </w:p>
  </w:footnote>
  <w:footnote w:id="14">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Hoogland O., Van der Lijn, N., Rademaekers, K., Gentili, P., Colozza, P., Morichi</w:t>
      </w:r>
      <w:r>
        <w:rPr>
          <w:rFonts w:ascii="Times New Roman" w:hAnsi="Times New Roman"/>
          <w:color w:val="000000" w:themeColor="text1"/>
        </w:rPr>
        <w:t>, C., 2017 г., Assessment of Photovoltaics (PV) Task F Strategies to rebuild the European PV sector („Оценка на фотоволтаичния сектор. Стратегии за възстановяване на европейския фотоволтаичен сектор. Оперативна група.“), Trinomics</w:t>
      </w:r>
    </w:p>
  </w:footnote>
  <w:footnote w:id="15">
    <w:p w:rsidR="0073630F" w:rsidRDefault="00EB4AF3">
      <w:pPr>
        <w:pStyle w:val="FootnoteText"/>
      </w:pPr>
      <w:r>
        <w:rPr>
          <w:rStyle w:val="FootnoteReference"/>
        </w:rPr>
        <w:footnoteRef/>
      </w:r>
      <w:r>
        <w:t xml:space="preserve"> </w:t>
      </w:r>
      <w:hyperlink r:id="rId6">
        <w:r>
          <w:rPr>
            <w:rStyle w:val="Hyperlink"/>
            <w:rFonts w:ascii="Times New Roman" w:hAnsi="Times New Roman"/>
          </w:rPr>
          <w:t>https://ec.europa.eu/energy/en/topics/technology-and-innovation/strategic-energy-technology-plan</w:t>
        </w:r>
      </w:hyperlink>
      <w:r>
        <w:t xml:space="preserve"> </w:t>
      </w:r>
    </w:p>
  </w:footnote>
  <w:footnote w:id="16">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Eurobserv’ER (2019) 2018 barometer. https://www.eurobserv-er.or</w:t>
      </w:r>
      <w:r>
        <w:rPr>
          <w:rFonts w:ascii="Times New Roman" w:hAnsi="Times New Roman"/>
          <w:color w:val="000000" w:themeColor="text1"/>
        </w:rPr>
        <w:t>g/18th-annual-overview-barometer/</w:t>
      </w:r>
    </w:p>
  </w:footnote>
  <w:footnote w:id="17">
    <w:p w:rsidR="0073630F" w:rsidRDefault="00EB4AF3">
      <w:pPr>
        <w:pStyle w:val="FootnoteText"/>
        <w:rPr>
          <w:rFonts w:ascii="Times New Roman" w:hAnsi="Times New Roman" w:cs="Times New Roman"/>
          <w:color w:val="000000" w:themeColor="text1"/>
        </w:rPr>
      </w:pPr>
      <w:r>
        <w:rPr>
          <w:rStyle w:val="FootnoteReference"/>
          <w:rFonts w:ascii="Times New Roman" w:hAnsi="Times New Roman"/>
          <w:color w:val="000000" w:themeColor="text1"/>
        </w:rPr>
        <w:footnoteRef/>
      </w:r>
      <w:r>
        <w:rPr>
          <w:rFonts w:ascii="Times New Roman" w:hAnsi="Times New Roman"/>
          <w:color w:val="000000" w:themeColor="text1"/>
        </w:rPr>
        <w:t xml:space="preserve"> https://ec.europa.eu/energy/en/data-analysis/energy-prices-and-costs</w:t>
      </w:r>
    </w:p>
  </w:footnote>
  <w:footnote w:id="18">
    <w:p w:rsidR="0073630F" w:rsidRDefault="00EB4AF3">
      <w:pPr>
        <w:pStyle w:val="FootnoteText"/>
      </w:pPr>
      <w:r>
        <w:rPr>
          <w:rStyle w:val="FootnoteReference"/>
          <w:rFonts w:ascii="Times New Roman" w:hAnsi="Times New Roman"/>
        </w:rPr>
        <w:footnoteRef/>
      </w:r>
      <w:r>
        <w:rPr>
          <w:rFonts w:ascii="Times New Roman" w:hAnsi="Times New Roman"/>
        </w:rPr>
        <w:t xml:space="preserve"> IRENA (2019 г.). </w:t>
      </w:r>
      <w:r>
        <w:rPr>
          <w:rFonts w:ascii="Times New Roman" w:hAnsi="Times New Roman"/>
          <w:color w:val="333333"/>
        </w:rPr>
        <w:t>A New World: the geopolitics of the energy transformation („Един нов свят: геополитика на преобразуването на енергетиката“)</w:t>
      </w:r>
    </w:p>
  </w:footnote>
  <w:footnote w:id="19">
    <w:p w:rsidR="0073630F" w:rsidRDefault="00EB4AF3">
      <w:pPr>
        <w:autoSpaceDE w:val="0"/>
        <w:autoSpaceDN w:val="0"/>
        <w:adjustRightInd w:val="0"/>
        <w:spacing w:after="0" w:line="240" w:lineRule="auto"/>
        <w:rPr>
          <w:rFonts w:ascii="Times New Roman" w:hAnsi="Times New Roman" w:cs="Times New Roman"/>
        </w:rPr>
      </w:pPr>
      <w:r>
        <w:rPr>
          <w:rStyle w:val="FootnoteReference"/>
          <w:rFonts w:ascii="Times New Roman" w:hAnsi="Times New Roman"/>
          <w:color w:val="000000" w:themeColor="text1"/>
          <w:sz w:val="20"/>
        </w:rPr>
        <w:footnoteRef/>
      </w:r>
      <w:r>
        <w:rPr>
          <w:rFonts w:ascii="Times New Roman" w:hAnsi="Times New Roman"/>
          <w:color w:val="000000" w:themeColor="text1"/>
          <w:sz w:val="20"/>
        </w:rPr>
        <w:t xml:space="preserve"> IRENA </w:t>
      </w:r>
      <w:r>
        <w:rPr>
          <w:rFonts w:ascii="Times New Roman" w:hAnsi="Times New Roman"/>
          <w:color w:val="000000" w:themeColor="text1"/>
          <w:sz w:val="20"/>
        </w:rPr>
        <w:t>(2018 г.), Off-grid Renewable Energy Solutions: Global and Regional Status and Trends („Решения за възобновяема енергия извън електропреносната мрежа: глобално и регионално състояние и тенденции“).</w:t>
      </w:r>
    </w:p>
  </w:footnote>
  <w:footnote w:id="20">
    <w:p w:rsidR="0073630F" w:rsidRDefault="00EB4AF3">
      <w:pPr>
        <w:pStyle w:val="FootnoteText"/>
        <w:rPr>
          <w:rFonts w:ascii="Times New Roman" w:hAnsi="Times New Roman" w:cs="Times New Roman"/>
        </w:rPr>
      </w:pPr>
      <w:r>
        <w:rPr>
          <w:rStyle w:val="FootnoteReference"/>
          <w:rFonts w:ascii="Times New Roman" w:hAnsi="Times New Roman"/>
          <w:color w:val="000000" w:themeColor="text1"/>
        </w:rPr>
        <w:footnoteRef/>
      </w:r>
      <w:r>
        <w:rPr>
          <w:rFonts w:ascii="Times New Roman" w:hAnsi="Times New Roman"/>
          <w:color w:val="000000" w:themeColor="text1"/>
        </w:rPr>
        <w:t xml:space="preserve"> Международна агенция по енергетика (IEA) (2017 г.), Свет</w:t>
      </w:r>
      <w:r>
        <w:rPr>
          <w:rFonts w:ascii="Times New Roman" w:hAnsi="Times New Roman"/>
          <w:color w:val="000000" w:themeColor="text1"/>
        </w:rPr>
        <w:t>овна енергийна прогноза за 2017 г. Special Report: Energy Access Outlook („Специален доклад: перспективи на достъпа до енергия“).</w:t>
      </w:r>
    </w:p>
  </w:footnote>
  <w:footnote w:id="21">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2015/1513</w:t>
      </w:r>
    </w:p>
  </w:footnote>
  <w:footnote w:id="22">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w:t>
        </w:r>
        <w:r>
          <w:rPr>
            <w:rStyle w:val="Hyperlink"/>
            <w:rFonts w:ascii="Times New Roman" w:hAnsi="Times New Roman"/>
          </w:rPr>
          <w:t>//ec.europa.eu/energy/en/topics/renewable-energy/progress-reports</w:t>
        </w:r>
      </w:hyperlink>
      <w:r>
        <w:rPr>
          <w:rFonts w:ascii="Times New Roman" w:hAnsi="Times New Roman"/>
        </w:rPr>
        <w:t xml:space="preserve"> </w:t>
      </w:r>
    </w:p>
  </w:footnote>
  <w:footnote w:id="23">
    <w:p w:rsidR="0073630F" w:rsidRDefault="00EB4AF3">
      <w:pPr>
        <w:pStyle w:val="FootnoteText"/>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https://ec.europa.eu/energy/en/topics/renewable-energy/national-action-plans</w:t>
        </w:r>
      </w:hyperlink>
      <w:r>
        <w:rPr>
          <w:rFonts w:ascii="Times New Roman" w:hAnsi="Times New Roman"/>
        </w:rPr>
        <w:t xml:space="preserve">   </w:t>
      </w:r>
    </w:p>
  </w:footnote>
  <w:footnote w:id="24">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Евростат </w:t>
      </w:r>
      <w:r>
        <w:rPr>
          <w:rFonts w:ascii="Times New Roman" w:hAnsi="Times New Roman"/>
        </w:rPr>
        <w:t>— „SHARES“, 2017 г. Използвани са коефициентите, определени в RED I.</w:t>
      </w:r>
    </w:p>
  </w:footnote>
  <w:footnote w:id="25">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Включително Норвегия</w:t>
      </w:r>
    </w:p>
  </w:footnote>
  <w:footnote w:id="26">
    <w:p w:rsidR="0073630F" w:rsidRDefault="00EB4AF3">
      <w:pPr>
        <w:pStyle w:val="FootnoteText"/>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https://ec.europa.eu/energy/en/topics/renewable-energy/progress-reports</w:t>
        </w:r>
      </w:hyperlink>
      <w:r>
        <w:rPr>
          <w:rFonts w:ascii="Times New Roman" w:hAnsi="Times New Roman"/>
        </w:rPr>
        <w:t xml:space="preserve"> </w:t>
      </w:r>
    </w:p>
  </w:footnote>
  <w:footnote w:id="27">
    <w:p w:rsidR="0073630F" w:rsidRDefault="00EB4AF3">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Navigant, 2019 г.: </w:t>
      </w:r>
      <w:hyperlink r:id="rId10">
        <w:r>
          <w:rPr>
            <w:rStyle w:val="Hyperlink"/>
            <w:rFonts w:ascii="Times New Roman" w:hAnsi="Times New Roman"/>
          </w:rPr>
          <w:t xml:space="preserve">„Technical assistance in realisation of the </w:t>
        </w:r>
        <w:r>
          <w:rPr>
            <w:rStyle w:val="Hyperlink"/>
            <w:rFonts w:ascii="Times New Roman" w:hAnsi="Times New Roman"/>
          </w:rPr>
          <w:t>4th report on progress of renewable energy in the EU“, окончателен доклад</w:t>
        </w:r>
      </w:hyperlink>
      <w:r>
        <w:rPr>
          <w:rFonts w:ascii="Times New Roman" w:hAnsi="Times New Roman"/>
        </w:rPr>
        <w:t xml:space="preserve"> </w:t>
      </w:r>
    </w:p>
  </w:footnote>
  <w:footnote w:id="28">
    <w:p w:rsidR="0073630F" w:rsidRDefault="00EB4AF3">
      <w:pPr>
        <w:pStyle w:val="FootnoteText"/>
      </w:pPr>
      <w:r>
        <w:rPr>
          <w:rStyle w:val="FootnoteReference"/>
        </w:rPr>
        <w:footnoteRef/>
      </w:r>
      <w:r>
        <w:t xml:space="preserve"> </w:t>
      </w:r>
      <w:r>
        <w:rPr>
          <w:rFonts w:ascii="Times New Roman" w:hAnsi="Times New Roman"/>
        </w:rPr>
        <w:t>В таблицата са включени само държавите членки, които са предоставили тази конкретна информация в своите доклади за напредъка.</w:t>
      </w:r>
    </w:p>
  </w:footnote>
  <w:footnote w:id="29">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Изчислението на сценария беше направено чрез прилаг</w:t>
      </w:r>
      <w:r>
        <w:rPr>
          <w:rFonts w:ascii="Times New Roman" w:hAnsi="Times New Roman"/>
        </w:rPr>
        <w:t xml:space="preserve">ане на модела Green-X, който представлява приложение за симулации за инструментите на политиката в областта на възобновяемата енергия в Европа </w:t>
      </w:r>
      <w:hyperlink r:id="rId11">
        <w:r>
          <w:rPr>
            <w:rStyle w:val="Hyperlink"/>
            <w:rFonts w:ascii="Times New Roman" w:hAnsi="Times New Roman"/>
          </w:rPr>
          <w:t>https://green-x.at/</w:t>
        </w:r>
      </w:hyperlink>
      <w:r>
        <w:rPr>
          <w:rStyle w:val="Hyperlink"/>
          <w:rFonts w:ascii="Times New Roman" w:hAnsi="Times New Roman"/>
        </w:rPr>
        <w:t>.</w:t>
      </w:r>
    </w:p>
  </w:footnote>
  <w:footnote w:id="30">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Диапазонът показва неопределеността на измерването,</w:t>
      </w:r>
      <w:r>
        <w:rPr>
          <w:rFonts w:ascii="Times New Roman" w:hAnsi="Times New Roman"/>
        </w:rPr>
        <w:t xml:space="preserve"> свързана с основния входящ параметър за основаната на модела оценка на бъдещия напредък в областта на възобновяемата енергия. Решаваща роля в това отношение имат бъдещите енергийни потребности (растеж) и прилагането на политиката.</w:t>
      </w:r>
    </w:p>
  </w:footnote>
  <w:footnote w:id="31">
    <w:p w:rsidR="0073630F" w:rsidRDefault="00EB4AF3">
      <w:pPr>
        <w:pStyle w:val="FootnoteText"/>
      </w:pPr>
      <w:r>
        <w:rPr>
          <w:rStyle w:val="FootnoteReference"/>
        </w:rPr>
        <w:footnoteRef/>
      </w:r>
      <w:r>
        <w:t xml:space="preserve"> </w:t>
      </w:r>
      <w:r>
        <w:rPr>
          <w:rFonts w:ascii="Times New Roman" w:hAnsi="Times New Roman"/>
        </w:rPr>
        <w:t xml:space="preserve">Navigant, 2019 г.: </w:t>
      </w:r>
      <w:hyperlink r:id="rId12">
        <w:r>
          <w:rPr>
            <w:rStyle w:val="Hyperlink"/>
            <w:rFonts w:ascii="Times New Roman" w:hAnsi="Times New Roman"/>
          </w:rPr>
          <w:t>„Technical assistance in realisation of the 4th report on progress of re</w:t>
        </w:r>
        <w:r>
          <w:rPr>
            <w:rStyle w:val="Hyperlink"/>
            <w:rFonts w:ascii="Times New Roman" w:hAnsi="Times New Roman"/>
          </w:rPr>
          <w:t>newable energy in the EU“, окончателен доклад</w:t>
        </w:r>
      </w:hyperlink>
    </w:p>
  </w:footnote>
  <w:footnote w:id="32">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https://ec.europa.eu/energy/en/topics/energy-strategy-and-energy-union/governance-energy-union/national-energy-climate-plans</w:t>
      </w:r>
    </w:p>
  </w:footnote>
  <w:footnote w:id="33">
    <w:p w:rsidR="0073630F" w:rsidRDefault="00EB4AF3">
      <w:pPr>
        <w:pStyle w:val="FootnoteText"/>
      </w:pPr>
      <w:r>
        <w:rPr>
          <w:rStyle w:val="FootnoteReference"/>
          <w:rFonts w:ascii="Times New Roman" w:hAnsi="Times New Roman"/>
        </w:rPr>
        <w:footnoteRef/>
      </w:r>
      <w:r>
        <w:rPr>
          <w:rFonts w:ascii="Times New Roman" w:hAnsi="Times New Roman"/>
        </w:rPr>
        <w:t xml:space="preserve"> Navigant, 2019 г.</w:t>
      </w:r>
    </w:p>
  </w:footnote>
  <w:footnote w:id="34">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Основен източник за данните и оценката, съдържащи се в този р</w:t>
      </w:r>
      <w:r>
        <w:rPr>
          <w:rFonts w:ascii="Times New Roman" w:hAnsi="Times New Roman"/>
        </w:rPr>
        <w:t>аздел: Navigant, 2019 г.: „Technical assistance in realisation of the 2018 report on biomass sustinability“ („Техническа помощ при реализиране на доклада за 2018 г. относно устойчивостта на биогоривата“), Navigant, 2019 г.</w:t>
      </w:r>
    </w:p>
  </w:footnote>
  <w:footnote w:id="35">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 анализа на суровините за би</w:t>
      </w:r>
      <w:r>
        <w:rPr>
          <w:rFonts w:ascii="Times New Roman" w:hAnsi="Times New Roman"/>
        </w:rPr>
        <w:t>огорива е отчетена международната търговия с биогорива и суровини, използвани за тяхното производство, както и оползотворяването на фуража.</w:t>
      </w:r>
    </w:p>
  </w:footnote>
  <w:footnote w:id="36">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Изчислени въз основа на временните предвиждани количества емисии вследствие на непреки промени в земеползването, д</w:t>
      </w:r>
      <w:r>
        <w:rPr>
          <w:rFonts w:ascii="Times New Roman" w:hAnsi="Times New Roman"/>
        </w:rPr>
        <w:t>ължащи се на суровини за биогорива, течни горива от биомаса и газообразни и твърди горива от биомаса (g CO2eq/MJ) в приложение VIII от Директива (ЕС) 2018/2001. За повече подробности вж. Navigant, 2019 г.</w:t>
      </w:r>
    </w:p>
  </w:footnote>
  <w:footnote w:id="37">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Wageningen Research, Netherlands Environmental As</w:t>
      </w:r>
      <w:r>
        <w:rPr>
          <w:rFonts w:ascii="Times New Roman" w:hAnsi="Times New Roman"/>
        </w:rPr>
        <w:t xml:space="preserve">sessment Agency and CENER, 2017 г., „Study on reporting requirements on biofuels and bioliquids stemming from the Directive (EU) 2015/1513“ („Проучване относно изискванията за докладване във връзка с биогоривата и течните горива от биомаса, произтичащи от </w:t>
      </w:r>
      <w:r>
        <w:rPr>
          <w:rFonts w:ascii="Times New Roman" w:hAnsi="Times New Roman"/>
        </w:rPr>
        <w:t>Директива (ЕС) 2015/1513“).</w:t>
      </w:r>
    </w:p>
  </w:footnote>
  <w:footnote w:id="38">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Следва да се отбележи обаче, че не са налични нито специфичните за отделните места данни, нито данните, свързани конкретно с въздействията върху околната среда на местно равнище от отглеждането на суровини за производството на </w:t>
      </w:r>
      <w:r>
        <w:rPr>
          <w:rFonts w:ascii="Times New Roman" w:hAnsi="Times New Roman"/>
        </w:rPr>
        <w:t>биогориво.</w:t>
      </w:r>
    </w:p>
  </w:footnote>
  <w:footnote w:id="39">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Следва да се отбележи, че настоящата обща селскостопанска политика (ОСП) значително допринася за опазването на биологичното разнообразие и насърчаването на устойчивите селскостопански системи чрез допълнителни действия, подкрепени с набор от р</w:t>
      </w:r>
      <w:r>
        <w:rPr>
          <w:rFonts w:ascii="Times New Roman" w:hAnsi="Times New Roman"/>
        </w:rPr>
        <w:t xml:space="preserve">азлични инструменти. Що се отнася до бъдещата ОСП за периода след 2020 г., една от деветте конкретни цели на ОСП е да се допринесе за защитата на биологичното разнообразие, подобряването на екосистемните услуги и опазването на местообитанията и ландшафта. </w:t>
      </w:r>
      <w:r>
        <w:rPr>
          <w:rFonts w:ascii="Times New Roman" w:hAnsi="Times New Roman"/>
        </w:rPr>
        <w:t>Политиката има за цел да увеличи равнището на амбицията по отношение на околната среда и климата.</w:t>
      </w:r>
    </w:p>
  </w:footnote>
  <w:footnote w:id="40">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Navigant, 2019 г.</w:t>
      </w:r>
    </w:p>
  </w:footnote>
  <w:footnote w:id="41">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Доклад относно състоянието на разширяването на производството на храни и фуражи от значение за производството на биогорива в световен ма</w:t>
      </w:r>
      <w:r>
        <w:rPr>
          <w:rFonts w:ascii="Times New Roman" w:hAnsi="Times New Roman"/>
        </w:rPr>
        <w:t>щаб, ЕК, 2019 г.</w:t>
      </w:r>
    </w:p>
  </w:footnote>
  <w:footnote w:id="42">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С(2019) 2055 final.</w:t>
      </w:r>
    </w:p>
  </w:footnote>
  <w:footnote w:id="43">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Следващият преглед на списъка със суровини, посочен в част А и част Б от приложение IX към директивата, ще бъде направен през юни 2021 г. с оглед добавяне на суровини, които отговарят на набор от строги критерии.</w:t>
      </w:r>
    </w:p>
  </w:footnote>
  <w:footnote w:id="44">
    <w:p w:rsidR="0073630F" w:rsidRDefault="00EB4AF3">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https://ec.europa.eu/energy/sites/ener/files/documents/voluntary_schemes_overview_february_2019.pdf</w:t>
      </w:r>
    </w:p>
  </w:footnote>
  <w:footnote w:id="45">
    <w:p w:rsidR="0073630F" w:rsidRDefault="00EB4AF3">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Съобщението на Комисията относно доброволните схеми и приетите стойности (2010/C 160/01) са изложени принципите за това как Комисията изпълнява своите з</w:t>
      </w:r>
      <w:r>
        <w:rPr>
          <w:rFonts w:ascii="Times New Roman" w:hAnsi="Times New Roman"/>
        </w:rPr>
        <w:t>адължения във връзка с подготовката на такива решения. Този документ е допълнен със съобщение относно практическото прилагане на схемата на ЕС за устойчивост на биогорива и течни горива от биомаса (2010/C 160/02).</w:t>
      </w:r>
    </w:p>
  </w:footnote>
  <w:footnote w:id="46">
    <w:p w:rsidR="0073630F" w:rsidRDefault="00EB4AF3">
      <w:pPr>
        <w:pStyle w:val="FootnoteText"/>
        <w:jc w:val="both"/>
      </w:pPr>
      <w:r>
        <w:rPr>
          <w:rStyle w:val="FootnoteReference"/>
          <w:rFonts w:ascii="Times New Roman" w:hAnsi="Times New Roman"/>
        </w:rPr>
        <w:footnoteRef/>
      </w:r>
      <w:r>
        <w:rPr>
          <w:rFonts w:ascii="Times New Roman" w:hAnsi="Times New Roman"/>
        </w:rPr>
        <w:t xml:space="preserve"> Navigant, 2019 г. Преглед на годишните доклади на доброволните схеми.</w:t>
      </w:r>
    </w:p>
  </w:footnote>
  <w:footnote w:id="47">
    <w:p w:rsidR="0073630F" w:rsidRDefault="00EB4AF3">
      <w:pPr>
        <w:pStyle w:val="FootnoteText"/>
      </w:pPr>
      <w:r>
        <w:rPr>
          <w:rStyle w:val="FootnoteReference"/>
        </w:rPr>
        <w:footnoteRef/>
      </w:r>
      <w:r>
        <w:t xml:space="preserve"> </w:t>
      </w:r>
      <w:r>
        <w:rPr>
          <w:rFonts w:ascii="Times New Roman" w:hAnsi="Times New Roman"/>
        </w:rPr>
        <w:t>Подробна информация относно процеса на признаване на доброволни схеми може да бъде намерена на следния уебсайт на Комисията:</w:t>
      </w:r>
      <w:r>
        <w:rPr>
          <w:rStyle w:val="Hyperlink"/>
          <w:rFonts w:ascii="Times New Roman" w:hAnsi="Times New Roman"/>
          <w:sz w:val="16"/>
        </w:rPr>
        <w:t xml:space="preserve"> </w:t>
      </w:r>
      <w:hyperlink r:id="rId13">
        <w:r>
          <w:rPr>
            <w:rStyle w:val="Hyperlink"/>
            <w:rFonts w:ascii="Times New Roman" w:hAnsi="Times New Roman"/>
          </w:rPr>
          <w:t>https://ec.europa.eu/energy/en/topics/renewable-energy/biofuels/voluntary-schemes</w:t>
        </w:r>
      </w:hyperlink>
      <w:r>
        <w:rPr>
          <w:rStyle w:val="Hyperlink"/>
          <w:rFonts w:ascii="Times New Roman" w:hAnsi="Times New Roman"/>
        </w:rPr>
        <w:t>.</w:t>
      </w:r>
    </w:p>
  </w:footnote>
  <w:footnote w:id="48">
    <w:p w:rsidR="0073630F" w:rsidRDefault="00EB4AF3">
      <w:pPr>
        <w:pStyle w:val="FootnoteText"/>
        <w:jc w:val="both"/>
      </w:pPr>
      <w:r>
        <w:rPr>
          <w:rStyle w:val="FootnoteReference"/>
          <w:rFonts w:ascii="Times New Roman" w:hAnsi="Times New Roman"/>
        </w:rPr>
        <w:footnoteRef/>
      </w:r>
      <w:r>
        <w:rPr>
          <w:rFonts w:ascii="Times New Roman" w:hAnsi="Times New Roman"/>
        </w:rPr>
        <w:t xml:space="preserve"> Специален доклад № 18/2016 на Европейската сметна палата от 2016 г., озаглавен „Система на ЕС за сертифициране на устойчиви биог</w:t>
      </w:r>
      <w:r>
        <w:rPr>
          <w:rFonts w:ascii="Times New Roman" w:hAnsi="Times New Roman"/>
        </w:rPr>
        <w:t>орива“.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736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EB4AF3">
    <w:pPr>
      <w:pStyle w:val="Header"/>
    </w:pPr>
    <w:r>
      <w:rPr>
        <w:noProof/>
        <w:lang w:val="fr-BE" w:eastAsia="fr-BE" w:bidi="ar-SA"/>
      </w:rPr>
      <w:drawing>
        <wp:anchor distT="0" distB="0" distL="114300" distR="114300" simplePos="0" relativeHeight="251658242" behindDoc="0" locked="1" layoutInCell="1" allowOverlap="1">
          <wp:simplePos x="0" y="0"/>
          <wp:positionH relativeFrom="page">
            <wp:posOffset>3625850</wp:posOffset>
          </wp:positionH>
          <wp:positionV relativeFrom="page">
            <wp:posOffset>395605</wp:posOffset>
          </wp:positionV>
          <wp:extent cx="2520000" cy="576000"/>
          <wp:effectExtent l="0" t="0" r="0" b="0"/>
          <wp:wrapNone/>
          <wp:docPr id="3" name="Bild 109" descr="ECOFYS Logo WTTS 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COFYS Logo WTTS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0000" cy="576000"/>
                  </a:xfrm>
                  <a:prstGeom prst="rect">
                    <a:avLst/>
                  </a:prstGeom>
                  <a:noFill/>
                  <a:ln>
                    <a:noFill/>
                  </a:ln>
                </pic:spPr>
              </pic:pic>
            </a:graphicData>
          </a:graphic>
        </wp:anchor>
      </w:drawing>
    </w:r>
    <w:r>
      <w:rPr>
        <w:noProof/>
        <w:lang w:val="fr-BE" w:eastAsia="fr-BE" w:bidi="ar-SA"/>
      </w:rPr>
      <w:drawing>
        <wp:anchor distT="0" distB="0" distL="114300" distR="114300" simplePos="0" relativeHeight="251658241" behindDoc="0" locked="1" layoutInCell="1" allowOverlap="1">
          <wp:simplePos x="0" y="0"/>
          <wp:positionH relativeFrom="page">
            <wp:posOffset>3625850</wp:posOffset>
          </wp:positionH>
          <wp:positionV relativeFrom="page">
            <wp:posOffset>395605</wp:posOffset>
          </wp:positionV>
          <wp:extent cx="2520000" cy="575122"/>
          <wp:effectExtent l="0" t="0" r="0" b="0"/>
          <wp:wrapNone/>
          <wp:docPr id="4" name="Bild 102" descr="ECOFYS Logo WTTS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COFYS Logo WTTS b/w" hidden="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0000" cy="575122"/>
                  </a:xfrm>
                  <a:prstGeom prst="rect">
                    <a:avLst/>
                  </a:prstGeom>
                  <a:noFill/>
                  <a:ln>
                    <a:noFill/>
                  </a:ln>
                </pic:spPr>
              </pic:pic>
            </a:graphicData>
          </a:graphic>
        </wp:anchor>
      </w:drawing>
    </w:r>
    <w:r>
      <w:rPr>
        <w:noProof/>
        <w:lang w:val="fr-BE" w:eastAsia="fr-BE" w:bidi="ar-SA"/>
      </w:rPr>
      <w:drawing>
        <wp:anchor distT="0" distB="0" distL="114300" distR="114300" simplePos="0" relativeHeight="251658240" behindDoc="0" locked="1" layoutInCell="1" allowOverlap="1">
          <wp:simplePos x="0" y="0"/>
          <wp:positionH relativeFrom="page">
            <wp:posOffset>4086225</wp:posOffset>
          </wp:positionH>
          <wp:positionV relativeFrom="page">
            <wp:posOffset>450215</wp:posOffset>
          </wp:positionV>
          <wp:extent cx="1969200" cy="723600"/>
          <wp:effectExtent l="0" t="0" r="0" b="635"/>
          <wp:wrapNone/>
          <wp:docPr id="5" name="Bild 99"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COFYS Logo b/w" hidden="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69200" cy="7236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0F" w:rsidRDefault="00EB4AF3">
    <w:pPr>
      <w:pStyle w:val="Header"/>
    </w:pPr>
    <w:r>
      <w:rPr>
        <w:noProof/>
        <w:lang w:val="fr-BE" w:eastAsia="fr-BE" w:bidi="ar-SA"/>
      </w:rPr>
      <w:drawing>
        <wp:anchor distT="0" distB="0" distL="114300" distR="114300" simplePos="0" relativeHeight="251658244" behindDoc="0" locked="1" layoutInCell="1" allowOverlap="1">
          <wp:simplePos x="0" y="0"/>
          <wp:positionH relativeFrom="page">
            <wp:posOffset>4087495</wp:posOffset>
          </wp:positionH>
          <wp:positionV relativeFrom="page">
            <wp:posOffset>450215</wp:posOffset>
          </wp:positionV>
          <wp:extent cx="2514600" cy="723900"/>
          <wp:effectExtent l="0" t="0" r="0" b="0"/>
          <wp:wrapNone/>
          <wp:docPr id="6" name="Bild 80" descr="ECOFYS Logo b/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COFYS Logo b/w" hidden="1"/>
                  <pic:cNvPicPr>
                    <a:picLocks noChangeAspect="1" noChangeArrowheads="1"/>
                  </pic:cNvPicPr>
                </pic:nvPicPr>
                <pic:blipFill>
                  <a:blip r:embed="rId1">
                    <a:extLst>
                      <a:ext uri="{28A0092B-C50C-407E-A947-70E740481C1C}">
                        <a14:useLocalDpi xmlns:a14="http://schemas.microsoft.com/office/drawing/2010/main" val="0"/>
                      </a:ext>
                    </a:extLst>
                  </a:blip>
                  <a:srcRect l="1335" t="4370" r="1335" b="4370"/>
                  <a:stretch>
                    <a:fillRect/>
                  </a:stretch>
                </pic:blipFill>
                <pic:spPr bwMode="auto">
                  <a:xfrm>
                    <a:off x="0" y="0"/>
                    <a:ext cx="2514600" cy="723900"/>
                  </a:xfrm>
                  <a:prstGeom prst="rect">
                    <a:avLst/>
                  </a:prstGeom>
                  <a:noFill/>
                  <a:ln>
                    <a:noFill/>
                  </a:ln>
                </pic:spPr>
              </pic:pic>
            </a:graphicData>
          </a:graphic>
        </wp:anchor>
      </w:drawing>
    </w:r>
    <w:r>
      <w:rPr>
        <w:noProof/>
        <w:lang w:val="fr-BE" w:eastAsia="fr-BE" w:bidi="ar-SA"/>
      </w:rPr>
      <w:drawing>
        <wp:anchor distT="0" distB="0" distL="114300" distR="114300" simplePos="0" relativeHeight="251658243" behindDoc="0" locked="1" layoutInCell="1" allowOverlap="1">
          <wp:simplePos x="0" y="0"/>
          <wp:positionH relativeFrom="page">
            <wp:posOffset>4086225</wp:posOffset>
          </wp:positionH>
          <wp:positionV relativeFrom="page">
            <wp:posOffset>450215</wp:posOffset>
          </wp:positionV>
          <wp:extent cx="2516505" cy="717550"/>
          <wp:effectExtent l="0" t="0" r="0" b="6350"/>
          <wp:wrapNone/>
          <wp:docPr id="7" name="Bild 79" descr="ECOFY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COFYS Logo Colour" hidden="1"/>
                  <pic:cNvPicPr>
                    <a:picLocks noChangeAspect="1" noChangeArrowheads="1"/>
                  </pic:cNvPicPr>
                </pic:nvPicPr>
                <pic:blipFill>
                  <a:blip r:embed="rId2">
                    <a:extLst>
                      <a:ext uri="{28A0092B-C50C-407E-A947-70E740481C1C}">
                        <a14:useLocalDpi xmlns:a14="http://schemas.microsoft.com/office/drawing/2010/main" val="0"/>
                      </a:ext>
                    </a:extLst>
                  </a:blip>
                  <a:srcRect l="1335" t="4370" r="1335" b="4370"/>
                  <a:stretch>
                    <a:fillRect/>
                  </a:stretch>
                </pic:blipFill>
                <pic:spPr bwMode="auto">
                  <a:xfrm>
                    <a:off x="0" y="0"/>
                    <a:ext cx="2516505" cy="717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AF"/>
    <w:multiLevelType w:val="hybridMultilevel"/>
    <w:tmpl w:val="B464EC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6D9715E"/>
    <w:multiLevelType w:val="hybridMultilevel"/>
    <w:tmpl w:val="980221A2"/>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6C21EE"/>
    <w:multiLevelType w:val="hybridMultilevel"/>
    <w:tmpl w:val="C760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D33CB"/>
    <w:multiLevelType w:val="hybridMultilevel"/>
    <w:tmpl w:val="6CC41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B41578"/>
    <w:multiLevelType w:val="hybridMultilevel"/>
    <w:tmpl w:val="AB9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43A39"/>
    <w:multiLevelType w:val="hybridMultilevel"/>
    <w:tmpl w:val="A6FC826A"/>
    <w:lvl w:ilvl="0" w:tplc="D8642F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513306"/>
    <w:multiLevelType w:val="hybridMultilevel"/>
    <w:tmpl w:val="506478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30E6AF9"/>
    <w:multiLevelType w:val="hybridMultilevel"/>
    <w:tmpl w:val="5D76CBDE"/>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94BAA"/>
    <w:multiLevelType w:val="hybridMultilevel"/>
    <w:tmpl w:val="115667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4967031"/>
    <w:multiLevelType w:val="hybridMultilevel"/>
    <w:tmpl w:val="D4C4DE1A"/>
    <w:lvl w:ilvl="0" w:tplc="04090001">
      <w:start w:val="1"/>
      <w:numFmt w:val="bullet"/>
      <w:lvlText w:val=""/>
      <w:lvlJc w:val="left"/>
      <w:pPr>
        <w:ind w:left="720" w:hanging="360"/>
      </w:pPr>
      <w:rPr>
        <w:rFonts w:ascii="Symbol" w:hAnsi="Symbol" w:hint="default"/>
        <w:lang w:val="en-US"/>
      </w:rPr>
    </w:lvl>
    <w:lvl w:ilvl="1" w:tplc="4EDA8508">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66EAB"/>
    <w:multiLevelType w:val="hybridMultilevel"/>
    <w:tmpl w:val="E30840D4"/>
    <w:lvl w:ilvl="0" w:tplc="8EC0EF94">
      <w:start w:val="1"/>
      <w:numFmt w:val="bullet"/>
      <w:lvlText w:val=""/>
      <w:lvlJc w:val="left"/>
      <w:pPr>
        <w:tabs>
          <w:tab w:val="num" w:pos="720"/>
        </w:tabs>
        <w:ind w:left="720" w:hanging="360"/>
      </w:pPr>
      <w:rPr>
        <w:rFonts w:ascii="Wingdings" w:hAnsi="Wingdings" w:hint="default"/>
      </w:rPr>
    </w:lvl>
    <w:lvl w:ilvl="1" w:tplc="81A05D08">
      <w:start w:val="244"/>
      <w:numFmt w:val="bullet"/>
      <w:lvlText w:val="•"/>
      <w:lvlJc w:val="left"/>
      <w:pPr>
        <w:tabs>
          <w:tab w:val="num" w:pos="1440"/>
        </w:tabs>
        <w:ind w:left="1440" w:hanging="360"/>
      </w:pPr>
      <w:rPr>
        <w:rFonts w:ascii="Arial" w:hAnsi="Arial" w:hint="default"/>
      </w:rPr>
    </w:lvl>
    <w:lvl w:ilvl="2" w:tplc="6CFA2202" w:tentative="1">
      <w:start w:val="1"/>
      <w:numFmt w:val="bullet"/>
      <w:lvlText w:val=""/>
      <w:lvlJc w:val="left"/>
      <w:pPr>
        <w:tabs>
          <w:tab w:val="num" w:pos="2160"/>
        </w:tabs>
        <w:ind w:left="2160" w:hanging="360"/>
      </w:pPr>
      <w:rPr>
        <w:rFonts w:ascii="Wingdings" w:hAnsi="Wingdings" w:hint="default"/>
      </w:rPr>
    </w:lvl>
    <w:lvl w:ilvl="3" w:tplc="0E0091D2" w:tentative="1">
      <w:start w:val="1"/>
      <w:numFmt w:val="bullet"/>
      <w:lvlText w:val=""/>
      <w:lvlJc w:val="left"/>
      <w:pPr>
        <w:tabs>
          <w:tab w:val="num" w:pos="2880"/>
        </w:tabs>
        <w:ind w:left="2880" w:hanging="360"/>
      </w:pPr>
      <w:rPr>
        <w:rFonts w:ascii="Wingdings" w:hAnsi="Wingdings" w:hint="default"/>
      </w:rPr>
    </w:lvl>
    <w:lvl w:ilvl="4" w:tplc="CED67C7A" w:tentative="1">
      <w:start w:val="1"/>
      <w:numFmt w:val="bullet"/>
      <w:lvlText w:val=""/>
      <w:lvlJc w:val="left"/>
      <w:pPr>
        <w:tabs>
          <w:tab w:val="num" w:pos="3600"/>
        </w:tabs>
        <w:ind w:left="3600" w:hanging="360"/>
      </w:pPr>
      <w:rPr>
        <w:rFonts w:ascii="Wingdings" w:hAnsi="Wingdings" w:hint="default"/>
      </w:rPr>
    </w:lvl>
    <w:lvl w:ilvl="5" w:tplc="DCFA0DDE" w:tentative="1">
      <w:start w:val="1"/>
      <w:numFmt w:val="bullet"/>
      <w:lvlText w:val=""/>
      <w:lvlJc w:val="left"/>
      <w:pPr>
        <w:tabs>
          <w:tab w:val="num" w:pos="4320"/>
        </w:tabs>
        <w:ind w:left="4320" w:hanging="360"/>
      </w:pPr>
      <w:rPr>
        <w:rFonts w:ascii="Wingdings" w:hAnsi="Wingdings" w:hint="default"/>
      </w:rPr>
    </w:lvl>
    <w:lvl w:ilvl="6" w:tplc="6E66DE3E" w:tentative="1">
      <w:start w:val="1"/>
      <w:numFmt w:val="bullet"/>
      <w:lvlText w:val=""/>
      <w:lvlJc w:val="left"/>
      <w:pPr>
        <w:tabs>
          <w:tab w:val="num" w:pos="5040"/>
        </w:tabs>
        <w:ind w:left="5040" w:hanging="360"/>
      </w:pPr>
      <w:rPr>
        <w:rFonts w:ascii="Wingdings" w:hAnsi="Wingdings" w:hint="default"/>
      </w:rPr>
    </w:lvl>
    <w:lvl w:ilvl="7" w:tplc="82D6BF40" w:tentative="1">
      <w:start w:val="1"/>
      <w:numFmt w:val="bullet"/>
      <w:lvlText w:val=""/>
      <w:lvlJc w:val="left"/>
      <w:pPr>
        <w:tabs>
          <w:tab w:val="num" w:pos="5760"/>
        </w:tabs>
        <w:ind w:left="5760" w:hanging="360"/>
      </w:pPr>
      <w:rPr>
        <w:rFonts w:ascii="Wingdings" w:hAnsi="Wingdings" w:hint="default"/>
      </w:rPr>
    </w:lvl>
    <w:lvl w:ilvl="8" w:tplc="819810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C4C9A"/>
    <w:multiLevelType w:val="hybridMultilevel"/>
    <w:tmpl w:val="8EEA27E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33260FC"/>
    <w:multiLevelType w:val="hybridMultilevel"/>
    <w:tmpl w:val="E3086BCC"/>
    <w:lvl w:ilvl="0" w:tplc="08090017">
      <w:start w:val="1"/>
      <w:numFmt w:val="lowerLetter"/>
      <w:lvlText w:val="%1)"/>
      <w:lvlJc w:val="left"/>
      <w:pPr>
        <w:ind w:left="1353"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5B3F5C66"/>
    <w:multiLevelType w:val="hybridMultilevel"/>
    <w:tmpl w:val="212856A8"/>
    <w:lvl w:ilvl="0" w:tplc="0809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C31C9"/>
    <w:multiLevelType w:val="hybridMultilevel"/>
    <w:tmpl w:val="4B545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7E016EB"/>
    <w:multiLevelType w:val="hybridMultilevel"/>
    <w:tmpl w:val="D4D6AEFE"/>
    <w:lvl w:ilvl="0" w:tplc="EE12E508">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91C7667"/>
    <w:multiLevelType w:val="hybridMultilevel"/>
    <w:tmpl w:val="4F086370"/>
    <w:lvl w:ilvl="0" w:tplc="0809000F">
      <w:start w:val="1"/>
      <w:numFmt w:val="decimal"/>
      <w:lvlText w:val="%1."/>
      <w:lvlJc w:val="left"/>
      <w:pPr>
        <w:ind w:left="720" w:hanging="360"/>
      </w:pPr>
      <w:rPr>
        <w:rFonts w:hint="default"/>
      </w:rPr>
    </w:lvl>
    <w:lvl w:ilvl="1" w:tplc="E9421FA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E29AA"/>
    <w:multiLevelType w:val="hybridMultilevel"/>
    <w:tmpl w:val="275EC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15"/>
  </w:num>
  <w:num w:numId="6">
    <w:abstractNumId w:val="15"/>
  </w:num>
  <w:num w:numId="7">
    <w:abstractNumId w:val="15"/>
  </w:num>
  <w:num w:numId="8">
    <w:abstractNumId w:val="15"/>
  </w:num>
  <w:num w:numId="9">
    <w:abstractNumId w:val="15"/>
    <w:lvlOverride w:ilvl="0">
      <w:startOverride w:val="1"/>
    </w:lvlOverride>
  </w:num>
  <w:num w:numId="10">
    <w:abstractNumId w:val="0"/>
  </w:num>
  <w:num w:numId="11">
    <w:abstractNumId w:val="4"/>
  </w:num>
  <w:num w:numId="12">
    <w:abstractNumId w:val="13"/>
  </w:num>
  <w:num w:numId="13">
    <w:abstractNumId w:val="12"/>
  </w:num>
  <w:num w:numId="14">
    <w:abstractNumId w:val="10"/>
  </w:num>
  <w:num w:numId="15">
    <w:abstractNumId w:val="16"/>
  </w:num>
  <w:num w:numId="16">
    <w:abstractNumId w:val="17"/>
  </w:num>
  <w:num w:numId="17">
    <w:abstractNumId w:val="8"/>
  </w:num>
  <w:num w:numId="18">
    <w:abstractNumId w:val="6"/>
  </w:num>
  <w:num w:numId="19">
    <w:abstractNumId w:val="3"/>
  </w:num>
  <w:num w:numId="20">
    <w:abstractNumId w:val="2"/>
  </w:num>
  <w:num w:numId="21">
    <w:abstractNumId w:val="15"/>
  </w:num>
  <w:num w:numId="22">
    <w:abstractNumId w:val="15"/>
  </w:num>
  <w:num w:numId="23">
    <w:abstractNumId w:val="15"/>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15"/>
    <w:lvlOverride w:ilvl="0">
      <w:startOverride w:val="1"/>
    </w:lvlOverride>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268402-87FE-45E0-AB8E-A43185E6FF04"/>
    <w:docVar w:name="LW_COVERPAGE_TYPE" w:val="1"/>
    <w:docVar w:name="LW_CROSSREFERENCE" w:val="&lt;UNUSED&gt;"/>
    <w:docVar w:name="LW_DocType" w:val="NORMAL"/>
    <w:docVar w:name="LW_EMISSION" w:val="9.4.2019"/>
    <w:docVar w:name="LW_EMISSION_ISODATE" w:val="2019-04-09"/>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4?\u1086?\u1082?\u1083?\u1072?\u1076? \u1079?\u1072? \u1085?\u1072?\u1087?\u1088?\u1077?\u1076?\u1098?\u1082?\u1072? \u1074? \u1086?\u1073?\u1083?\u1072?\u1089?\u1090?\u1090?\u1072? \u1085?\u1072? \u1074?\u1098?\u1079?\u1086?\u1073?\u1085?\u1086?\u1074?\u1103?\u1077?\u1084?\u1072?\u1090?\u1072? \u1077?\u1085?\u1077?\u1088?\u1075?\u1080?\u1103?&lt;/FMT&gt;_x000b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73630F"/>
    <w:rsid w:val="0073630F"/>
    <w:rsid w:val="00EB4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8146F41-F187-4976-A35E-E7829A5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rPr>
      <w:sz w:val="20"/>
      <w:szCs w:val="20"/>
    </w:rPr>
  </w:style>
  <w:style w:type="character" w:styleId="FootnoteReference">
    <w:name w:val="footnote reference"/>
    <w:aliases w:val="number,SUPERS,Footnote Reference Superscript,stylish,Footnote symbol,Footnote Reference Number,Footnote reference number,note TESI,-E Fußnotenzeichen,ftref,EN Footnote Reference,(Diplomarbeit FZ),(Diplomarbeit FZ)1,(Diplomarbeit FZ)2"/>
    <w:basedOn w:val="DefaultParagraphFont"/>
    <w:uiPriority w:val="99"/>
    <w:unhideWhenUsed/>
    <w:qFormat/>
    <w:rPr>
      <w:vertAlign w:val="superscript"/>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customStyle="1" w:styleId="Tablestylegreen2">
    <w:name w:val="Tablestyle_green2"/>
    <w:basedOn w:val="TableNormal"/>
    <w:pPr>
      <w:spacing w:before="100" w:beforeAutospacing="1" w:after="100" w:afterAutospacing="1" w:line="240" w:lineRule="auto"/>
      <w:contextualSpacing/>
    </w:pPr>
    <w:rPr>
      <w:rFonts w:ascii="Arial" w:eastAsia="Times New Roman" w:hAnsi="Arial" w:cs="Times New Roman"/>
      <w:color w:val="000000"/>
      <w:sz w:val="16"/>
      <w:szCs w:val="18"/>
    </w:rPr>
    <w:tblPr>
      <w:tblStyleRowBandSize w:val="1"/>
      <w:tblStyleColBandSize w:val="1"/>
      <w:tblInd w:w="108" w:type="dxa"/>
      <w:tblBorders>
        <w:bottom w:val="single" w:sz="18" w:space="0" w:color="648C1A"/>
      </w:tblBorders>
    </w:tblPr>
    <w:tcPr>
      <w:vAlign w:val="center"/>
    </w:tcPr>
    <w:tblStylePr w:type="firstRow">
      <w:rPr>
        <w:rFonts w:ascii="Arial" w:hAnsi="Arial"/>
        <w:b w:val="0"/>
        <w:color w:val="000000"/>
        <w:sz w:val="16"/>
      </w:rPr>
      <w:tblPr/>
      <w:tcPr>
        <w:tcBorders>
          <w:top w:val="single" w:sz="4" w:space="0" w:color="8B8D8E"/>
          <w:left w:val="single" w:sz="4" w:space="0" w:color="8B8D8E"/>
          <w:bottom w:val="single" w:sz="4" w:space="0" w:color="8B8D8E"/>
          <w:right w:val="single" w:sz="4" w:space="0" w:color="8B8D8E"/>
          <w:insideH w:val="single" w:sz="4" w:space="0" w:color="8B8D8E"/>
          <w:insideV w:val="single" w:sz="4" w:space="0" w:color="8B8D8E"/>
          <w:tl2br w:val="nil"/>
          <w:tr2bl w:val="nil"/>
        </w:tcBorders>
      </w:tcPr>
    </w:tblStylePr>
    <w:tblStylePr w:type="lastRow">
      <w:rPr>
        <w:rFonts w:ascii="Arial" w:hAnsi="Arial"/>
        <w:sz w:val="16"/>
      </w:rPr>
      <w:tblPr/>
      <w:tcPr>
        <w:tcBorders>
          <w:top w:val="nil"/>
          <w:left w:val="single" w:sz="4" w:space="0" w:color="8B8D8E"/>
          <w:bottom w:val="single" w:sz="18" w:space="0" w:color="648C1A"/>
          <w:right w:val="single" w:sz="4" w:space="0" w:color="8B8D8E"/>
          <w:insideH w:val="nil"/>
          <w:insideV w:val="single" w:sz="4" w:space="0" w:color="8B8D8E"/>
          <w:tl2br w:val="nil"/>
          <w:tr2bl w:val="nil"/>
        </w:tcBorders>
      </w:tcPr>
    </w:tblStylePr>
    <w:tblStylePr w:type="firstCol">
      <w:rPr>
        <w:rFonts w:ascii="Arial" w:hAnsi="Arial"/>
        <w:b/>
        <w:i w:val="0"/>
        <w:color w:val="FFFFFF"/>
        <w:sz w:val="16"/>
      </w:rPr>
      <w:tblPr/>
      <w:tcPr>
        <w:tcBorders>
          <w:bottom w:val="nil"/>
          <w:insideH w:val="single" w:sz="4" w:space="0" w:color="FFFFFF" w:themeColor="background1"/>
        </w:tcBorders>
        <w:shd w:val="clear" w:color="auto" w:fill="648C1A"/>
      </w:tc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Arial" w:hAnsi="Aria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Arial" w:hAnsi="Arial"/>
      </w:rPr>
    </w:tblStylePr>
    <w:tblStylePr w:type="nwCell">
      <w:rPr>
        <w:rFonts w:ascii="Arial" w:hAnsi="Arial"/>
        <w:b/>
        <w:color w:val="FFFFFF"/>
        <w:sz w:val="16"/>
      </w:rPr>
      <w:tblPr/>
      <w:tcPr>
        <w:tcBorders>
          <w:top w:val="single" w:sz="4" w:space="0" w:color="7AB800"/>
          <w:left w:val="single" w:sz="4" w:space="0" w:color="7AB800"/>
          <w:bottom w:val="single" w:sz="4" w:space="0" w:color="FFFFFF"/>
          <w:right w:val="single" w:sz="4" w:space="0" w:color="7AB800"/>
          <w:insideH w:val="nil"/>
          <w:insideV w:val="nil"/>
          <w:tl2br w:val="nil"/>
          <w:tr2bl w:val="nil"/>
        </w:tcBorders>
      </w:tcPr>
    </w:tblStylePr>
    <w:tblStylePr w:type="seCell">
      <w:rPr>
        <w:rFonts w:ascii="Arial" w:hAnsi="Arial"/>
      </w:rPr>
    </w:tblStylePr>
    <w:tblStylePr w:type="swCell">
      <w:rPr>
        <w:rFonts w:ascii="Arial" w:hAnsi="Arial"/>
      </w:rPr>
      <w:tblPr/>
      <w:tcPr>
        <w:tcBorders>
          <w:top w:val="single" w:sz="4" w:space="0" w:color="FFFFFF"/>
          <w:left w:val="single" w:sz="4" w:space="0" w:color="7AB800"/>
          <w:bottom w:val="single" w:sz="18" w:space="0" w:color="648C1A"/>
          <w:right w:val="single" w:sz="4" w:space="0" w:color="7AB800"/>
          <w:insideH w:val="nil"/>
          <w:insideV w:val="nil"/>
          <w:tl2br w:val="nil"/>
          <w:tr2bl w:val="nil"/>
        </w:tcBorders>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
    <w:name w:val="m"/>
    <w:basedOn w:val="Normal"/>
    <w:pPr>
      <w:jc w:val="both"/>
    </w:pPr>
    <w:rPr>
      <w:rFonts w:ascii="Times New Roman" w:hAnsi="Times New Roman" w:cs="Times New Roman"/>
      <w:b/>
      <w:sz w:val="24"/>
      <w:szCs w:val="24"/>
      <w:u w:val="single"/>
    </w:rPr>
  </w:style>
  <w:style w:type="character" w:customStyle="1" w:styleId="Heading1Char">
    <w:name w:val="Heading 1 Char"/>
    <w:basedOn w:val="DefaultParagraphFont"/>
    <w:link w:val="Heading1"/>
    <w:rPr>
      <w:rFonts w:ascii="Times New Roman" w:hAnsi="Times New Roman" w:cs="Times New Roman"/>
      <w:b/>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table" w:customStyle="1" w:styleId="Tablestylegreen">
    <w:name w:val="Tablestyle_green"/>
    <w:basedOn w:val="TableNormal"/>
    <w:pPr>
      <w:spacing w:before="100" w:beforeAutospacing="1" w:after="100" w:afterAutospacing="1" w:line="283" w:lineRule="atLeast"/>
      <w:contextualSpacing/>
    </w:pPr>
    <w:rPr>
      <w:rFonts w:ascii="Verdana" w:eastAsia="Times New Roman" w:hAnsi="Verdana" w:cs="Times New Roman"/>
      <w:color w:val="000000"/>
      <w:sz w:val="16"/>
      <w:szCs w:val="20"/>
    </w:rPr>
    <w:tblPr>
      <w:tblStyleRowBandSize w:val="1"/>
      <w:tblStyleColBandSize w:val="1"/>
      <w:tblInd w:w="108" w:type="dxa"/>
    </w:tblPr>
    <w:tcPr>
      <w:vAlign w:val="center"/>
    </w:tcPr>
    <w:tblStylePr w:type="firstRow">
      <w:rPr>
        <w:rFonts w:ascii="Cambria" w:hAnsi="Cambria"/>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Cambria" w:hAnsi="Cambria"/>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firstCol">
      <w:rPr>
        <w:rFonts w:ascii="Cambria" w:hAnsi="Cambria"/>
        <w:sz w:val="16"/>
      </w:rPr>
    </w:tblStylePr>
    <w:tblStylePr w:type="lastCol">
      <w:rPr>
        <w:rFonts w:ascii="Cambria" w:hAnsi="Cambria"/>
        <w:sz w:val="16"/>
      </w:rPr>
    </w:tblStylePr>
    <w:tblStylePr w:type="band1Vert">
      <w:rPr>
        <w:rFonts w:ascii="Cambria" w:hAnsi="Cambria"/>
        <w:sz w:val="16"/>
      </w:rPr>
    </w:tblStylePr>
    <w:tblStylePr w:type="band2Vert">
      <w:rPr>
        <w:rFonts w:ascii="Cambria" w:hAnsi="Cambria"/>
        <w:sz w:val="16"/>
      </w:rPr>
    </w:tblStylePr>
    <w:tblStylePr w:type="band1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Cambria" w:hAnsi="Cambria"/>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neCell">
      <w:rPr>
        <w:rFonts w:ascii="Cambria" w:hAnsi="Cambria"/>
        <w:sz w:val="16"/>
      </w:rPr>
    </w:tblStylePr>
    <w:tblStylePr w:type="nwCell">
      <w:rPr>
        <w:rFonts w:ascii="Cambria" w:hAnsi="Cambria"/>
        <w:sz w:val="16"/>
      </w:rPr>
    </w:tblStylePr>
    <w:tblStylePr w:type="seCell">
      <w:rPr>
        <w:rFonts w:ascii="Cambria" w:hAnsi="Cambria"/>
        <w:sz w:val="16"/>
      </w:rPr>
    </w:tblStylePr>
    <w:tblStylePr w:type="swCell">
      <w:rPr>
        <w:rFonts w:ascii="Cambria" w:hAnsi="Cambria"/>
        <w:sz w:val="16"/>
      </w:rPr>
    </w:tblStyle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basedOn w:val="DefaultParagraphFont"/>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645">
      <w:bodyDiv w:val="1"/>
      <w:marLeft w:val="0"/>
      <w:marRight w:val="0"/>
      <w:marTop w:val="0"/>
      <w:marBottom w:val="0"/>
      <w:divBdr>
        <w:top w:val="none" w:sz="0" w:space="0" w:color="auto"/>
        <w:left w:val="none" w:sz="0" w:space="0" w:color="auto"/>
        <w:bottom w:val="none" w:sz="0" w:space="0" w:color="auto"/>
        <w:right w:val="none" w:sz="0" w:space="0" w:color="auto"/>
      </w:divBdr>
    </w:div>
    <w:div w:id="164974368">
      <w:bodyDiv w:val="1"/>
      <w:marLeft w:val="0"/>
      <w:marRight w:val="0"/>
      <w:marTop w:val="0"/>
      <w:marBottom w:val="0"/>
      <w:divBdr>
        <w:top w:val="none" w:sz="0" w:space="0" w:color="auto"/>
        <w:left w:val="none" w:sz="0" w:space="0" w:color="auto"/>
        <w:bottom w:val="none" w:sz="0" w:space="0" w:color="auto"/>
        <w:right w:val="none" w:sz="0" w:space="0" w:color="auto"/>
      </w:divBdr>
    </w:div>
    <w:div w:id="225191113">
      <w:bodyDiv w:val="1"/>
      <w:marLeft w:val="0"/>
      <w:marRight w:val="0"/>
      <w:marTop w:val="0"/>
      <w:marBottom w:val="0"/>
      <w:divBdr>
        <w:top w:val="none" w:sz="0" w:space="0" w:color="auto"/>
        <w:left w:val="none" w:sz="0" w:space="0" w:color="auto"/>
        <w:bottom w:val="none" w:sz="0" w:space="0" w:color="auto"/>
        <w:right w:val="none" w:sz="0" w:space="0" w:color="auto"/>
      </w:divBdr>
    </w:div>
    <w:div w:id="320473223">
      <w:bodyDiv w:val="1"/>
      <w:marLeft w:val="0"/>
      <w:marRight w:val="0"/>
      <w:marTop w:val="0"/>
      <w:marBottom w:val="0"/>
      <w:divBdr>
        <w:top w:val="none" w:sz="0" w:space="0" w:color="auto"/>
        <w:left w:val="none" w:sz="0" w:space="0" w:color="auto"/>
        <w:bottom w:val="none" w:sz="0" w:space="0" w:color="auto"/>
        <w:right w:val="none" w:sz="0" w:space="0" w:color="auto"/>
      </w:divBdr>
    </w:div>
    <w:div w:id="394857189">
      <w:bodyDiv w:val="1"/>
      <w:marLeft w:val="0"/>
      <w:marRight w:val="0"/>
      <w:marTop w:val="0"/>
      <w:marBottom w:val="0"/>
      <w:divBdr>
        <w:top w:val="none" w:sz="0" w:space="0" w:color="auto"/>
        <w:left w:val="none" w:sz="0" w:space="0" w:color="auto"/>
        <w:bottom w:val="none" w:sz="0" w:space="0" w:color="auto"/>
        <w:right w:val="none" w:sz="0" w:space="0" w:color="auto"/>
      </w:divBdr>
      <w:divsChild>
        <w:div w:id="902058367">
          <w:marLeft w:val="446"/>
          <w:marRight w:val="0"/>
          <w:marTop w:val="0"/>
          <w:marBottom w:val="0"/>
          <w:divBdr>
            <w:top w:val="none" w:sz="0" w:space="0" w:color="auto"/>
            <w:left w:val="none" w:sz="0" w:space="0" w:color="auto"/>
            <w:bottom w:val="none" w:sz="0" w:space="0" w:color="auto"/>
            <w:right w:val="none" w:sz="0" w:space="0" w:color="auto"/>
          </w:divBdr>
        </w:div>
        <w:div w:id="1232037879">
          <w:marLeft w:val="1166"/>
          <w:marRight w:val="0"/>
          <w:marTop w:val="120"/>
          <w:marBottom w:val="0"/>
          <w:divBdr>
            <w:top w:val="none" w:sz="0" w:space="0" w:color="auto"/>
            <w:left w:val="none" w:sz="0" w:space="0" w:color="auto"/>
            <w:bottom w:val="none" w:sz="0" w:space="0" w:color="auto"/>
            <w:right w:val="none" w:sz="0" w:space="0" w:color="auto"/>
          </w:divBdr>
        </w:div>
        <w:div w:id="1272587569">
          <w:marLeft w:val="1166"/>
          <w:marRight w:val="0"/>
          <w:marTop w:val="120"/>
          <w:marBottom w:val="0"/>
          <w:divBdr>
            <w:top w:val="none" w:sz="0" w:space="0" w:color="auto"/>
            <w:left w:val="none" w:sz="0" w:space="0" w:color="auto"/>
            <w:bottom w:val="none" w:sz="0" w:space="0" w:color="auto"/>
            <w:right w:val="none" w:sz="0" w:space="0" w:color="auto"/>
          </w:divBdr>
        </w:div>
        <w:div w:id="1600016838">
          <w:marLeft w:val="1166"/>
          <w:marRight w:val="0"/>
          <w:marTop w:val="120"/>
          <w:marBottom w:val="0"/>
          <w:divBdr>
            <w:top w:val="none" w:sz="0" w:space="0" w:color="auto"/>
            <w:left w:val="none" w:sz="0" w:space="0" w:color="auto"/>
            <w:bottom w:val="none" w:sz="0" w:space="0" w:color="auto"/>
            <w:right w:val="none" w:sz="0" w:space="0" w:color="auto"/>
          </w:divBdr>
        </w:div>
        <w:div w:id="1443575271">
          <w:marLeft w:val="1166"/>
          <w:marRight w:val="0"/>
          <w:marTop w:val="120"/>
          <w:marBottom w:val="0"/>
          <w:divBdr>
            <w:top w:val="none" w:sz="0" w:space="0" w:color="auto"/>
            <w:left w:val="none" w:sz="0" w:space="0" w:color="auto"/>
            <w:bottom w:val="none" w:sz="0" w:space="0" w:color="auto"/>
            <w:right w:val="none" w:sz="0" w:space="0" w:color="auto"/>
          </w:divBdr>
        </w:div>
        <w:div w:id="2097700191">
          <w:marLeft w:val="446"/>
          <w:marRight w:val="0"/>
          <w:marTop w:val="0"/>
          <w:marBottom w:val="0"/>
          <w:divBdr>
            <w:top w:val="none" w:sz="0" w:space="0" w:color="auto"/>
            <w:left w:val="none" w:sz="0" w:space="0" w:color="auto"/>
            <w:bottom w:val="none" w:sz="0" w:space="0" w:color="auto"/>
            <w:right w:val="none" w:sz="0" w:space="0" w:color="auto"/>
          </w:divBdr>
        </w:div>
        <w:div w:id="346250767">
          <w:marLeft w:val="446"/>
          <w:marRight w:val="0"/>
          <w:marTop w:val="0"/>
          <w:marBottom w:val="0"/>
          <w:divBdr>
            <w:top w:val="none" w:sz="0" w:space="0" w:color="auto"/>
            <w:left w:val="none" w:sz="0" w:space="0" w:color="auto"/>
            <w:bottom w:val="none" w:sz="0" w:space="0" w:color="auto"/>
            <w:right w:val="none" w:sz="0" w:space="0" w:color="auto"/>
          </w:divBdr>
        </w:div>
        <w:div w:id="593049214">
          <w:marLeft w:val="446"/>
          <w:marRight w:val="0"/>
          <w:marTop w:val="0"/>
          <w:marBottom w:val="0"/>
          <w:divBdr>
            <w:top w:val="none" w:sz="0" w:space="0" w:color="auto"/>
            <w:left w:val="none" w:sz="0" w:space="0" w:color="auto"/>
            <w:bottom w:val="none" w:sz="0" w:space="0" w:color="auto"/>
            <w:right w:val="none" w:sz="0" w:space="0" w:color="auto"/>
          </w:divBdr>
        </w:div>
      </w:divsChild>
    </w:div>
    <w:div w:id="461772440">
      <w:bodyDiv w:val="1"/>
      <w:marLeft w:val="0"/>
      <w:marRight w:val="0"/>
      <w:marTop w:val="0"/>
      <w:marBottom w:val="0"/>
      <w:divBdr>
        <w:top w:val="none" w:sz="0" w:space="0" w:color="auto"/>
        <w:left w:val="none" w:sz="0" w:space="0" w:color="auto"/>
        <w:bottom w:val="none" w:sz="0" w:space="0" w:color="auto"/>
        <w:right w:val="none" w:sz="0" w:space="0" w:color="auto"/>
      </w:divBdr>
    </w:div>
    <w:div w:id="657808420">
      <w:bodyDiv w:val="1"/>
      <w:marLeft w:val="0"/>
      <w:marRight w:val="0"/>
      <w:marTop w:val="0"/>
      <w:marBottom w:val="0"/>
      <w:divBdr>
        <w:top w:val="none" w:sz="0" w:space="0" w:color="auto"/>
        <w:left w:val="none" w:sz="0" w:space="0" w:color="auto"/>
        <w:bottom w:val="none" w:sz="0" w:space="0" w:color="auto"/>
        <w:right w:val="none" w:sz="0" w:space="0" w:color="auto"/>
      </w:divBdr>
    </w:div>
    <w:div w:id="790173814">
      <w:bodyDiv w:val="1"/>
      <w:marLeft w:val="0"/>
      <w:marRight w:val="0"/>
      <w:marTop w:val="0"/>
      <w:marBottom w:val="0"/>
      <w:divBdr>
        <w:top w:val="none" w:sz="0" w:space="0" w:color="auto"/>
        <w:left w:val="none" w:sz="0" w:space="0" w:color="auto"/>
        <w:bottom w:val="none" w:sz="0" w:space="0" w:color="auto"/>
        <w:right w:val="none" w:sz="0" w:space="0" w:color="auto"/>
      </w:divBdr>
      <w:divsChild>
        <w:div w:id="105933229">
          <w:marLeft w:val="0"/>
          <w:marRight w:val="0"/>
          <w:marTop w:val="0"/>
          <w:marBottom w:val="0"/>
          <w:divBdr>
            <w:top w:val="none" w:sz="0" w:space="0" w:color="auto"/>
            <w:left w:val="none" w:sz="0" w:space="0" w:color="auto"/>
            <w:bottom w:val="none" w:sz="0" w:space="0" w:color="auto"/>
            <w:right w:val="none" w:sz="0" w:space="0" w:color="auto"/>
          </w:divBdr>
        </w:div>
        <w:div w:id="723679239">
          <w:marLeft w:val="0"/>
          <w:marRight w:val="0"/>
          <w:marTop w:val="0"/>
          <w:marBottom w:val="0"/>
          <w:divBdr>
            <w:top w:val="none" w:sz="0" w:space="0" w:color="auto"/>
            <w:left w:val="none" w:sz="0" w:space="0" w:color="auto"/>
            <w:bottom w:val="none" w:sz="0" w:space="0" w:color="auto"/>
            <w:right w:val="none" w:sz="0" w:space="0" w:color="auto"/>
          </w:divBdr>
        </w:div>
        <w:div w:id="1353192411">
          <w:marLeft w:val="0"/>
          <w:marRight w:val="0"/>
          <w:marTop w:val="0"/>
          <w:marBottom w:val="0"/>
          <w:divBdr>
            <w:top w:val="none" w:sz="0" w:space="0" w:color="auto"/>
            <w:left w:val="none" w:sz="0" w:space="0" w:color="auto"/>
            <w:bottom w:val="none" w:sz="0" w:space="0" w:color="auto"/>
            <w:right w:val="none" w:sz="0" w:space="0" w:color="auto"/>
          </w:divBdr>
        </w:div>
        <w:div w:id="1339038297">
          <w:marLeft w:val="0"/>
          <w:marRight w:val="0"/>
          <w:marTop w:val="0"/>
          <w:marBottom w:val="0"/>
          <w:divBdr>
            <w:top w:val="none" w:sz="0" w:space="0" w:color="auto"/>
            <w:left w:val="none" w:sz="0" w:space="0" w:color="auto"/>
            <w:bottom w:val="none" w:sz="0" w:space="0" w:color="auto"/>
            <w:right w:val="none" w:sz="0" w:space="0" w:color="auto"/>
          </w:divBdr>
        </w:div>
        <w:div w:id="1463038868">
          <w:marLeft w:val="0"/>
          <w:marRight w:val="0"/>
          <w:marTop w:val="0"/>
          <w:marBottom w:val="0"/>
          <w:divBdr>
            <w:top w:val="none" w:sz="0" w:space="0" w:color="auto"/>
            <w:left w:val="none" w:sz="0" w:space="0" w:color="auto"/>
            <w:bottom w:val="none" w:sz="0" w:space="0" w:color="auto"/>
            <w:right w:val="none" w:sz="0" w:space="0" w:color="auto"/>
          </w:divBdr>
        </w:div>
        <w:div w:id="1090080788">
          <w:marLeft w:val="0"/>
          <w:marRight w:val="0"/>
          <w:marTop w:val="0"/>
          <w:marBottom w:val="0"/>
          <w:divBdr>
            <w:top w:val="none" w:sz="0" w:space="0" w:color="auto"/>
            <w:left w:val="none" w:sz="0" w:space="0" w:color="auto"/>
            <w:bottom w:val="none" w:sz="0" w:space="0" w:color="auto"/>
            <w:right w:val="none" w:sz="0" w:space="0" w:color="auto"/>
          </w:divBdr>
        </w:div>
      </w:divsChild>
    </w:div>
    <w:div w:id="870532033">
      <w:bodyDiv w:val="1"/>
      <w:marLeft w:val="0"/>
      <w:marRight w:val="0"/>
      <w:marTop w:val="0"/>
      <w:marBottom w:val="0"/>
      <w:divBdr>
        <w:top w:val="none" w:sz="0" w:space="0" w:color="auto"/>
        <w:left w:val="none" w:sz="0" w:space="0" w:color="auto"/>
        <w:bottom w:val="none" w:sz="0" w:space="0" w:color="auto"/>
        <w:right w:val="none" w:sz="0" w:space="0" w:color="auto"/>
      </w:divBdr>
    </w:div>
    <w:div w:id="892428815">
      <w:bodyDiv w:val="1"/>
      <w:marLeft w:val="0"/>
      <w:marRight w:val="0"/>
      <w:marTop w:val="0"/>
      <w:marBottom w:val="0"/>
      <w:divBdr>
        <w:top w:val="none" w:sz="0" w:space="0" w:color="auto"/>
        <w:left w:val="none" w:sz="0" w:space="0" w:color="auto"/>
        <w:bottom w:val="none" w:sz="0" w:space="0" w:color="auto"/>
        <w:right w:val="none" w:sz="0" w:space="0" w:color="auto"/>
      </w:divBdr>
    </w:div>
    <w:div w:id="902184038">
      <w:bodyDiv w:val="1"/>
      <w:marLeft w:val="0"/>
      <w:marRight w:val="0"/>
      <w:marTop w:val="0"/>
      <w:marBottom w:val="0"/>
      <w:divBdr>
        <w:top w:val="none" w:sz="0" w:space="0" w:color="auto"/>
        <w:left w:val="none" w:sz="0" w:space="0" w:color="auto"/>
        <w:bottom w:val="none" w:sz="0" w:space="0" w:color="auto"/>
        <w:right w:val="none" w:sz="0" w:space="0" w:color="auto"/>
      </w:divBdr>
    </w:div>
    <w:div w:id="1181815246">
      <w:bodyDiv w:val="1"/>
      <w:marLeft w:val="0"/>
      <w:marRight w:val="0"/>
      <w:marTop w:val="0"/>
      <w:marBottom w:val="0"/>
      <w:divBdr>
        <w:top w:val="none" w:sz="0" w:space="0" w:color="auto"/>
        <w:left w:val="none" w:sz="0" w:space="0" w:color="auto"/>
        <w:bottom w:val="none" w:sz="0" w:space="0" w:color="auto"/>
        <w:right w:val="none" w:sz="0" w:space="0" w:color="auto"/>
      </w:divBdr>
    </w:div>
    <w:div w:id="1253509040">
      <w:bodyDiv w:val="1"/>
      <w:marLeft w:val="0"/>
      <w:marRight w:val="0"/>
      <w:marTop w:val="0"/>
      <w:marBottom w:val="0"/>
      <w:divBdr>
        <w:top w:val="none" w:sz="0" w:space="0" w:color="auto"/>
        <w:left w:val="none" w:sz="0" w:space="0" w:color="auto"/>
        <w:bottom w:val="none" w:sz="0" w:space="0" w:color="auto"/>
        <w:right w:val="none" w:sz="0" w:space="0" w:color="auto"/>
      </w:divBdr>
    </w:div>
    <w:div w:id="1385910443">
      <w:bodyDiv w:val="1"/>
      <w:marLeft w:val="0"/>
      <w:marRight w:val="0"/>
      <w:marTop w:val="0"/>
      <w:marBottom w:val="0"/>
      <w:divBdr>
        <w:top w:val="none" w:sz="0" w:space="0" w:color="auto"/>
        <w:left w:val="none" w:sz="0" w:space="0" w:color="auto"/>
        <w:bottom w:val="none" w:sz="0" w:space="0" w:color="auto"/>
        <w:right w:val="none" w:sz="0" w:space="0" w:color="auto"/>
      </w:divBdr>
    </w:div>
    <w:div w:id="1740126237">
      <w:bodyDiv w:val="1"/>
      <w:marLeft w:val="0"/>
      <w:marRight w:val="0"/>
      <w:marTop w:val="0"/>
      <w:marBottom w:val="0"/>
      <w:divBdr>
        <w:top w:val="none" w:sz="0" w:space="0" w:color="auto"/>
        <w:left w:val="none" w:sz="0" w:space="0" w:color="auto"/>
        <w:bottom w:val="none" w:sz="0" w:space="0" w:color="auto"/>
        <w:right w:val="none" w:sz="0" w:space="0" w:color="auto"/>
      </w:divBdr>
    </w:div>
    <w:div w:id="19651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ergy/en/topics/renewable-energy/national-action-plans" TargetMode="External"/><Relationship Id="rId13" Type="http://schemas.openxmlformats.org/officeDocument/2006/relationships/hyperlink" Target="https://ec.europa.eu/energy/en/topics/renewable-energy/biofuels/voluntary-schemes" TargetMode="External"/><Relationship Id="rId3" Type="http://schemas.openxmlformats.org/officeDocument/2006/relationships/hyperlink" Target="https://www.eea.europa.eu/publications/renewable-energy-in-europe-2018/" TargetMode="External"/><Relationship Id="rId7" Type="http://schemas.openxmlformats.org/officeDocument/2006/relationships/hyperlink" Target="https://ec.europa.eu/energy/en/topics/renewable-energy/progress-reports" TargetMode="External"/><Relationship Id="rId12" Type="http://schemas.openxmlformats.org/officeDocument/2006/relationships/hyperlink" Target="https://ec.europa.eu/energy/sites/ener/files/documents/technical_assistance_in_realisation_of_the_4th_report_on_progress_of_renewable_energy_in_the_eu-final_report.pdf" TargetMode="External"/><Relationship Id="rId2" Type="http://schemas.openxmlformats.org/officeDocument/2006/relationships/hyperlink" Target="https://www.eea.europa.eu/publications/renewable-energy-in-europe-2018" TargetMode="External"/><Relationship Id="rId1" Type="http://schemas.openxmlformats.org/officeDocument/2006/relationships/hyperlink" Target="https://ec.europa.eu/energy/en/topics/energy-strategy-and-energy-union/clean-energy-all-europeans" TargetMode="External"/><Relationship Id="rId6" Type="http://schemas.openxmlformats.org/officeDocument/2006/relationships/hyperlink" Target="https://ec.europa.eu/energy/en/topics/technology-and-innovation/strategic-energy-technology-plan" TargetMode="External"/><Relationship Id="rId11" Type="http://schemas.openxmlformats.org/officeDocument/2006/relationships/hyperlink" Target="https://green-x.at/" TargetMode="External"/><Relationship Id="rId5" Type="http://schemas.openxmlformats.org/officeDocument/2006/relationships/hyperlink" Target="https://irena.org/publications/2019/Feb/Innovation-landscape-for-a-renewable-powered-future" TargetMode="External"/><Relationship Id="rId10" Type="http://schemas.openxmlformats.org/officeDocument/2006/relationships/hyperlink" Target="https://ec.europa.eu/energy/sites/ener/files/documents/technical_assistance_in_realisation_of_the_4th_report_on_progress_of_renewable_energy_in_the_eu-final_report.pdf" TargetMode="External"/><Relationship Id="rId4" Type="http://schemas.openxmlformats.org/officeDocument/2006/relationships/hyperlink" Target="http://publications.jrc.ec.europa.eu/repository/handle/JRC105642" TargetMode="External"/><Relationship Id="rId9" Type="http://schemas.openxmlformats.org/officeDocument/2006/relationships/hyperlink" Target="https://ec.europa.eu/energy/en/topics/renewable-energy/progress-reports" TargetMode="External"/></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01b05e8-1b4f-451b-82dc-925fd82222d6" xsi:nil="true"/>
    <EC_Collab_Status xmlns="201b05e8-1b4f-451b-82dc-925fd82222d6">Not Started</EC_Collab_Status>
    <EC_Collab_DocumentLanguage xmlns="201b05e8-1b4f-451b-82dc-925fd82222d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4F0F68B67CF1945B8B4A078243B88F3" ma:contentTypeVersion="1" ma:contentTypeDescription="Create a new document in this library." ma:contentTypeScope="" ma:versionID="37c2f5fd27b3e91ad37b4e6c7f736fd8">
  <xsd:schema xmlns:xsd="http://www.w3.org/2001/XMLSchema" xmlns:xs="http://www.w3.org/2001/XMLSchema" xmlns:p="http://schemas.microsoft.com/office/2006/metadata/properties" xmlns:ns3="201b05e8-1b4f-451b-82dc-925fd82222d6" targetNamespace="http://schemas.microsoft.com/office/2006/metadata/properties" ma:root="true" ma:fieldsID="16ef9ff56465373dd39a16ec5d63ee94" ns3:_="">
    <xsd:import namespace="201b05e8-1b4f-451b-82dc-925fd82222d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05e8-1b4f-451b-82dc-925fd82222d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CF53A68-698E-46B4-9BA1-4254F2386410}">
  <ds:schemaRefs>
    <ds:schemaRef ds:uri="http://purl.org/dc/terms/"/>
    <ds:schemaRef ds:uri="http://schemas.openxmlformats.org/package/2006/metadata/core-properties"/>
    <ds:schemaRef ds:uri="201b05e8-1b4f-451b-82dc-925fd82222d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DE0A63-2D4F-4242-96BD-7AE45F24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05e8-1b4f-451b-82dc-925fd822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3D722-B8B6-49F5-8C14-46C143A28125}">
  <ds:schemaRefs>
    <ds:schemaRef ds:uri="http://schemas.microsoft.com/sharepoint/v3/contenttype/forms"/>
  </ds:schemaRefs>
</ds:datastoreItem>
</file>

<file path=customXml/itemProps4.xml><?xml version="1.0" encoding="utf-8"?>
<ds:datastoreItem xmlns:ds="http://schemas.openxmlformats.org/officeDocument/2006/customXml" ds:itemID="{22E769A2-F7AC-4E07-BF0B-BAD4159C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6500</Words>
  <Characters>35620</Characters>
  <Application>Microsoft Office Word</Application>
  <DocSecurity>0</DocSecurity>
  <Lines>1079</Lines>
  <Paragraphs>569</Paragraphs>
  <ScaleCrop>false</ScaleCrop>
  <HeadingPairs>
    <vt:vector size="2" baseType="variant">
      <vt:variant>
        <vt:lpstr>Title</vt:lpstr>
      </vt:variant>
      <vt:variant>
        <vt:i4>1</vt:i4>
      </vt:variant>
    </vt:vector>
  </HeadingPairs>
  <TitlesOfParts>
    <vt:vector size="1" baseType="lpstr">
      <vt:lpstr>RES progress report</vt:lpstr>
    </vt:vector>
  </TitlesOfParts>
  <Manager/>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progress report</dc:title>
  <dc:creator/>
  <cp:lastModifiedBy>KITRIMI Efstathia (SG)</cp:lastModifiedBy>
  <cp:revision>26</cp:revision>
  <cp:lastPrinted>2019-03-13T15:57:00Z</cp:lastPrinted>
  <dcterms:created xsi:type="dcterms:W3CDTF">2019-03-28T10:38:00Z</dcterms:created>
  <dcterms:modified xsi:type="dcterms:W3CDTF">2019-04-08T08:16:00Z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0x010100258AA79CEB83498886A3A086811232500084F0F68B67CF1945B8B4A078243B88F3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ies>
</file>