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2E5" w:rsidRDefault="00FF149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498F75A-F0AE-4FE3-8554-0206369EA7AF" style="width:450.6pt;height:321pt">
            <v:imagedata r:id="rId11" o:title=""/>
          </v:shape>
        </w:pict>
      </w:r>
    </w:p>
    <w:bookmarkEnd w:id="0"/>
    <w:p w:rsidR="00BE32E5" w:rsidRDefault="00BE32E5">
      <w:pPr>
        <w:rPr>
          <w:noProof/>
        </w:rPr>
        <w:sectPr w:rsidR="00BE32E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BE32E5" w:rsidRDefault="00BE32E5">
      <w:pPr>
        <w:rPr>
          <w:noProof/>
        </w:rPr>
      </w:pPr>
      <w:bookmarkStart w:id="1" w:name="_GoBack"/>
      <w:bookmarkEnd w:id="1"/>
    </w:p>
    <w:p w:rsidR="00BE32E5" w:rsidRDefault="00FF1490">
      <w:pPr>
        <w:pStyle w:val="Heading1"/>
        <w:rPr>
          <w:noProof/>
        </w:rPr>
      </w:pPr>
      <w:bookmarkStart w:id="2" w:name="_Toc1149217"/>
      <w:r>
        <w:rPr>
          <w:noProof/>
        </w:rPr>
        <w:t>1. INTRODUCTION</w:t>
      </w:r>
      <w:bookmarkEnd w:id="2"/>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With the entry into force of the Directive (EU) 2018/2001</w:t>
      </w:r>
      <w:r>
        <w:rPr>
          <w:noProof/>
        </w:rPr>
        <w:t xml:space="preserve"> </w:t>
      </w:r>
      <w:r>
        <w:rPr>
          <w:rFonts w:ascii="Times New Roman" w:hAnsi="Times New Roman" w:cs="Times New Roman"/>
          <w:noProof/>
          <w:sz w:val="24"/>
          <w:szCs w:val="24"/>
        </w:rPr>
        <w:t>on the promotion of the use of energy from renewable sources (RED II) on 24 December 2018, a new future-proof framework is established towards meeting the binding Union target of at least 32 % renewable energy in gross final energy consumption by 2030. Thi</w:t>
      </w:r>
      <w:r>
        <w:rPr>
          <w:rFonts w:ascii="Times New Roman" w:hAnsi="Times New Roman" w:cs="Times New Roman"/>
          <w:noProof/>
          <w:sz w:val="24"/>
          <w:szCs w:val="24"/>
        </w:rPr>
        <w:t xml:space="preserve">s framework will build on the progress being achieved under the current Directive including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the obligation for Member States to keep the 2020 targets as baseline of their respective trajectories for the next decade. This is further complemented </w:t>
      </w:r>
      <w:r>
        <w:rPr>
          <w:rFonts w:ascii="Times New Roman" w:hAnsi="Times New Roman" w:cs="Times New Roman"/>
          <w:noProof/>
          <w:sz w:val="24"/>
          <w:szCs w:val="24"/>
        </w:rPr>
        <w:t>by the other elements of the Clean Energy for All Europeans package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Renewable energy is at the core of the Energy Union’s priorities. The Directive 2009/28/EC on the promotion of the use of energy from renewable sources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(RED I) is a central element in t</w:t>
      </w:r>
      <w:r>
        <w:rPr>
          <w:rFonts w:ascii="Times New Roman" w:hAnsi="Times New Roman" w:cs="Times New Roman"/>
          <w:noProof/>
          <w:sz w:val="24"/>
          <w:szCs w:val="24"/>
        </w:rPr>
        <w:t xml:space="preserve">he Energy Union policy and a key driver for meeting the renewable energy targets for 2020.  </w:t>
      </w:r>
    </w:p>
    <w:p w:rsidR="00BE32E5" w:rsidRDefault="00FF1490">
      <w:pPr>
        <w:jc w:val="both"/>
        <w:rPr>
          <w:rFonts w:ascii="Calibri" w:hAnsi="Calibri" w:cs="Calibri"/>
          <w:noProof/>
          <w:color w:val="333333"/>
          <w:sz w:val="26"/>
          <w:szCs w:val="26"/>
        </w:rPr>
      </w:pPr>
      <w:r>
        <w:rPr>
          <w:rFonts w:ascii="Times New Roman" w:hAnsi="Times New Roman" w:cs="Times New Roman"/>
          <w:noProof/>
          <w:sz w:val="24"/>
          <w:szCs w:val="24"/>
        </w:rPr>
        <w:t>The political priority of the European Union to become the global leader of renewables is underpinned by the presence of renewables in all five dimensions of the E</w:t>
      </w:r>
      <w:r>
        <w:rPr>
          <w:rFonts w:ascii="Times New Roman" w:hAnsi="Times New Roman" w:cs="Times New Roman"/>
          <w:noProof/>
          <w:sz w:val="24"/>
          <w:szCs w:val="24"/>
        </w:rPr>
        <w:t xml:space="preserve">nergy Union. In terms of </w:t>
      </w:r>
      <w:r>
        <w:rPr>
          <w:rFonts w:ascii="Times New Roman" w:hAnsi="Times New Roman"/>
          <w:i/>
          <w:noProof/>
          <w:sz w:val="24"/>
        </w:rPr>
        <w:t>energy security</w:t>
      </w:r>
      <w:r>
        <w:rPr>
          <w:rFonts w:ascii="Times New Roman" w:hAnsi="Times New Roman" w:cs="Times New Roman"/>
          <w:noProof/>
          <w:sz w:val="24"/>
          <w:szCs w:val="24"/>
        </w:rPr>
        <w:t xml:space="preserve"> renewables reduce the import dependency of fossil fuels. It is estimated that the increase in the use of renewable energy compared with the level of renewable energy consumption in 2005 allowed the EU to cut its dem</w:t>
      </w:r>
      <w:r>
        <w:rPr>
          <w:rFonts w:ascii="Times New Roman" w:hAnsi="Times New Roman" w:cs="Times New Roman"/>
          <w:noProof/>
          <w:sz w:val="24"/>
          <w:szCs w:val="24"/>
        </w:rPr>
        <w:t>and for fossil fuels by 143 Mtoe in 2016</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(approximately 12 % of total primary fossil fuel consumption). Similarly, Europe’s energy import dependence, notably as regards imports of oil and gas, will fall from todays 55% to 20% in 2050 thanks to a primary e</w:t>
      </w:r>
      <w:r>
        <w:rPr>
          <w:rFonts w:ascii="Times New Roman" w:hAnsi="Times New Roman" w:cs="Times New Roman"/>
          <w:noProof/>
          <w:sz w:val="24"/>
          <w:szCs w:val="24"/>
        </w:rPr>
        <w:t>nergy supply that would largely come from renewable energy sources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For the </w:t>
      </w:r>
      <w:r>
        <w:rPr>
          <w:rFonts w:ascii="Times New Roman" w:hAnsi="Times New Roman" w:cs="Times New Roman"/>
          <w:i/>
          <w:noProof/>
          <w:sz w:val="24"/>
          <w:szCs w:val="24"/>
        </w:rPr>
        <w:t>internal energy market,</w:t>
      </w:r>
      <w:r>
        <w:rPr>
          <w:rFonts w:ascii="Times New Roman" w:hAnsi="Times New Roman" w:cs="Times New Roman"/>
          <w:noProof/>
          <w:sz w:val="24"/>
          <w:szCs w:val="24"/>
        </w:rPr>
        <w:t xml:space="preserve"> renewables play an increasing role in particular for the power market where close to one third (30.8%) of the EU 28 gross electricity production was generated by renewables in 2017</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lang w:val="en-IE"/>
        </w:rPr>
        <w:t>Also for renewable gases an increasing role is observed. An illustrativ</w:t>
      </w:r>
      <w:r>
        <w:rPr>
          <w:rFonts w:ascii="Times New Roman" w:hAnsi="Times New Roman" w:cs="Times New Roman"/>
          <w:noProof/>
          <w:sz w:val="24"/>
          <w:szCs w:val="24"/>
          <w:lang w:val="en-IE"/>
        </w:rPr>
        <w:t>e example is that the share of biogas in relation to the total consumption of gas was 18.6% in July 2018 in Denmark, which is an increase of 50% compared to the year before</w:t>
      </w:r>
      <w:r>
        <w:rPr>
          <w:rStyle w:val="FootnoteReference"/>
          <w:rFonts w:ascii="Times New Roman" w:hAnsi="Times New Roman" w:cs="Times New Roman"/>
          <w:noProof/>
          <w:sz w:val="24"/>
          <w:szCs w:val="24"/>
          <w:lang w:val="en-IE"/>
        </w:rPr>
        <w:footnoteReference w:id="7"/>
      </w:r>
      <w:r>
        <w:rPr>
          <w:rFonts w:ascii="Times New Roman" w:hAnsi="Times New Roman" w:cs="Times New Roman"/>
          <w:noProof/>
          <w:sz w:val="24"/>
          <w:szCs w:val="24"/>
          <w:lang w:val="en-IE"/>
        </w:rPr>
        <w:t xml:space="preserve">. On </w:t>
      </w:r>
      <w:r>
        <w:rPr>
          <w:rFonts w:ascii="Times New Roman" w:hAnsi="Times New Roman"/>
          <w:i/>
          <w:noProof/>
          <w:sz w:val="24"/>
          <w:lang w:val="en-IE"/>
        </w:rPr>
        <w:t>energy efficiency</w:t>
      </w:r>
      <w:r>
        <w:rPr>
          <w:rFonts w:ascii="Times New Roman" w:hAnsi="Times New Roman" w:cs="Times New Roman"/>
          <w:noProof/>
          <w:sz w:val="24"/>
          <w:szCs w:val="24"/>
          <w:lang w:val="en-IE"/>
        </w:rPr>
        <w:t>, a reduced energy consumption is tightly linked to the reach</w:t>
      </w:r>
      <w:r>
        <w:rPr>
          <w:rFonts w:ascii="Times New Roman" w:hAnsi="Times New Roman" w:cs="Times New Roman"/>
          <w:noProof/>
          <w:sz w:val="24"/>
          <w:szCs w:val="24"/>
          <w:lang w:val="en-IE"/>
        </w:rPr>
        <w:t xml:space="preserve">ing a higher share of renewables and the increased integration of small-scale renewables in buildings, improving the energy performance in a cost effective way. Furthermore, renewable energy plays a significant role for </w:t>
      </w:r>
      <w:r>
        <w:rPr>
          <w:rFonts w:ascii="Times New Roman" w:hAnsi="Times New Roman"/>
          <w:i/>
          <w:noProof/>
          <w:sz w:val="24"/>
          <w:lang w:val="en-IE"/>
        </w:rPr>
        <w:t>decarbonisation</w:t>
      </w:r>
      <w:r>
        <w:rPr>
          <w:rFonts w:ascii="Times New Roman" w:hAnsi="Times New Roman" w:cs="Times New Roman"/>
          <w:noProof/>
          <w:sz w:val="24"/>
          <w:szCs w:val="24"/>
          <w:lang w:val="en-IE"/>
        </w:rPr>
        <w:t xml:space="preserve"> and in 2016 renewabl</w:t>
      </w:r>
      <w:r>
        <w:rPr>
          <w:rFonts w:ascii="Times New Roman" w:hAnsi="Times New Roman" w:cs="Times New Roman"/>
          <w:noProof/>
          <w:sz w:val="24"/>
          <w:szCs w:val="24"/>
          <w:lang w:val="en-IE"/>
        </w:rPr>
        <w:t xml:space="preserve">es have contributed to 460 Mt of gross avoided </w:t>
      </w:r>
      <w:r>
        <w:rPr>
          <w:rFonts w:ascii="Times New Roman" w:hAnsi="Times New Roman" w:cs="Times New Roman"/>
          <w:noProof/>
          <w:sz w:val="24"/>
          <w:szCs w:val="24"/>
          <w:lang w:val="en-IE"/>
        </w:rPr>
        <w:lastRenderedPageBreak/>
        <w:t>CO2 emissions (more than the total GHG emissions of Italy in 2016)</w:t>
      </w:r>
      <w:r>
        <w:rPr>
          <w:rStyle w:val="FootnoteReference"/>
          <w:rFonts w:ascii="Times New Roman" w:hAnsi="Times New Roman" w:cs="Times New Roman"/>
          <w:noProof/>
          <w:sz w:val="24"/>
          <w:szCs w:val="24"/>
          <w:lang w:val="en-IE"/>
        </w:rPr>
        <w:footnoteReference w:id="8"/>
      </w:r>
      <w:r>
        <w:rPr>
          <w:rFonts w:ascii="Times New Roman" w:hAnsi="Times New Roman" w:cs="Times New Roman"/>
          <w:noProof/>
          <w:sz w:val="24"/>
          <w:szCs w:val="24"/>
          <w:lang w:val="en-IE"/>
        </w:rPr>
        <w:t xml:space="preserve"> and it is estimated to grow to 499 Mt</w:t>
      </w:r>
      <w:r>
        <w:rPr>
          <w:rStyle w:val="FootnoteReference"/>
          <w:rFonts w:ascii="Times New Roman" w:hAnsi="Times New Roman" w:cs="Times New Roman"/>
          <w:noProof/>
          <w:sz w:val="24"/>
          <w:szCs w:val="24"/>
          <w:lang w:val="en-IE"/>
        </w:rPr>
        <w:footnoteReference w:id="9"/>
      </w:r>
      <w:r>
        <w:rPr>
          <w:rFonts w:ascii="Times New Roman" w:hAnsi="Times New Roman" w:cs="Times New Roman"/>
          <w:noProof/>
          <w:sz w:val="24"/>
          <w:szCs w:val="24"/>
          <w:lang w:val="en-IE"/>
        </w:rPr>
        <w:t xml:space="preserve"> in 2017. Additionally, renewables are a key contributor to the </w:t>
      </w:r>
      <w:r>
        <w:rPr>
          <w:rFonts w:ascii="Times New Roman" w:hAnsi="Times New Roman" w:cs="Times New Roman"/>
          <w:i/>
          <w:noProof/>
          <w:sz w:val="24"/>
          <w:szCs w:val="24"/>
          <w:lang w:val="en-IE"/>
        </w:rPr>
        <w:t>innovation</w:t>
      </w:r>
      <w:r>
        <w:rPr>
          <w:rFonts w:ascii="Times New Roman" w:hAnsi="Times New Roman" w:cs="Times New Roman"/>
          <w:noProof/>
          <w:sz w:val="24"/>
          <w:szCs w:val="24"/>
          <w:lang w:val="en-IE"/>
        </w:rPr>
        <w:t xml:space="preserve"> dimension. In the area of re</w:t>
      </w:r>
      <w:r>
        <w:rPr>
          <w:rFonts w:ascii="Times New Roman" w:hAnsi="Times New Roman" w:cs="Times New Roman"/>
          <w:noProof/>
          <w:sz w:val="24"/>
          <w:szCs w:val="24"/>
          <w:lang w:val="en-IE"/>
        </w:rPr>
        <w:t>newables, 53% of inventions from EU based companies acquire patent protection outside Europe</w:t>
      </w:r>
      <w:r>
        <w:rPr>
          <w:rStyle w:val="FootnoteReference"/>
          <w:rFonts w:ascii="Times New Roman" w:hAnsi="Times New Roman" w:cs="Times New Roman"/>
          <w:noProof/>
          <w:sz w:val="24"/>
          <w:szCs w:val="24"/>
          <w:lang w:val="en-IE"/>
        </w:rPr>
        <w:footnoteReference w:id="10"/>
      </w:r>
      <w:r>
        <w:rPr>
          <w:rFonts w:ascii="Times New Roman" w:hAnsi="Times New Roman" w:cs="Times New Roman"/>
          <w:noProof/>
          <w:sz w:val="24"/>
          <w:szCs w:val="24"/>
          <w:lang w:val="en-IE"/>
        </w:rPr>
        <w:t>. This demonstrates high-value of the innovation, since the protection is done with the view that it has scope to reach, and be successful in foreign markets. This</w:t>
      </w:r>
      <w:r>
        <w:rPr>
          <w:rFonts w:ascii="Times New Roman" w:hAnsi="Times New Roman" w:cs="Times New Roman"/>
          <w:noProof/>
          <w:sz w:val="24"/>
          <w:szCs w:val="24"/>
          <w:lang w:val="en-IE"/>
        </w:rPr>
        <w:t xml:space="preserve"> makes the EU a global innovation leader as it is a higher share than any of the other major economies</w:t>
      </w:r>
      <w:r>
        <w:rPr>
          <w:rStyle w:val="FootnoteReference"/>
          <w:rFonts w:ascii="Times New Roman" w:hAnsi="Times New Roman" w:cs="Times New Roman"/>
          <w:noProof/>
          <w:sz w:val="24"/>
          <w:szCs w:val="24"/>
          <w:lang w:val="en-IE"/>
        </w:rPr>
        <w:footnoteReference w:id="11"/>
      </w:r>
      <w:r>
        <w:rPr>
          <w:rFonts w:ascii="Times New Roman" w:hAnsi="Times New Roman" w:cs="Times New Roman"/>
          <w:noProof/>
          <w:sz w:val="24"/>
          <w:szCs w:val="24"/>
          <w:lang w:val="en-IE"/>
        </w:rPr>
        <w:t xml:space="preserve">. In this respect, as recognised by the International Renewable Energy Agency (IRENA), </w:t>
      </w:r>
      <w:r>
        <w:rPr>
          <w:rFonts w:ascii="Times New Roman" w:hAnsi="Times New Roman" w:cs="Times New Roman"/>
          <w:noProof/>
          <w:sz w:val="24"/>
          <w:szCs w:val="24"/>
        </w:rPr>
        <w:t>Europe has become a lighthouse in showing successful pathways to a</w:t>
      </w:r>
      <w:r>
        <w:rPr>
          <w:rFonts w:ascii="Times New Roman" w:hAnsi="Times New Roman" w:cs="Times New Roman"/>
          <w:noProof/>
          <w:sz w:val="24"/>
          <w:szCs w:val="24"/>
        </w:rPr>
        <w:t xml:space="preserve"> renewables-based energy future, being at the forefront in energy innovation</w:t>
      </w:r>
      <w:r>
        <w:rPr>
          <w:rStyle w:val="FootnoteReference"/>
          <w:rFonts w:ascii="Times New Roman" w:hAnsi="Times New Roman" w:cs="Times New Roman"/>
          <w:noProof/>
          <w:color w:val="333333"/>
          <w:sz w:val="24"/>
          <w:szCs w:val="24"/>
        </w:rPr>
        <w:footnoteReference w:id="12"/>
      </w:r>
      <w:r>
        <w:rPr>
          <w:rFonts w:ascii="Times New Roman" w:hAnsi="Times New Roman" w:cs="Times New Roman"/>
          <w:noProof/>
          <w:color w:val="333333"/>
          <w:sz w:val="24"/>
          <w:szCs w:val="24"/>
        </w:rPr>
        <w:t>.</w:t>
      </w:r>
    </w:p>
    <w:p w:rsidR="00BE32E5" w:rsidRDefault="00FF1490">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leadership is also present for the different renewable technologies along their supply chains. For some technologies, like wind turbines, EU manufacturers accounted for at l</w:t>
      </w:r>
      <w:r>
        <w:rPr>
          <w:rFonts w:ascii="Times New Roman" w:hAnsi="Times New Roman" w:cs="Times New Roman"/>
          <w:noProof/>
          <w:sz w:val="24"/>
          <w:szCs w:val="24"/>
          <w:lang w:val="en-IE"/>
        </w:rPr>
        <w:t>east 41 % of the new global installed capacity in 2016</w:t>
      </w:r>
      <w:r>
        <w:rPr>
          <w:rStyle w:val="FootnoteReference"/>
          <w:rFonts w:ascii="Times New Roman" w:hAnsi="Times New Roman" w:cs="Times New Roman"/>
          <w:noProof/>
          <w:sz w:val="24"/>
          <w:szCs w:val="24"/>
          <w:lang w:val="en-IE"/>
        </w:rPr>
        <w:footnoteReference w:id="13"/>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eastAsia="nl-NL"/>
        </w:rPr>
        <w:t xml:space="preserve">As </w:t>
      </w:r>
      <w:r>
        <w:rPr>
          <w:rFonts w:ascii="Times New Roman" w:hAnsi="Times New Roman" w:cs="Times New Roman"/>
          <w:noProof/>
          <w:sz w:val="24"/>
          <w:szCs w:val="24"/>
        </w:rPr>
        <w:t>regards</w:t>
      </w:r>
      <w:r>
        <w:rPr>
          <w:rFonts w:ascii="Times New Roman" w:hAnsi="Times New Roman" w:cs="Times New Roman"/>
          <w:noProof/>
          <w:sz w:val="24"/>
          <w:szCs w:val="24"/>
          <w:lang w:eastAsia="nl-NL"/>
        </w:rPr>
        <w:t xml:space="preserve"> EU PV industry, EU PV equipment manufacturers are leading with a global market share of 50%, while EU inverter manufacturers have a global market share of above 18%</w:t>
      </w:r>
      <w:r>
        <w:rPr>
          <w:rStyle w:val="FootnoteReference"/>
          <w:rFonts w:ascii="Times New Roman" w:hAnsi="Times New Roman" w:cs="Times New Roman"/>
          <w:noProof/>
          <w:sz w:val="24"/>
          <w:szCs w:val="24"/>
          <w:lang w:eastAsia="nl-NL"/>
        </w:rPr>
        <w:footnoteReference w:id="14"/>
      </w:r>
      <w:r>
        <w:rPr>
          <w:rFonts w:ascii="Times New Roman" w:hAnsi="Times New Roman" w:cs="Times New Roman"/>
          <w:noProof/>
          <w:sz w:val="24"/>
          <w:szCs w:val="24"/>
          <w:lang w:eastAsia="nl-NL"/>
        </w:rPr>
        <w:t xml:space="preserve">. Further, to </w:t>
      </w:r>
      <w:r>
        <w:rPr>
          <w:rFonts w:ascii="Times New Roman" w:hAnsi="Times New Roman" w:cs="Times New Roman"/>
          <w:noProof/>
          <w:sz w:val="24"/>
          <w:szCs w:val="24"/>
          <w:lang w:val="en-IE"/>
        </w:rPr>
        <w:t xml:space="preserve">maintain </w:t>
      </w:r>
      <w:r>
        <w:rPr>
          <w:rFonts w:ascii="Times New Roman" w:hAnsi="Times New Roman" w:cs="Times New Roman"/>
          <w:noProof/>
          <w:sz w:val="24"/>
          <w:szCs w:val="24"/>
          <w:lang w:val="en-IE"/>
        </w:rPr>
        <w:t>and expand its position as the global leader in emerging renewable ocean energy technologies, for instance, the Commission engaged with Member States to join efforts to increase deployment and meet the cost-reduction targets set out in the SET-Plan</w:t>
      </w:r>
      <w:r>
        <w:rPr>
          <w:rStyle w:val="FootnoteReference"/>
          <w:rFonts w:ascii="Times New Roman" w:hAnsi="Times New Roman" w:cs="Times New Roman"/>
          <w:noProof/>
          <w:sz w:val="24"/>
          <w:szCs w:val="24"/>
          <w:lang w:val="en-IE"/>
        </w:rPr>
        <w:footnoteReference w:id="15"/>
      </w:r>
      <w:r>
        <w:rPr>
          <w:rFonts w:ascii="Times New Roman" w:hAnsi="Times New Roman" w:cs="Times New Roman"/>
          <w:noProof/>
          <w:sz w:val="24"/>
          <w:szCs w:val="24"/>
          <w:lang w:eastAsia="nl-NL"/>
        </w:rPr>
        <w:t>. The C</w:t>
      </w:r>
      <w:r>
        <w:rPr>
          <w:rFonts w:ascii="Times New Roman" w:hAnsi="Times New Roman" w:cs="Times New Roman"/>
          <w:noProof/>
          <w:sz w:val="24"/>
          <w:szCs w:val="24"/>
          <w:lang w:eastAsia="nl-NL"/>
        </w:rPr>
        <w:t xml:space="preserve">ommission has set up the Clean Energy Industrial Forum on Renewables to strengthen industrial basis for renewables in Europe. In close cooperation with the key actors of the sector, the Forum proposes actions to improve the competitiveness of the European </w:t>
      </w:r>
      <w:r>
        <w:rPr>
          <w:rFonts w:ascii="Times New Roman" w:hAnsi="Times New Roman" w:cs="Times New Roman"/>
          <w:noProof/>
          <w:sz w:val="24"/>
          <w:szCs w:val="24"/>
          <w:lang w:eastAsia="nl-NL"/>
        </w:rPr>
        <w:t xml:space="preserve">supply chain for renewables. </w:t>
      </w:r>
    </w:p>
    <w:p w:rsidR="00BE32E5" w:rsidRDefault="00FF1490">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lang w:val="en-IE"/>
        </w:rPr>
        <w:t>The benefits of renewables expand well beyond the impacts on the five political dimensions above. Renewable energies are a source of economic growth and jobs for Europeans, in particular local jobs with more than 1.4 million p</w:t>
      </w:r>
      <w:r>
        <w:rPr>
          <w:rFonts w:ascii="Times New Roman" w:hAnsi="Times New Roman" w:cs="Times New Roman"/>
          <w:noProof/>
          <w:sz w:val="24"/>
          <w:szCs w:val="24"/>
          <w:lang w:val="en-IE"/>
        </w:rPr>
        <w:t>eople that are currently working in the sector and with a related turnover that is estimated to €154.7 billion</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.The recent report on energy prices and costs in Europe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documents furthermore positive impacts on industrial competitiveness since the greater a</w:t>
      </w:r>
      <w:r>
        <w:rPr>
          <w:rFonts w:ascii="Times New Roman" w:hAnsi="Times New Roman" w:cs="Times New Roman"/>
          <w:noProof/>
          <w:sz w:val="24"/>
          <w:szCs w:val="24"/>
        </w:rPr>
        <w:t>mounts of renewable energy are a key factor behind the fall in wholesale energy prices in recent years. As highlighted by IRENA, the growing deployment of renewables has also set in motion a global energy transformation with significant implications for ge</w:t>
      </w:r>
      <w:r>
        <w:rPr>
          <w:rFonts w:ascii="Times New Roman" w:hAnsi="Times New Roman" w:cs="Times New Roman"/>
          <w:noProof/>
          <w:sz w:val="24"/>
          <w:szCs w:val="24"/>
        </w:rPr>
        <w:t>opolitics and the EU is clearly in a frontrunner position</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rsidR="00BE32E5" w:rsidRDefault="00FF1490">
      <w:pPr>
        <w:autoSpaceDE w:val="0"/>
        <w:autoSpaceDN w:val="0"/>
        <w:jc w:val="both"/>
        <w:rPr>
          <w:rFonts w:ascii="Times New Roman" w:hAnsi="Times New Roman" w:cs="Times New Roman"/>
          <w:noProof/>
          <w:sz w:val="24"/>
          <w:szCs w:val="24"/>
        </w:rPr>
      </w:pPr>
      <w:r>
        <w:rPr>
          <w:rFonts w:ascii="Times New Roman" w:hAnsi="Times New Roman" w:cs="Times New Roman"/>
          <w:noProof/>
          <w:sz w:val="24"/>
          <w:szCs w:val="24"/>
        </w:rPr>
        <w:t>They also contribute to lowering air pollution and helping developing countries with access to affordable and clean energy. Between 2011 and 2016, renewable power generation capacity grew with alm</w:t>
      </w:r>
      <w:r>
        <w:rPr>
          <w:rFonts w:ascii="Times New Roman" w:hAnsi="Times New Roman" w:cs="Times New Roman"/>
          <w:noProof/>
          <w:sz w:val="24"/>
          <w:szCs w:val="24"/>
        </w:rPr>
        <w:t>ost 10 GW and the number of people benefiting from off-grid renewable energy solutions grew six-fold, reaching more than 133 million</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It is estimated that by 2030, renewable energy sources will power over 60% of new electricity access, and stand-alone and</w:t>
      </w:r>
      <w:r>
        <w:rPr>
          <w:rFonts w:ascii="Times New Roman" w:hAnsi="Times New Roman" w:cs="Times New Roman"/>
          <w:noProof/>
          <w:sz w:val="24"/>
          <w:szCs w:val="24"/>
        </w:rPr>
        <w:t xml:space="preserve"> mini-grid systems will provide the means for almost half of new access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Last but not least, and most important, the lower cost of the technology, combined with digitalisation is making renewables the real driving force for consumers to be empowered and t</w:t>
      </w:r>
      <w:r>
        <w:rPr>
          <w:rFonts w:ascii="Times New Roman" w:hAnsi="Times New Roman" w:cs="Times New Roman"/>
          <w:noProof/>
          <w:sz w:val="24"/>
          <w:szCs w:val="24"/>
        </w:rPr>
        <w:t>o play a key role in the energy transition.</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This report provides the latest insights into progress made up to 2017 towards the 20% target for renewable energy in 2020 and addresses other European Commission reporting obligations under RED I and the Directi</w:t>
      </w:r>
      <w:r>
        <w:rPr>
          <w:rFonts w:ascii="Times New Roman" w:hAnsi="Times New Roman" w:cs="Times New Roman"/>
          <w:noProof/>
          <w:sz w:val="24"/>
          <w:szCs w:val="24"/>
        </w:rPr>
        <w:t>ve on Indirect Land Use Change (ILUC)</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The statistics on energy transmitted by Member States to Eurostat up to January 2019 are used as primary data source for evaluating progress towards the 2020 target. This report builds on the Member States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biannu</w:t>
      </w:r>
      <w:r>
        <w:rPr>
          <w:rFonts w:ascii="Times New Roman" w:hAnsi="Times New Roman" w:cs="Times New Roman"/>
          <w:noProof/>
          <w:sz w:val="24"/>
          <w:szCs w:val="24"/>
        </w:rPr>
        <w:t>al renewable energy progress report covering the period 2015/16</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as well as complementary technical analysis made in the course of 2018. It also includes an overview of the potential in terms of co-operation mechanisms and assessments of the administrativ</w:t>
      </w:r>
      <w:r>
        <w:rPr>
          <w:rFonts w:ascii="Times New Roman" w:hAnsi="Times New Roman" w:cs="Times New Roman"/>
          <w:noProof/>
          <w:sz w:val="24"/>
          <w:szCs w:val="24"/>
        </w:rPr>
        <w:t xml:space="preserve">e frameworks and biofuels sustainability. </w:t>
      </w:r>
    </w:p>
    <w:p w:rsidR="00BE32E5" w:rsidRDefault="00FF1490">
      <w:pPr>
        <w:pStyle w:val="Heading1"/>
        <w:rPr>
          <w:noProof/>
        </w:rPr>
      </w:pPr>
      <w:bookmarkStart w:id="3" w:name="_Toc1149218"/>
      <w:r>
        <w:rPr>
          <w:noProof/>
        </w:rPr>
        <w:t>2. EU-28 PROGRESS IN DEPLOYING RENEWABLE ENERGY</w:t>
      </w:r>
      <w:bookmarkEnd w:id="3"/>
      <w:r>
        <w:rPr>
          <w:noProof/>
        </w:rPr>
        <w:t xml:space="preserve"> </w:t>
      </w:r>
    </w:p>
    <w:p w:rsidR="00BE32E5" w:rsidRDefault="00FF1490">
      <w:pPr>
        <w:jc w:val="both"/>
        <w:rPr>
          <w:rFonts w:ascii="Times New Roman" w:hAnsi="Times New Roman" w:cs="Times New Roman"/>
          <w:noProof/>
          <w:sz w:val="24"/>
          <w:szCs w:val="24"/>
          <w:lang w:val="en-US"/>
        </w:rPr>
      </w:pPr>
      <w:r>
        <w:rPr>
          <w:rFonts w:ascii="Times New Roman" w:hAnsi="Times New Roman" w:cs="Times New Roman"/>
          <w:noProof/>
          <w:sz w:val="24"/>
          <w:szCs w:val="24"/>
        </w:rPr>
        <w:t>In 2017, the EU reached a share of 17.52% of renewable energy in gross final energy consumption, against a target of 20% for 2020, and above the indicative trajecto</w:t>
      </w:r>
      <w:r>
        <w:rPr>
          <w:rFonts w:ascii="Times New Roman" w:hAnsi="Times New Roman" w:cs="Times New Roman"/>
          <w:noProof/>
          <w:sz w:val="24"/>
          <w:szCs w:val="24"/>
        </w:rPr>
        <w:t xml:space="preserve">ry of 16% for 2017/2018. </w:t>
      </w:r>
      <w:r>
        <w:rPr>
          <w:rFonts w:ascii="Times New Roman" w:hAnsi="Times New Roman" w:cs="Times New Roman"/>
          <w:noProof/>
          <w:sz w:val="24"/>
          <w:szCs w:val="24"/>
          <w:lang w:val="en-US"/>
        </w:rPr>
        <w:t>In addition, the EU as a whole is also above the slightly more ambitious trajectory defined by Member States themselves in their National Renewable Energy Action Plans (NREAPs)</w:t>
      </w:r>
      <w:r>
        <w:rPr>
          <w:rStyle w:val="FootnoteReference"/>
          <w:rFonts w:ascii="Times New Roman" w:hAnsi="Times New Roman" w:cs="Times New Roman"/>
          <w:noProof/>
          <w:sz w:val="24"/>
          <w:szCs w:val="24"/>
          <w:lang w:val="en-US"/>
        </w:rPr>
        <w:footnoteReference w:id="23"/>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The EU is on track to reach its 2020 target.</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Over </w:t>
      </w:r>
      <w:r>
        <w:rPr>
          <w:rFonts w:ascii="Times New Roman" w:hAnsi="Times New Roman" w:cs="Times New Roman"/>
          <w:noProof/>
          <w:sz w:val="24"/>
          <w:szCs w:val="24"/>
        </w:rPr>
        <w:t>the past years, at EU level, there has been a continuous increase in the overall share of renewable energy sources (RES) and in the sectoral shares of renewable energy in electricity (RES-E), heating and cooling (RES-H&amp;C), and, to a lesser extent, transpor</w:t>
      </w:r>
      <w:r>
        <w:rPr>
          <w:rFonts w:ascii="Times New Roman" w:hAnsi="Times New Roman" w:cs="Times New Roman"/>
          <w:noProof/>
          <w:sz w:val="24"/>
          <w:szCs w:val="24"/>
        </w:rPr>
        <w:t>t (RES-T).</w:t>
      </w:r>
    </w:p>
    <w:p w:rsidR="00BE32E5" w:rsidRDefault="00FF1490">
      <w:pPr>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However, the pace of increase of the renewable energy share has slowed down since 2014. </w:t>
      </w:r>
      <w:r>
        <w:rPr>
          <w:rFonts w:ascii="Times New Roman" w:hAnsi="Times New Roman" w:cs="Times New Roman"/>
          <w:noProof/>
          <w:sz w:val="24"/>
          <w:szCs w:val="24"/>
          <w:lang w:val="en-US"/>
        </w:rPr>
        <w:t>Comparing to the share of 16.19% in 2014, the average increase over the period 2014-2017 was only of 0.44 percentage points a year, lower than the annual ave</w:t>
      </w:r>
      <w:r>
        <w:rPr>
          <w:rFonts w:ascii="Times New Roman" w:hAnsi="Times New Roman" w:cs="Times New Roman"/>
          <w:noProof/>
          <w:sz w:val="24"/>
          <w:szCs w:val="24"/>
          <w:lang w:val="en-US"/>
        </w:rPr>
        <w:t xml:space="preserve">rage increase of 0.83 percentage points a year that will be required to reach a 20% share in 2020. As the indicative trajectory from RED I is steeper in the last years, a sustained effort will be required to meet targets. </w:t>
      </w:r>
    </w:p>
    <w:p w:rsidR="00BE32E5" w:rsidRDefault="00FF1490">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With regard to individual sectors</w:t>
      </w:r>
      <w:r>
        <w:rPr>
          <w:rFonts w:ascii="Times New Roman" w:hAnsi="Times New Roman" w:cs="Times New Roman"/>
          <w:noProof/>
          <w:sz w:val="24"/>
          <w:szCs w:val="24"/>
          <w:lang w:val="en-US"/>
        </w:rPr>
        <w:t xml:space="preserve">, at EU level the renewable energy share in electricity and heating and cooling has been systematically above the levels defined by Member States in their NREAPs, while for transport, the share of renewables is basically following the planned trajectory. </w:t>
      </w:r>
    </w:p>
    <w:p w:rsidR="00BE32E5" w:rsidRDefault="00BE32E5">
      <w:pPr>
        <w:jc w:val="both"/>
        <w:rPr>
          <w:rFonts w:ascii="Times New Roman" w:hAnsi="Times New Roman" w:cs="Times New Roman"/>
          <w:noProof/>
          <w:sz w:val="24"/>
          <w:szCs w:val="24"/>
          <w:lang w:val="de-DE"/>
        </w:rPr>
      </w:pPr>
    </w:p>
    <w:p w:rsidR="00BE32E5" w:rsidRDefault="00FF1490">
      <w:pPr>
        <w:jc w:val="both"/>
        <w:rPr>
          <w:rFonts w:ascii="Times New Roman" w:hAnsi="Times New Roman" w:cs="Times New Roman"/>
          <w:noProof/>
          <w:sz w:val="24"/>
          <w:szCs w:val="24"/>
          <w:lang w:val="de-DE"/>
        </w:rPr>
      </w:pPr>
      <w:r>
        <w:rPr>
          <w:rFonts w:ascii="Times New Roman" w:hAnsi="Times New Roman" w:cs="Times New Roman"/>
          <w:noProof/>
          <w:sz w:val="24"/>
          <w:szCs w:val="24"/>
          <w:lang w:val="fr-BE" w:eastAsia="fr-BE"/>
        </w:rPr>
        <w:drawing>
          <wp:inline distT="0" distB="0" distL="0" distR="0">
            <wp:extent cx="5811513" cy="3603400"/>
            <wp:effectExtent l="19050" t="19050" r="18415"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1513" cy="3603400"/>
                    </a:xfrm>
                    <a:prstGeom prst="rect">
                      <a:avLst/>
                    </a:prstGeom>
                    <a:noFill/>
                    <a:ln>
                      <a:solidFill>
                        <a:schemeClr val="bg2">
                          <a:alpha val="50000"/>
                        </a:schemeClr>
                      </a:solidFill>
                    </a:ln>
                    <a:effectLst>
                      <a:softEdge rad="0"/>
                    </a:effectLst>
                  </pic:spPr>
                </pic:pic>
              </a:graphicData>
            </a:graphic>
          </wp:inline>
        </w:drawing>
      </w:r>
    </w:p>
    <w:p w:rsidR="00BE32E5" w:rsidRDefault="00FF1490">
      <w:pPr>
        <w:jc w:val="both"/>
        <w:rPr>
          <w:rFonts w:ascii="Times New Roman" w:hAnsi="Times New Roman" w:cs="Times New Roman"/>
          <w:i/>
          <w:noProof/>
          <w:sz w:val="24"/>
          <w:szCs w:val="24"/>
        </w:rPr>
      </w:pPr>
      <w:r>
        <w:rPr>
          <w:rFonts w:ascii="Times New Roman" w:hAnsi="Times New Roman" w:cs="Times New Roman"/>
          <w:b/>
          <w:i/>
          <w:noProof/>
          <w:sz w:val="24"/>
          <w:szCs w:val="24"/>
        </w:rPr>
        <w:t>Figure 1</w:t>
      </w:r>
      <w:r>
        <w:rPr>
          <w:rFonts w:ascii="Times New Roman" w:hAnsi="Times New Roman" w:cs="Times New Roman"/>
          <w:i/>
          <w:noProof/>
          <w:sz w:val="24"/>
          <w:szCs w:val="24"/>
        </w:rPr>
        <w:t xml:space="preserve">: Actual and planned renewable energy shares for the EU 28 (2005-2020, %). Source: Eurostat and National Renewable Energy Action plans (NREAP) </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In terms of the absolute consumption of renewable energy, the heating and cooling sector provides the</w:t>
      </w:r>
      <w:r>
        <w:rPr>
          <w:rFonts w:ascii="Times New Roman" w:hAnsi="Times New Roman" w:cs="Times New Roman"/>
          <w:noProof/>
          <w:sz w:val="24"/>
          <w:szCs w:val="24"/>
        </w:rPr>
        <w:t xml:space="preserve"> largest contribution with a total of 102 Mtoe in 2017, closely followed by renewable electricity, with a consumption of 86.7 Mtoe, and the transport sector, with a consumption of 23.65 Mtoe</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xml:space="preserve">. </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The main renewable sources used in energy consumption were bio</w:t>
      </w:r>
      <w:r>
        <w:rPr>
          <w:rFonts w:ascii="Times New Roman" w:hAnsi="Times New Roman" w:cs="Times New Roman"/>
          <w:noProof/>
          <w:sz w:val="24"/>
          <w:szCs w:val="24"/>
        </w:rPr>
        <w:t>mass for heating and cooling, hydropower and wind for electricity, and biofuels for transport. In the electricity sector, a clear paradigm shift is happening towards renewables. One of the key factors has been the decline in the cost of electricity from so</w:t>
      </w:r>
      <w:r>
        <w:rPr>
          <w:rFonts w:ascii="Times New Roman" w:hAnsi="Times New Roman" w:cs="Times New Roman"/>
          <w:noProof/>
          <w:sz w:val="24"/>
          <w:szCs w:val="24"/>
        </w:rPr>
        <w:t>lar PV and wind power, which over the period from 2009 to 2018 fell with nearly 75% and about 50% (depending on the market) respectively, due to capital costs reductions, advances in efficiency and supply chain improvements and competitive tendering for su</w:t>
      </w:r>
      <w:r>
        <w:rPr>
          <w:rFonts w:ascii="Times New Roman" w:hAnsi="Times New Roman" w:cs="Times New Roman"/>
          <w:noProof/>
          <w:sz w:val="24"/>
          <w:szCs w:val="24"/>
        </w:rPr>
        <w:t>pport schemes. In 2018, the Ourika project in Portugal was the first European solar project developed without any kind of public support. In Germany, the market premiums paid for a 1.4 MW solar PV project was below the market value for solar power in summe</w:t>
      </w:r>
      <w:r>
        <w:rPr>
          <w:rFonts w:ascii="Times New Roman" w:hAnsi="Times New Roman" w:cs="Times New Roman"/>
          <w:noProof/>
          <w:sz w:val="24"/>
          <w:szCs w:val="24"/>
        </w:rPr>
        <w:t>r 2018, and in Denmark new wind power projects were developed for a fixed feed-in tariff of 2.5 EUR/MWh. In both Germany and the Netherlands, the tenders for the development of a 1610 and 700 MW offshore wind parks received zero-subsidy bids.</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The decline i</w:t>
      </w:r>
      <w:r>
        <w:rPr>
          <w:rFonts w:ascii="Times New Roman" w:hAnsi="Times New Roman" w:cs="Times New Roman"/>
          <w:noProof/>
          <w:sz w:val="24"/>
          <w:szCs w:val="24"/>
        </w:rPr>
        <w:t>n costs is also one of the key drivers for an increase in corporate sourcing of renewables, especially in the case where corporate energy users sign a direct power purchase agreement with a renewable energy developer. Over the period from 2015 to 2018, cor</w:t>
      </w:r>
      <w:r>
        <w:rPr>
          <w:rFonts w:ascii="Times New Roman" w:hAnsi="Times New Roman" w:cs="Times New Roman"/>
          <w:noProof/>
          <w:sz w:val="24"/>
          <w:szCs w:val="24"/>
        </w:rPr>
        <w:t>porate power purchase agreements for renewable electricity in Europe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quadrupled from 506 MW to 1967 MW. </w:t>
      </w:r>
    </w:p>
    <w:p w:rsidR="00BE32E5" w:rsidRDefault="00FF1490">
      <w:pPr>
        <w:pStyle w:val="Heading1"/>
        <w:rPr>
          <w:noProof/>
        </w:rPr>
      </w:pPr>
      <w:bookmarkStart w:id="4" w:name="_Toc1149219"/>
      <w:r>
        <w:rPr>
          <w:noProof/>
        </w:rPr>
        <w:t>3. DETAILED ASSESSMENTS OF MEMBER STATES PROGRESS AND PROJECTIONS</w:t>
      </w:r>
      <w:bookmarkEnd w:id="4"/>
      <w:r>
        <w:rPr>
          <w:noProof/>
        </w:rPr>
        <w:t xml:space="preserve"> BY 2020</w:t>
      </w:r>
    </w:p>
    <w:p w:rsidR="00BE32E5" w:rsidRDefault="00FF1490">
      <w:pPr>
        <w:pStyle w:val="Heading2"/>
        <w:spacing w:after="120"/>
        <w:ind w:left="714" w:hanging="357"/>
        <w:rPr>
          <w:noProof/>
        </w:rPr>
      </w:pPr>
      <w:bookmarkStart w:id="5" w:name="_Toc1149220"/>
      <w:r>
        <w:rPr>
          <w:noProof/>
        </w:rPr>
        <w:t>Progress in electricity, heating &amp; cooling and transport</w:t>
      </w:r>
      <w:bookmarkEnd w:id="5"/>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renewable </w:t>
      </w:r>
      <w:r>
        <w:rPr>
          <w:rFonts w:ascii="Times New Roman" w:hAnsi="Times New Roman" w:cs="Times New Roman"/>
          <w:noProof/>
          <w:sz w:val="24"/>
          <w:szCs w:val="24"/>
        </w:rPr>
        <w:t>energy shares reflect the historic diversity in Member States’ energy mix and their differences in renewable energy potential, with shares ranging from 6,4% in Luxembourg to 54,5% in Sweden in 2017 (see figure 2).</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lang w:val="fr-BE" w:eastAsia="fr-BE"/>
        </w:rPr>
        <w:drawing>
          <wp:inline distT="0" distB="0" distL="0" distR="0">
            <wp:extent cx="5938520" cy="2393422"/>
            <wp:effectExtent l="0" t="0" r="508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58239" cy="2401369"/>
                    </a:xfrm>
                    <a:prstGeom prst="rect">
                      <a:avLst/>
                    </a:prstGeom>
                    <a:noFill/>
                  </pic:spPr>
                </pic:pic>
              </a:graphicData>
            </a:graphic>
          </wp:inline>
        </w:drawing>
      </w:r>
    </w:p>
    <w:p w:rsidR="00BE32E5" w:rsidRDefault="00BE32E5">
      <w:pPr>
        <w:jc w:val="both"/>
        <w:rPr>
          <w:rFonts w:ascii="Times New Roman" w:hAnsi="Times New Roman" w:cs="Times New Roman"/>
          <w:noProof/>
          <w:sz w:val="24"/>
          <w:szCs w:val="24"/>
        </w:rPr>
      </w:pPr>
    </w:p>
    <w:p w:rsidR="00BE32E5" w:rsidRDefault="00FF1490">
      <w:pPr>
        <w:jc w:val="both"/>
        <w:rPr>
          <w:rFonts w:ascii="Times New Roman" w:hAnsi="Times New Roman" w:cs="Times New Roman"/>
          <w:i/>
          <w:noProof/>
          <w:sz w:val="24"/>
          <w:szCs w:val="24"/>
        </w:rPr>
      </w:pPr>
      <w:r>
        <w:rPr>
          <w:rFonts w:ascii="Times New Roman" w:hAnsi="Times New Roman" w:cs="Times New Roman"/>
          <w:b/>
          <w:noProof/>
          <w:sz w:val="24"/>
          <w:szCs w:val="24"/>
        </w:rPr>
        <w:t>Figure 2</w:t>
      </w:r>
      <w:r>
        <w:rPr>
          <w:rFonts w:ascii="Times New Roman" w:hAnsi="Times New Roman" w:cs="Times New Roman"/>
          <w:noProof/>
          <w:sz w:val="24"/>
          <w:szCs w:val="24"/>
        </w:rPr>
        <w:t xml:space="preserve">: </w:t>
      </w:r>
      <w:r>
        <w:rPr>
          <w:rFonts w:ascii="Times New Roman" w:hAnsi="Times New Roman" w:cs="Times New Roman"/>
          <w:i/>
          <w:noProof/>
          <w:sz w:val="24"/>
          <w:szCs w:val="24"/>
        </w:rPr>
        <w:t>EU and Member States renewabl</w:t>
      </w:r>
      <w:r>
        <w:rPr>
          <w:rFonts w:ascii="Times New Roman" w:hAnsi="Times New Roman" w:cs="Times New Roman"/>
          <w:i/>
          <w:noProof/>
          <w:sz w:val="24"/>
          <w:szCs w:val="24"/>
        </w:rPr>
        <w:t xml:space="preserve">e energy shares in gross final energy consumption 2015-17 vs. trajectories set in </w:t>
      </w:r>
      <w:r>
        <w:rPr>
          <w:rFonts w:ascii="Times New Roman" w:hAnsi="Times New Roman" w:cs="Times New Roman"/>
          <w:noProof/>
          <w:sz w:val="24"/>
          <w:szCs w:val="24"/>
          <w:lang w:val="en-US"/>
        </w:rPr>
        <w:t>RED I</w:t>
      </w:r>
      <w:r>
        <w:rPr>
          <w:rFonts w:ascii="Times New Roman" w:hAnsi="Times New Roman" w:cs="Times New Roman"/>
          <w:i/>
          <w:noProof/>
          <w:sz w:val="24"/>
          <w:szCs w:val="24"/>
        </w:rPr>
        <w:t xml:space="preserve"> (source: Eurostat)</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On the basis of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renewable energy progress reports of the Member States (“progress reports”), that cover the period 2015-2016</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25 Member Stat</w:t>
      </w:r>
      <w:r>
        <w:rPr>
          <w:rFonts w:ascii="Times New Roman" w:hAnsi="Times New Roman" w:cs="Times New Roman"/>
          <w:noProof/>
          <w:sz w:val="24"/>
          <w:szCs w:val="24"/>
        </w:rPr>
        <w:t xml:space="preserve">es were above their indicative trajectory of </w:t>
      </w:r>
      <w:r>
        <w:rPr>
          <w:rFonts w:ascii="Times New Roman" w:hAnsi="Times New Roman" w:cs="Times New Roman"/>
          <w:noProof/>
          <w:sz w:val="24"/>
          <w:szCs w:val="24"/>
          <w:lang w:val="en-US"/>
        </w:rPr>
        <w:t xml:space="preserve">RED I for the period </w:t>
      </w:r>
      <w:r>
        <w:rPr>
          <w:rFonts w:ascii="Times New Roman" w:hAnsi="Times New Roman" w:cs="Times New Roman"/>
          <w:noProof/>
          <w:sz w:val="24"/>
          <w:szCs w:val="24"/>
        </w:rPr>
        <w:t>2015/2016. Among the 3 Member States that were below their RED I trajectories, the Netherlands shows the largest gap, with an actual average share of 5.9% for 2015/2016, versus an indicative</w:t>
      </w:r>
      <w:r>
        <w:rPr>
          <w:rFonts w:ascii="Times New Roman" w:hAnsi="Times New Roman" w:cs="Times New Roman"/>
          <w:noProof/>
          <w:sz w:val="24"/>
          <w:szCs w:val="24"/>
        </w:rPr>
        <w:t xml:space="preserve"> RED trajectory of 7.6%. The gap to the planned NREAP share of 9.7% renewable energy in 2016 is even larger. The country continues to be behind the planned RES-E trajectory and also somewhat delayed regarding its planned RES-T development. Luxembourg and F</w:t>
      </w:r>
      <w:r>
        <w:rPr>
          <w:rFonts w:ascii="Times New Roman" w:hAnsi="Times New Roman" w:cs="Times New Roman"/>
          <w:noProof/>
          <w:sz w:val="24"/>
          <w:szCs w:val="24"/>
        </w:rPr>
        <w:t xml:space="preserve">rance were also below their indicative RED I trajectories for 2015/2016, although only by a limited margin. </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Eurostat figures for 2017 do not show any significantly different picture. There are 11 Member States (Bulgaria, the Czech Republic, Denmark, Estonia, Finland, Croatia, Hungary, Italy, Lithuania, Romania, and Sweden) that have already achieved a share </w:t>
      </w:r>
      <w:r>
        <w:rPr>
          <w:rFonts w:ascii="Times New Roman" w:hAnsi="Times New Roman" w:cs="Times New Roman"/>
          <w:noProof/>
          <w:sz w:val="24"/>
          <w:szCs w:val="24"/>
        </w:rPr>
        <w:t xml:space="preserve">corresponding to their 2020 target. Out of the remaining 17 Member States, 10 Member States are already on, or above, their interim trajectories set in </w:t>
      </w:r>
      <w:r>
        <w:rPr>
          <w:rFonts w:ascii="Times New Roman" w:hAnsi="Times New Roman" w:cs="Times New Roman"/>
          <w:noProof/>
          <w:sz w:val="24"/>
          <w:szCs w:val="24"/>
          <w:lang w:val="en-US"/>
        </w:rPr>
        <w:t>RED I</w:t>
      </w:r>
      <w:r>
        <w:rPr>
          <w:rFonts w:ascii="Times New Roman" w:hAnsi="Times New Roman" w:cs="Times New Roman"/>
          <w:noProof/>
          <w:sz w:val="24"/>
          <w:szCs w:val="24"/>
        </w:rPr>
        <w:t xml:space="preserve"> for 2017-2018. The remaining 7 Member States (Belgium, France, Ireland, Luxembourg, the Netherland</w:t>
      </w:r>
      <w:r>
        <w:rPr>
          <w:rFonts w:ascii="Times New Roman" w:hAnsi="Times New Roman" w:cs="Times New Roman"/>
          <w:noProof/>
          <w:sz w:val="24"/>
          <w:szCs w:val="24"/>
        </w:rPr>
        <w:t>s, Poland, Slovenia) would need to step up efforts  to comply with the average 2017-2018 trajectory towards 2020.</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 xml:space="preserve">Looking at the absolute levels of consumption of renewable energy in EU 28, there is a significant increase from 189 Mtoe in 2015 to 204 Mtoe </w:t>
      </w:r>
      <w:r>
        <w:rPr>
          <w:rFonts w:ascii="Times New Roman" w:hAnsi="Times New Roman" w:cs="Times New Roman"/>
          <w:noProof/>
          <w:sz w:val="24"/>
          <w:szCs w:val="24"/>
        </w:rPr>
        <w:t>in 2017 i.e. 8%. However, in the same period the gross final consumption of energy raised from 1125 Mtoe to 1159 Mtoe, which resulted in a decreasing impact for renewable energy share, since this is calculated as the final renewable energy consumption divi</w:t>
      </w:r>
      <w:r>
        <w:rPr>
          <w:rFonts w:ascii="Times New Roman" w:hAnsi="Times New Roman" w:cs="Times New Roman"/>
          <w:noProof/>
          <w:sz w:val="24"/>
          <w:szCs w:val="24"/>
        </w:rPr>
        <w:t>ded with the gross final consumption of energy. This demand increase is one of the underlying key factors behind the lowering of the renewable energy share in 2017 compared to 2016 in 9 Member States (Austria, Bulgaria, Czech Republic, Hungary, Poland, Por</w:t>
      </w:r>
      <w:r>
        <w:rPr>
          <w:rFonts w:ascii="Times New Roman" w:hAnsi="Times New Roman" w:cs="Times New Roman"/>
          <w:noProof/>
          <w:sz w:val="24"/>
          <w:szCs w:val="24"/>
        </w:rPr>
        <w:t xml:space="preserve">tugal, Romania and Slovakia). </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 xml:space="preserve">Sectorial renewable energy shares grew for a large majority of the Member States between 2015-2017. However, for some Member States, the sectorial shares change by only less than 0.3 percentage points. This is the case for 9 </w:t>
      </w:r>
      <w:r>
        <w:rPr>
          <w:rFonts w:ascii="Times New Roman" w:hAnsi="Times New Roman" w:cs="Times New Roman"/>
          <w:noProof/>
          <w:sz w:val="24"/>
          <w:szCs w:val="24"/>
        </w:rPr>
        <w:t>Member States in RES-E (Bulgaria, Czech Republic, Spain, Hungary, Poland, Romania, Slovenia, Slovakia, Sweden), 7 in RES-H&amp;C (Czech Republic, Germany, Hungary, Austria, Poland, Slovenia, Slovakia), and 10 for RES-T (Czech Republic, Denmark, Estonia, Hungar</w:t>
      </w:r>
      <w:r>
        <w:rPr>
          <w:rFonts w:ascii="Times New Roman" w:hAnsi="Times New Roman" w:cs="Times New Roman"/>
          <w:noProof/>
          <w:sz w:val="24"/>
          <w:szCs w:val="24"/>
        </w:rPr>
        <w:t xml:space="preserve">y, Cyprus, Latvia, Luxembourg, Austria, Poland, Finland).  </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For the transport sector, where all Member States should reach the same target of 10%, this slowdown could be challenging in the 8 Member States (Estonia, Greece, Hungary, Cyprus, Latvia, Lithuani</w:t>
      </w:r>
      <w:r>
        <w:rPr>
          <w:rFonts w:ascii="Times New Roman" w:hAnsi="Times New Roman" w:cs="Times New Roman"/>
          <w:noProof/>
          <w:sz w:val="24"/>
          <w:szCs w:val="24"/>
        </w:rPr>
        <w:t>a, Poland, Slovenia) that have less than 5% renewable energy consumption in the transport sector and that would therefore need a steep increase to reach the 10% target. The recourse to statistical transfers for the transport sector, enabled by the ILUC Dir</w:t>
      </w:r>
      <w:r>
        <w:rPr>
          <w:rFonts w:ascii="Times New Roman" w:hAnsi="Times New Roman" w:cs="Times New Roman"/>
          <w:noProof/>
          <w:sz w:val="24"/>
          <w:szCs w:val="24"/>
        </w:rPr>
        <w:t xml:space="preserve">ective is also a possible avenue to explore. </w:t>
      </w:r>
    </w:p>
    <w:p w:rsidR="00BE32E5" w:rsidRDefault="00FF1490">
      <w:pPr>
        <w:pStyle w:val="Heading2"/>
        <w:spacing w:after="120"/>
        <w:ind w:left="714" w:hanging="357"/>
        <w:rPr>
          <w:noProof/>
        </w:rPr>
      </w:pPr>
      <w:bookmarkStart w:id="6" w:name="_Toc1149221"/>
      <w:r>
        <w:rPr>
          <w:noProof/>
        </w:rPr>
        <w:t>Co-operation mechanisms</w:t>
      </w:r>
      <w:bookmarkEnd w:id="6"/>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Co-operation mechanisms are based on Articles 6 to 11 of RED I. They include several mechanisms through which Member States can cooperate on renewable energy such as statistical transfers, joint projects and joint support schemes. Statistical transfers are</w:t>
      </w:r>
      <w:r>
        <w:rPr>
          <w:rFonts w:ascii="Times New Roman" w:hAnsi="Times New Roman" w:cs="Times New Roman"/>
          <w:noProof/>
          <w:sz w:val="24"/>
          <w:szCs w:val="24"/>
        </w:rPr>
        <w:t xml:space="preserve"> particularly relevant to facilitate target achievement since they enable Member States that have reached a higher renewable energy share than their national target to transfer their surplus to another Member States. There are currently two agreements to m</w:t>
      </w:r>
      <w:r>
        <w:rPr>
          <w:rFonts w:ascii="Times New Roman" w:hAnsi="Times New Roman" w:cs="Times New Roman"/>
          <w:noProof/>
          <w:sz w:val="24"/>
          <w:szCs w:val="24"/>
        </w:rPr>
        <w:t xml:space="preserve">ake use of these statistical transfers between Luxembourg and Lithuania and between Luxembourg and Estonia. In both cases, they stipulate that Luxembourg will receive statistical transfers for the period 2018 – 2020. </w:t>
      </w:r>
    </w:p>
    <w:p w:rsidR="00BE32E5" w:rsidRDefault="00FF1490">
      <w:pPr>
        <w:jc w:val="both"/>
        <w:rPr>
          <w:rFonts w:ascii="Times New Roman" w:hAnsi="Times New Roman" w:cs="Times New Roman"/>
          <w:noProof/>
          <w:sz w:val="24"/>
          <w:szCs w:val="24"/>
        </w:rPr>
      </w:pPr>
      <w:r>
        <w:rPr>
          <w:rFonts w:ascii="Times New Roman" w:hAnsi="Times New Roman" w:cs="Times New Roman"/>
          <w:noProof/>
          <w:sz w:val="24"/>
          <w:szCs w:val="24"/>
        </w:rPr>
        <w:t>According to the estimates that Member</w:t>
      </w:r>
      <w:r>
        <w:rPr>
          <w:rFonts w:ascii="Times New Roman" w:hAnsi="Times New Roman" w:cs="Times New Roman"/>
          <w:noProof/>
          <w:sz w:val="24"/>
          <w:szCs w:val="24"/>
        </w:rPr>
        <w:t xml:space="preserve"> States have included in their progress reports, there would be an overall 12564 ktoe excess production of renewable energy, compared to the indicative trajectory, available for potential statistical transfers in 2020. This corresponds to around half of Fr</w:t>
      </w:r>
      <w:r>
        <w:rPr>
          <w:rFonts w:ascii="Times New Roman" w:hAnsi="Times New Roman" w:cs="Times New Roman"/>
          <w:noProof/>
          <w:sz w:val="24"/>
          <w:szCs w:val="24"/>
        </w:rPr>
        <w:t xml:space="preserve">ance gross final consumption of energy from renewable sources. For a Member State that may not meet the 2020 target using their own renewable sources, this could be a viable option to meet their target cost-effectively (see table 1). </w:t>
      </w:r>
    </w:p>
    <w:tbl>
      <w:tblPr>
        <w:tblStyle w:val="Tablestylegreen2"/>
        <w:tblW w:w="5005" w:type="pct"/>
        <w:tblLook w:val="04A0" w:firstRow="1" w:lastRow="0" w:firstColumn="1" w:lastColumn="0" w:noHBand="0" w:noVBand="1"/>
      </w:tblPr>
      <w:tblGrid>
        <w:gridCol w:w="1408"/>
        <w:gridCol w:w="661"/>
        <w:gridCol w:w="661"/>
        <w:gridCol w:w="661"/>
        <w:gridCol w:w="661"/>
        <w:gridCol w:w="661"/>
        <w:gridCol w:w="661"/>
        <w:gridCol w:w="661"/>
        <w:gridCol w:w="661"/>
        <w:gridCol w:w="661"/>
        <w:gridCol w:w="661"/>
        <w:gridCol w:w="572"/>
        <w:gridCol w:w="661"/>
      </w:tblGrid>
      <w:tr w:rsidR="00BE32E5" w:rsidTr="00BE32E5">
        <w:trPr>
          <w:cnfStyle w:val="100000000000" w:firstRow="1" w:lastRow="0" w:firstColumn="0" w:lastColumn="0" w:oddVBand="0" w:evenVBand="0" w:oddHBand="0" w:evenHBand="0" w:firstRowFirstColumn="0" w:firstRowLastColumn="0" w:lastRowFirstColumn="0" w:lastRowLastColumn="0"/>
          <w:trHeight w:val="296"/>
        </w:trPr>
        <w:tc>
          <w:tcPr>
            <w:cnfStyle w:val="001000000100" w:firstRow="0" w:lastRow="0" w:firstColumn="1" w:lastColumn="0" w:oddVBand="0" w:evenVBand="0" w:oddHBand="0" w:evenHBand="0" w:firstRowFirstColumn="1" w:firstRowLastColumn="0" w:lastRowFirstColumn="0" w:lastRowLastColumn="0"/>
            <w:tcW w:w="761" w:type="pct"/>
            <w:noWrap/>
          </w:tcPr>
          <w:p w:rsidR="00BE32E5" w:rsidRDefault="00BE32E5">
            <w:pPr>
              <w:keepNext/>
              <w:spacing w:before="0" w:beforeAutospacing="0" w:after="0" w:afterAutospacing="0"/>
              <w:jc w:val="both"/>
              <w:rPr>
                <w:rFonts w:cs="Arial"/>
                <w:noProof/>
                <w:color w:val="FFFFFF" w:themeColor="background1"/>
                <w:szCs w:val="16"/>
                <w:lang w:val="en-GB"/>
              </w:rPr>
            </w:pPr>
          </w:p>
        </w:tc>
        <w:tc>
          <w:tcPr>
            <w:tcW w:w="357"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2009</w:t>
            </w:r>
          </w:p>
        </w:tc>
        <w:tc>
          <w:tcPr>
            <w:tcW w:w="357"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2010</w:t>
            </w:r>
          </w:p>
        </w:tc>
        <w:tc>
          <w:tcPr>
            <w:tcW w:w="357"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2011</w:t>
            </w:r>
          </w:p>
        </w:tc>
        <w:tc>
          <w:tcPr>
            <w:tcW w:w="357"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2012</w:t>
            </w:r>
          </w:p>
        </w:tc>
        <w:tc>
          <w:tcPr>
            <w:tcW w:w="357"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2013</w:t>
            </w:r>
          </w:p>
        </w:tc>
        <w:tc>
          <w:tcPr>
            <w:tcW w:w="357"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2014</w:t>
            </w:r>
          </w:p>
        </w:tc>
        <w:tc>
          <w:tcPr>
            <w:tcW w:w="357"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2015</w:t>
            </w:r>
          </w:p>
        </w:tc>
        <w:tc>
          <w:tcPr>
            <w:tcW w:w="357"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2016</w:t>
            </w:r>
          </w:p>
        </w:tc>
        <w:tc>
          <w:tcPr>
            <w:tcW w:w="357"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2017</w:t>
            </w:r>
          </w:p>
        </w:tc>
        <w:tc>
          <w:tcPr>
            <w:tcW w:w="357"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2018</w:t>
            </w:r>
          </w:p>
        </w:tc>
        <w:tc>
          <w:tcPr>
            <w:tcW w:w="309"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2019</w:t>
            </w:r>
          </w:p>
        </w:tc>
        <w:tc>
          <w:tcPr>
            <w:tcW w:w="357" w:type="pct"/>
            <w:shd w:val="clear" w:color="auto" w:fill="648C1A"/>
            <w:noWrap/>
          </w:tcPr>
          <w:p w:rsidR="00BE32E5" w:rsidRDefault="00FF1490">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rFonts w:cs="Arial"/>
                <w:b/>
                <w:noProof/>
                <w:color w:val="FFFFFF" w:themeColor="background1"/>
                <w:szCs w:val="16"/>
              </w:rPr>
              <w:t>2020</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Belgium</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09"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Bulgaria</w:t>
            </w: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372</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357</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528</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641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601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610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691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420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471</w:t>
            </w:r>
          </w:p>
        </w:tc>
        <w:tc>
          <w:tcPr>
            <w:tcW w:w="309"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411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341</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Czech Republic</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1145</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1039</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947</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863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892</w:t>
            </w:r>
          </w:p>
        </w:tc>
        <w:tc>
          <w:tcPr>
            <w:tcW w:w="309"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678</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643</w:t>
            </w: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Denmark</w:t>
            </w: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694</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834</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1123</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1106</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1223</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1452</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552</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619</w:t>
            </w:r>
          </w:p>
        </w:tc>
        <w:tc>
          <w:tcPr>
            <w:tcW w:w="309"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63</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Germany</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6895</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8436</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6546</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9390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7272</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7911</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4130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5976</w:t>
            </w:r>
          </w:p>
        </w:tc>
        <w:tc>
          <w:tcPr>
            <w:tcW w:w="309"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3065</w:t>
            </w: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Estonia</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101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117</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135</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122</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75</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94</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154</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163</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186</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235</w:t>
            </w:r>
          </w:p>
        </w:tc>
        <w:tc>
          <w:tcPr>
            <w:tcW w:w="309"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279</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296</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Ireland</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-14</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111</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79</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26</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-142</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w:t>
            </w:r>
          </w:p>
        </w:tc>
        <w:tc>
          <w:tcPr>
            <w:tcW w:w="309"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-239</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-366</w:t>
            </w: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Greece</w:t>
            </w: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137</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201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320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242</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195</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137</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-162</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737</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743</w:t>
            </w:r>
          </w:p>
        </w:tc>
        <w:tc>
          <w:tcPr>
            <w:tcW w:w="309"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683</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529</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Spain</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2290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3083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2720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3357</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1990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2963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2049</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2793</w:t>
            </w:r>
          </w:p>
        </w:tc>
        <w:tc>
          <w:tcPr>
            <w:tcW w:w="309"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 xml:space="preserve"> </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839</w:t>
            </w: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France</w:t>
            </w: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-641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-2708</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-1877</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-1565</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-3721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-4048</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-4075</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09"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Italy</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8324</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8613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7405</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10011</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10937</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9343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9468</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7789</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7259</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5828</w:t>
            </w:r>
          </w:p>
        </w:tc>
        <w:tc>
          <w:tcPr>
            <w:tcW w:w="309"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4462</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3397</w:t>
            </w: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Cyprus</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28</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44</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45</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43</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29</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29</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57</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34</w:t>
            </w:r>
          </w:p>
        </w:tc>
        <w:tc>
          <w:tcPr>
            <w:tcW w:w="309"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Latvia</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-69</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-127</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09"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Luxembourg</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-50</w:t>
            </w:r>
          </w:p>
        </w:tc>
        <w:tc>
          <w:tcPr>
            <w:tcW w:w="309"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-120</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Hungary</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968</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1150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1213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1295</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883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970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803</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09"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Malta</w:t>
            </w: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10</w:t>
            </w: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09"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Netherlands</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09"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Austria</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09"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Poland</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543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729</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929</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530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174</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-260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968</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968</w:t>
            </w:r>
          </w:p>
        </w:tc>
        <w:tc>
          <w:tcPr>
            <w:tcW w:w="309"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587</w:t>
            </w:r>
          </w:p>
        </w:tc>
      </w:tr>
      <w:tr w:rsidR="00BE32E5" w:rsidTr="00BE32E5">
        <w:trPr>
          <w:cnfStyle w:val="000000010000" w:firstRow="0" w:lastRow="0" w:firstColumn="0" w:lastColumn="0" w:oddVBand="0" w:evenVBand="0" w:oddHBand="0" w:evenHBand="1"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Portugal</w:t>
            </w: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tcPr>
          <w:p w:rsidR="00BE32E5" w:rsidRDefault="00BE32E5">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83</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82</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84</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144</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128</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154</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131</w:t>
            </w:r>
          </w:p>
        </w:tc>
        <w:tc>
          <w:tcPr>
            <w:tcW w:w="309"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50</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Romania</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1153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1306</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794</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942</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645</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692</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1089</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886</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258</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405</w:t>
            </w:r>
          </w:p>
        </w:tc>
        <w:tc>
          <w:tcPr>
            <w:tcW w:w="309"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263</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Slovenia</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09"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rsidR="00BE32E5" w:rsidTr="00BE32E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Slovakia</w:t>
            </w: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302</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254</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142</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222</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305</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364</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90</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110</w:t>
            </w:r>
          </w:p>
        </w:tc>
        <w:tc>
          <w:tcPr>
            <w:tcW w:w="309" w:type="pct"/>
            <w:noWrap/>
          </w:tcPr>
          <w:p w:rsidR="00BE32E5" w:rsidRDefault="00BE32E5">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Finland</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09"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bookmarkStart w:id="7" w:name="RANGE!C29"/>
      <w:tr w:rsidR="00BE32E5" w:rsidTr="00BE32E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bCs/>
                <w:noProof/>
                <w:color w:val="FFFFFF" w:themeColor="background1"/>
                <w:szCs w:val="16"/>
              </w:rPr>
              <w:fldChar w:fldCharType="begin"/>
            </w:r>
            <w:r>
              <w:rPr>
                <w:rFonts w:cs="Arial"/>
                <w:noProof/>
                <w:color w:val="FFFFFF" w:themeColor="background1"/>
                <w:szCs w:val="16"/>
              </w:rPr>
              <w:instrText xml:space="preserve"> HYPERLINK "file:///C:\\Users\\fvonbluecher\\Desktop\\stuff\\2020%20PREBS\\Cooperation%20mechanism%20overview.xlsx" \l "RANGE!#REF!" </w:instrText>
            </w:r>
            <w:r>
              <w:rPr>
                <w:rFonts w:cs="Arial"/>
                <w:bCs/>
                <w:noProof/>
                <w:color w:val="FFFFFF" w:themeColor="background1"/>
                <w:szCs w:val="16"/>
              </w:rPr>
              <w:fldChar w:fldCharType="separate"/>
            </w:r>
            <w:r>
              <w:rPr>
                <w:rFonts w:cs="Arial"/>
                <w:noProof/>
                <w:color w:val="FFFFFF" w:themeColor="background1"/>
                <w:szCs w:val="16"/>
              </w:rPr>
              <w:t>Sweden</w:t>
            </w:r>
            <w:r>
              <w:rPr>
                <w:rFonts w:cs="Arial"/>
                <w:bCs/>
                <w:noProof/>
                <w:color w:val="FFFFFF" w:themeColor="background1"/>
                <w:szCs w:val="16"/>
              </w:rPr>
              <w:fldChar w:fldCharType="end"/>
            </w:r>
            <w:bookmarkEnd w:id="7"/>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2407</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2141</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2482</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3318</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3214</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3335</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3347</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3475</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3215</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3610</w:t>
            </w:r>
          </w:p>
        </w:tc>
        <w:tc>
          <w:tcPr>
            <w:tcW w:w="309"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3428</w:t>
            </w:r>
          </w:p>
        </w:tc>
        <w:tc>
          <w:tcPr>
            <w:tcW w:w="357" w:type="pct"/>
            <w:noWrap/>
          </w:tcPr>
          <w:p w:rsidR="00BE32E5" w:rsidRDefault="00FF1490">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3241</w:t>
            </w:r>
          </w:p>
        </w:tc>
      </w:tr>
      <w:tr w:rsidR="00BE32E5" w:rsidTr="00BE32E5">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tcPr>
          <w:p w:rsidR="00BE32E5" w:rsidRDefault="00FF1490">
            <w:pPr>
              <w:keepNext/>
              <w:spacing w:before="0" w:beforeAutospacing="0" w:after="0" w:afterAutospacing="0"/>
              <w:jc w:val="both"/>
              <w:rPr>
                <w:rFonts w:cs="Arial"/>
                <w:b w:val="0"/>
                <w:noProof/>
                <w:color w:val="FFFFFF" w:themeColor="background1"/>
                <w:szCs w:val="16"/>
              </w:rPr>
            </w:pPr>
            <w:r>
              <w:rPr>
                <w:rFonts w:cs="Arial"/>
                <w:noProof/>
                <w:color w:val="FFFFFF" w:themeColor="background1"/>
                <w:szCs w:val="16"/>
              </w:rPr>
              <w:t xml:space="preserve">Total </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11985</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13544</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20838</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28332</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26660</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27033</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23901</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23038</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20722</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22752</w:t>
            </w:r>
          </w:p>
        </w:tc>
        <w:tc>
          <w:tcPr>
            <w:tcW w:w="309"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9982</w:t>
            </w:r>
          </w:p>
        </w:tc>
        <w:tc>
          <w:tcPr>
            <w:tcW w:w="357" w:type="pct"/>
            <w:noWrap/>
          </w:tcPr>
          <w:p w:rsidR="00BE32E5" w:rsidRDefault="00FF1490">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12564</w:t>
            </w:r>
          </w:p>
        </w:tc>
      </w:tr>
    </w:tbl>
    <w:p w:rsidR="00BE32E5" w:rsidRDefault="00FF1490">
      <w:pPr>
        <w:keepNext/>
        <w:jc w:val="both"/>
        <w:rPr>
          <w:rFonts w:ascii="Times New Roman" w:hAnsi="Times New Roman" w:cs="Times New Roman"/>
          <w:i/>
          <w:noProof/>
          <w:sz w:val="24"/>
        </w:rPr>
      </w:pPr>
      <w:r>
        <w:rPr>
          <w:rFonts w:ascii="Times New Roman" w:hAnsi="Times New Roman" w:cs="Times New Roman"/>
          <w:b/>
          <w:noProof/>
          <w:sz w:val="24"/>
        </w:rPr>
        <w:t>Table 1</w:t>
      </w:r>
      <w:r>
        <w:rPr>
          <w:rFonts w:ascii="Times New Roman" w:hAnsi="Times New Roman" w:cs="Times New Roman"/>
          <w:noProof/>
          <w:sz w:val="24"/>
        </w:rPr>
        <w:t xml:space="preserve">: </w:t>
      </w:r>
      <w:r>
        <w:rPr>
          <w:rFonts w:ascii="Times New Roman" w:hAnsi="Times New Roman" w:cs="Times New Roman"/>
          <w:i/>
          <w:noProof/>
          <w:sz w:val="24"/>
        </w:rPr>
        <w:t xml:space="preserve">Actual and estimated excess and/or deficit production of renewable energy in Member States </w:t>
      </w:r>
      <w:r>
        <w:rPr>
          <w:rFonts w:ascii="Times New Roman" w:hAnsi="Times New Roman" w:cs="Times New Roman"/>
          <w:i/>
          <w:noProof/>
          <w:sz w:val="24"/>
        </w:rPr>
        <w:t>compared to the indicative RED trajectory (ktoe). Source: Navigant 2019</w:t>
      </w:r>
      <w:r>
        <w:rPr>
          <w:rStyle w:val="FootnoteReference"/>
          <w:rFonts w:ascii="Times New Roman" w:hAnsi="Times New Roman" w:cs="Times New Roman"/>
          <w:i/>
          <w:noProof/>
          <w:sz w:val="24"/>
        </w:rPr>
        <w:footnoteReference w:id="27"/>
      </w:r>
      <w:r>
        <w:rPr>
          <w:rFonts w:ascii="Times New Roman" w:hAnsi="Times New Roman" w:cs="Times New Roman"/>
          <w:i/>
          <w:noProof/>
          <w:sz w:val="24"/>
        </w:rPr>
        <w:t>, Member States reports</w:t>
      </w:r>
      <w:r>
        <w:rPr>
          <w:rStyle w:val="FootnoteReference"/>
          <w:rFonts w:ascii="Times New Roman" w:hAnsi="Times New Roman" w:cs="Times New Roman"/>
          <w:i/>
          <w:noProof/>
          <w:sz w:val="24"/>
        </w:rPr>
        <w:footnoteReference w:id="28"/>
      </w:r>
      <w:r>
        <w:rPr>
          <w:rFonts w:ascii="Times New Roman" w:hAnsi="Times New Roman" w:cs="Times New Roman"/>
          <w:i/>
          <w:noProof/>
          <w:sz w:val="24"/>
        </w:rPr>
        <w:t>.</w:t>
      </w:r>
    </w:p>
    <w:p w:rsidR="00BE32E5" w:rsidRDefault="00FF1490">
      <w:pPr>
        <w:pStyle w:val="Heading2"/>
        <w:spacing w:after="120"/>
        <w:ind w:left="714" w:hanging="357"/>
        <w:rPr>
          <w:noProof/>
        </w:rPr>
      </w:pPr>
      <w:bookmarkStart w:id="8" w:name="_Toc1149222"/>
      <w:r>
        <w:rPr>
          <w:noProof/>
        </w:rPr>
        <w:t>Projections</w:t>
      </w:r>
      <w:bookmarkEnd w:id="8"/>
      <w:r>
        <w:rPr>
          <w:noProof/>
        </w:rPr>
        <w:t xml:space="preserve"> </w:t>
      </w:r>
    </w:p>
    <w:p w:rsidR="00BE32E5" w:rsidRDefault="00FF1490">
      <w:pPr>
        <w:jc w:val="both"/>
        <w:rPr>
          <w:rFonts w:ascii="Times New Roman" w:hAnsi="Times New Roman" w:cs="Times New Roman"/>
          <w:noProof/>
          <w:sz w:val="24"/>
          <w:szCs w:val="24"/>
          <w:lang w:val="en-US"/>
        </w:rPr>
      </w:pPr>
      <w:r>
        <w:rPr>
          <w:rFonts w:ascii="Times New Roman" w:hAnsi="Times New Roman" w:cs="Times New Roman"/>
          <w:noProof/>
          <w:sz w:val="24"/>
          <w:szCs w:val="24"/>
        </w:rPr>
        <w:t>In order to assess the feasibility of 2020 target achievement, a modelling exercise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has been carried out for the Commission. The analysis explor</w:t>
      </w:r>
      <w:r>
        <w:rPr>
          <w:rFonts w:ascii="Times New Roman" w:hAnsi="Times New Roman" w:cs="Times New Roman"/>
          <w:noProof/>
          <w:sz w:val="24"/>
          <w:szCs w:val="24"/>
        </w:rPr>
        <w:t>es to what extent Current Policy Initiatives (CPI) on renewable energy (as reported by the Member States in their progress reports), complemented by Planned Policy Initiatives (PPI), would be sufficient to trigger the targeted renewable energy deployment i</w:t>
      </w:r>
      <w:r>
        <w:rPr>
          <w:rFonts w:ascii="Times New Roman" w:hAnsi="Times New Roman" w:cs="Times New Roman"/>
          <w:noProof/>
          <w:sz w:val="24"/>
          <w:szCs w:val="24"/>
        </w:rPr>
        <w:t xml:space="preserve">n the running up to 2020, for each Member State. This modelling finds that </w:t>
      </w:r>
      <w:r>
        <w:rPr>
          <w:rFonts w:ascii="Times New Roman" w:hAnsi="Times New Roman" w:cs="Times New Roman"/>
          <w:noProof/>
          <w:sz w:val="24"/>
          <w:szCs w:val="24"/>
          <w:lang w:val="en-US"/>
        </w:rPr>
        <w:t>a renewable energy share of 18.1% to 20.7% can be expected</w:t>
      </w:r>
      <w:r>
        <w:rPr>
          <w:rFonts w:ascii="Times New Roman" w:hAnsi="Times New Roman" w:cs="Times New Roman"/>
          <w:noProof/>
          <w:sz w:val="24"/>
          <w:szCs w:val="24"/>
        </w:rPr>
        <w:t xml:space="preserve"> for 2020 a</w:t>
      </w:r>
      <w:r>
        <w:rPr>
          <w:rFonts w:ascii="Times New Roman" w:hAnsi="Times New Roman" w:cs="Times New Roman"/>
          <w:noProof/>
          <w:sz w:val="24"/>
          <w:szCs w:val="24"/>
          <w:lang w:val="en-US"/>
        </w:rPr>
        <w:t>t EU level with currently implemented and planned renewable energy policy initiatives</w:t>
      </w:r>
      <w:r>
        <w:rPr>
          <w:rFonts w:ascii="Times New Roman" w:hAnsi="Times New Roman" w:cs="Times New Roman"/>
          <w:noProof/>
          <w:sz w:val="24"/>
          <w:szCs w:val="24"/>
          <w:vertAlign w:val="superscript"/>
          <w:lang w:val="en-US"/>
        </w:rPr>
        <w:footnoteReference w:id="30"/>
      </w:r>
      <w:r>
        <w:rPr>
          <w:rFonts w:ascii="Times New Roman" w:hAnsi="Times New Roman" w:cs="Times New Roman"/>
          <w:noProof/>
          <w:sz w:val="24"/>
          <w:szCs w:val="24"/>
          <w:lang w:val="en-US"/>
        </w:rPr>
        <w:t xml:space="preserve">. A number of Member States is expected to perform well in the remaining years, reaching deployment levels beyond their target levels. </w:t>
      </w:r>
    </w:p>
    <w:p w:rsidR="00BE32E5" w:rsidRDefault="00FF1490">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However, for 11 Member States (Belgium, Cyprus France, Greece, Ireland, Luxembourg, Malta, the Netherlands, Poland, Port</w:t>
      </w:r>
      <w:r>
        <w:rPr>
          <w:rFonts w:ascii="Times New Roman" w:hAnsi="Times New Roman" w:cs="Times New Roman"/>
          <w:noProof/>
          <w:sz w:val="24"/>
          <w:szCs w:val="24"/>
          <w:lang w:val="en-US"/>
        </w:rPr>
        <w:t xml:space="preserve">ugal and the United Kingdom), currently implemented renewable energy policies and already planned renewable energy policy initiatives appear today to be insufficient to trigger the required renewable energy volumes purely domestically. </w:t>
      </w:r>
    </w:p>
    <w:p w:rsidR="00BE32E5" w:rsidRDefault="00FF1490">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addition, for 7 </w:t>
      </w:r>
      <w:r>
        <w:rPr>
          <w:rFonts w:ascii="Times New Roman" w:hAnsi="Times New Roman" w:cs="Times New Roman"/>
          <w:noProof/>
          <w:sz w:val="24"/>
          <w:szCs w:val="24"/>
          <w:lang w:val="en-US"/>
        </w:rPr>
        <w:t xml:space="preserve">Member States (Austria, Germany, Latvia, Romania, Slovenia, Slovakia and Spain) there is some uncertainty related to 2020 renewable energy target achievement. Their capability of meeting their 2020 national binding targets will to a great extend depend on </w:t>
      </w:r>
      <w:r>
        <w:rPr>
          <w:rFonts w:ascii="Times New Roman" w:hAnsi="Times New Roman" w:cs="Times New Roman"/>
          <w:noProof/>
          <w:sz w:val="24"/>
          <w:szCs w:val="24"/>
          <w:lang w:val="en-US"/>
        </w:rPr>
        <w:t>the levels of energy demand in case there would be a large increase in energy demand that brings their energy consumption back in line with the original trend indicated by the latest EU reference scenario. Taking into account the agreed co-operation mechan</w:t>
      </w:r>
      <w:r>
        <w:rPr>
          <w:rFonts w:ascii="Times New Roman" w:hAnsi="Times New Roman" w:cs="Times New Roman"/>
          <w:noProof/>
          <w:sz w:val="24"/>
          <w:szCs w:val="24"/>
          <w:lang w:val="en-US"/>
        </w:rPr>
        <w:t xml:space="preserve">isms for Luxembourg, Estonia and Lithuania, the results are shown in figure 4. </w:t>
      </w:r>
    </w:p>
    <w:p w:rsidR="00BE32E5" w:rsidRDefault="00FF1490">
      <w:pPr>
        <w:jc w:val="both"/>
        <w:rPr>
          <w:rFonts w:ascii="Times New Roman" w:hAnsi="Times New Roman" w:cs="Times New Roman"/>
          <w:b/>
          <w:noProof/>
          <w:sz w:val="24"/>
          <w:szCs w:val="24"/>
          <w:lang w:val="en-US"/>
        </w:rPr>
      </w:pPr>
      <w:r>
        <w:rPr>
          <w:rFonts w:ascii="Times New Roman" w:hAnsi="Times New Roman" w:cs="Times New Roman"/>
          <w:noProof/>
          <w:sz w:val="24"/>
          <w:szCs w:val="24"/>
          <w:lang w:val="fr-BE" w:eastAsia="fr-BE"/>
        </w:rPr>
        <w:drawing>
          <wp:inline distT="0" distB="0" distL="0" distR="0">
            <wp:extent cx="5809265" cy="267652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9090" cy="2704088"/>
                    </a:xfrm>
                    <a:prstGeom prst="rect">
                      <a:avLst/>
                    </a:prstGeom>
                    <a:noFill/>
                  </pic:spPr>
                </pic:pic>
              </a:graphicData>
            </a:graphic>
          </wp:inline>
        </w:drawing>
      </w:r>
    </w:p>
    <w:p w:rsidR="00BE32E5" w:rsidRDefault="00FF1490">
      <w:pPr>
        <w:jc w:val="both"/>
        <w:rPr>
          <w:rFonts w:ascii="Times New Roman" w:hAnsi="Times New Roman" w:cs="Times New Roman"/>
          <w:i/>
          <w:noProof/>
          <w:sz w:val="24"/>
          <w:szCs w:val="24"/>
          <w:lang w:val="en-US"/>
        </w:rPr>
      </w:pPr>
      <w:r>
        <w:rPr>
          <w:rFonts w:ascii="Times New Roman" w:hAnsi="Times New Roman" w:cs="Times New Roman"/>
          <w:b/>
          <w:noProof/>
          <w:sz w:val="24"/>
          <w:szCs w:val="24"/>
          <w:lang w:val="en-US"/>
        </w:rPr>
        <w:t>Figure 3</w:t>
      </w:r>
      <w:r>
        <w:rPr>
          <w:rFonts w:ascii="Times New Roman" w:hAnsi="Times New Roman" w:cs="Times New Roman"/>
          <w:noProof/>
          <w:sz w:val="24"/>
          <w:szCs w:val="24"/>
          <w:lang w:val="en-US"/>
        </w:rPr>
        <w:t xml:space="preserve">. </w:t>
      </w:r>
      <w:r>
        <w:rPr>
          <w:rFonts w:ascii="Times New Roman" w:hAnsi="Times New Roman" w:cs="Times New Roman"/>
          <w:i/>
          <w:noProof/>
          <w:sz w:val="24"/>
          <w:szCs w:val="24"/>
          <w:lang w:val="en-US"/>
        </w:rPr>
        <w:t xml:space="preserve">Expected renewable energy share in 2020 vs. 2020 RED targets and 2020 planned (NREAP) targets (%) </w:t>
      </w:r>
      <w:r>
        <w:rPr>
          <w:rFonts w:ascii="Times New Roman" w:hAnsi="Times New Roman" w:cs="Times New Roman"/>
          <w:i/>
          <w:noProof/>
          <w:sz w:val="24"/>
          <w:szCs w:val="24"/>
          <w:u w:val="single"/>
          <w:lang w:val="en-US"/>
        </w:rPr>
        <w:t>excluding cooperation</w:t>
      </w:r>
      <w:r>
        <w:rPr>
          <w:rFonts w:ascii="Times New Roman" w:hAnsi="Times New Roman" w:cs="Times New Roman"/>
          <w:i/>
          <w:noProof/>
          <w:sz w:val="24"/>
          <w:szCs w:val="24"/>
          <w:lang w:val="en-US"/>
        </w:rPr>
        <w:t>. (Navigant 2019</w:t>
      </w:r>
      <w:r>
        <w:rPr>
          <w:rStyle w:val="FootnoteReference"/>
          <w:rFonts w:ascii="Times New Roman" w:hAnsi="Times New Roman" w:cs="Times New Roman"/>
          <w:i/>
          <w:noProof/>
          <w:sz w:val="24"/>
          <w:szCs w:val="24"/>
          <w:lang w:val="en-US"/>
        </w:rPr>
        <w:footnoteReference w:id="31"/>
      </w:r>
      <w:r>
        <w:rPr>
          <w:rFonts w:ascii="Times New Roman" w:hAnsi="Times New Roman" w:cs="Times New Roman"/>
          <w:i/>
          <w:noProof/>
          <w:sz w:val="24"/>
          <w:szCs w:val="24"/>
          <w:lang w:val="en-US"/>
        </w:rPr>
        <w:t>)</w:t>
      </w:r>
    </w:p>
    <w:p w:rsidR="00BE32E5" w:rsidRDefault="00FF1490">
      <w:pPr>
        <w:jc w:val="both"/>
        <w:rPr>
          <w:rFonts w:ascii="Times New Roman" w:hAnsi="Times New Roman" w:cs="Times New Roman"/>
          <w:bCs/>
          <w:noProof/>
          <w:sz w:val="24"/>
          <w:szCs w:val="24"/>
        </w:rPr>
      </w:pPr>
      <w:r>
        <w:rPr>
          <w:rFonts w:ascii="Times New Roman" w:hAnsi="Times New Roman" w:cs="Times New Roman"/>
          <w:bCs/>
          <w:noProof/>
          <w:sz w:val="24"/>
          <w:szCs w:val="24"/>
          <w:lang w:val="fr-BE" w:eastAsia="fr-BE"/>
        </w:rPr>
        <w:drawing>
          <wp:inline distT="0" distB="0" distL="0" distR="0">
            <wp:extent cx="5768975" cy="2657963"/>
            <wp:effectExtent l="0" t="0" r="317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8796" cy="2671703"/>
                    </a:xfrm>
                    <a:prstGeom prst="rect">
                      <a:avLst/>
                    </a:prstGeom>
                    <a:noFill/>
                  </pic:spPr>
                </pic:pic>
              </a:graphicData>
            </a:graphic>
          </wp:inline>
        </w:drawing>
      </w:r>
    </w:p>
    <w:p w:rsidR="00BE32E5" w:rsidRDefault="00FF1490">
      <w:pPr>
        <w:jc w:val="both"/>
        <w:rPr>
          <w:rFonts w:ascii="Times New Roman" w:hAnsi="Times New Roman" w:cs="Times New Roman"/>
          <w:i/>
          <w:noProof/>
          <w:sz w:val="24"/>
          <w:szCs w:val="24"/>
          <w:lang w:val="en-US"/>
        </w:rPr>
      </w:pPr>
      <w:bookmarkStart w:id="9" w:name="_Ref527045038"/>
      <w:r>
        <w:rPr>
          <w:rFonts w:ascii="Times New Roman" w:hAnsi="Times New Roman" w:cs="Times New Roman"/>
          <w:b/>
          <w:noProof/>
          <w:sz w:val="24"/>
          <w:szCs w:val="24"/>
          <w:lang w:val="en-US"/>
        </w:rPr>
        <w:t xml:space="preserve">Figure </w:t>
      </w:r>
      <w:bookmarkEnd w:id="9"/>
      <w:r>
        <w:rPr>
          <w:rFonts w:ascii="Times New Roman" w:hAnsi="Times New Roman" w:cs="Times New Roman"/>
          <w:b/>
          <w:noProof/>
          <w:sz w:val="24"/>
          <w:szCs w:val="24"/>
          <w:lang w:val="en-US"/>
        </w:rPr>
        <w:t>4</w:t>
      </w:r>
      <w:r>
        <w:rPr>
          <w:rFonts w:ascii="Times New Roman" w:hAnsi="Times New Roman" w:cs="Times New Roman"/>
          <w:noProof/>
          <w:sz w:val="24"/>
          <w:szCs w:val="24"/>
          <w:lang w:val="en-US"/>
        </w:rPr>
        <w:t xml:space="preserve">. </w:t>
      </w:r>
      <w:r>
        <w:rPr>
          <w:rFonts w:ascii="Times New Roman" w:hAnsi="Times New Roman" w:cs="Times New Roman"/>
          <w:i/>
          <w:noProof/>
          <w:sz w:val="24"/>
          <w:szCs w:val="24"/>
          <w:lang w:val="en-US"/>
        </w:rPr>
        <w:t xml:space="preserve">Expected renewable energy shares in 2020 vs. 2020 RED targets and 2020 planned (NREAP) targets, </w:t>
      </w:r>
      <w:r>
        <w:rPr>
          <w:rFonts w:ascii="Times New Roman" w:hAnsi="Times New Roman" w:cs="Times New Roman"/>
          <w:i/>
          <w:noProof/>
          <w:sz w:val="24"/>
          <w:szCs w:val="24"/>
          <w:u w:val="single"/>
          <w:lang w:val="en-US"/>
        </w:rPr>
        <w:t>including cooperation</w:t>
      </w:r>
      <w:r>
        <w:rPr>
          <w:rFonts w:ascii="Times New Roman" w:hAnsi="Times New Roman" w:cs="Times New Roman"/>
          <w:i/>
          <w:noProof/>
          <w:sz w:val="24"/>
          <w:szCs w:val="24"/>
          <w:lang w:val="en-US"/>
        </w:rPr>
        <w:t xml:space="preserve"> mechanisms (MS, %). Source: Navigant 2019.</w:t>
      </w:r>
    </w:p>
    <w:p w:rsidR="00BE32E5" w:rsidRDefault="00FF1490">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Due to the relatively low total energy consumption of Luxembourg, the transfers from Estonia an</w:t>
      </w:r>
      <w:r>
        <w:rPr>
          <w:rFonts w:ascii="Times New Roman" w:hAnsi="Times New Roman" w:cs="Times New Roman"/>
          <w:noProof/>
          <w:sz w:val="24"/>
          <w:szCs w:val="24"/>
          <w:lang w:val="en-US"/>
        </w:rPr>
        <w:t>d Lithuania have a significant impact on Luxembourg’s capability to achieve its target: Luxembourg is expected to meet its 11% 2020 target in the most optimistic scenarios. These same transfers have a limited impact for both Estonia’s and Lithuania’s renew</w:t>
      </w:r>
      <w:r>
        <w:rPr>
          <w:rFonts w:ascii="Times New Roman" w:hAnsi="Times New Roman" w:cs="Times New Roman"/>
          <w:noProof/>
          <w:sz w:val="24"/>
          <w:szCs w:val="24"/>
          <w:lang w:val="en-US"/>
        </w:rPr>
        <w:t>able energy share, which only decrease by 0.7% for Estonia and 0.9% for Lithuania in the worst case scenario.</w:t>
      </w:r>
    </w:p>
    <w:p w:rsidR="00BE32E5" w:rsidRDefault="00FF1490">
      <w:pPr>
        <w:jc w:val="both"/>
        <w:rPr>
          <w:rFonts w:ascii="Times New Roman" w:hAnsi="Times New Roman" w:cs="Times New Roman"/>
          <w:noProof/>
          <w:sz w:val="24"/>
          <w:szCs w:val="24"/>
        </w:rPr>
      </w:pPr>
      <w:bookmarkStart w:id="10" w:name="_Toc1149223"/>
      <w:r>
        <w:rPr>
          <w:rFonts w:ascii="Times New Roman" w:hAnsi="Times New Roman" w:cs="Times New Roman"/>
          <w:noProof/>
          <w:sz w:val="24"/>
          <w:szCs w:val="24"/>
        </w:rPr>
        <w:t>Going forward, according to their draft 2030 National Energy and Climate Plans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all Member States have already tabled their national contribution</w:t>
      </w:r>
      <w:r>
        <w:rPr>
          <w:rFonts w:ascii="Times New Roman" w:hAnsi="Times New Roman" w:cs="Times New Roman"/>
          <w:noProof/>
          <w:sz w:val="24"/>
          <w:szCs w:val="24"/>
        </w:rPr>
        <w:t>s to the EU level binding target of at least 32 % which would make renewables the backbone of the Union energy system. By June 2019, the Commission will assess whether these national contributions, and the associated policies and measures, are in line with</w:t>
      </w:r>
      <w:r>
        <w:rPr>
          <w:rFonts w:ascii="Times New Roman" w:hAnsi="Times New Roman" w:cs="Times New Roman"/>
          <w:noProof/>
          <w:sz w:val="24"/>
          <w:szCs w:val="24"/>
        </w:rPr>
        <w:t xml:space="preserve"> the EU ambition, and, if appropriate, issue recommendations to Member States.</w:t>
      </w:r>
    </w:p>
    <w:p w:rsidR="00BE32E5" w:rsidRDefault="00FF1490">
      <w:pPr>
        <w:pStyle w:val="Heading2"/>
        <w:spacing w:after="120"/>
        <w:ind w:left="714" w:hanging="357"/>
        <w:rPr>
          <w:noProof/>
        </w:rPr>
      </w:pPr>
      <w:r>
        <w:rPr>
          <w:noProof/>
        </w:rPr>
        <w:t>Administrative barriers</w:t>
      </w:r>
      <w:bookmarkEnd w:id="10"/>
    </w:p>
    <w:p w:rsidR="00BE32E5" w:rsidRDefault="00FF1490">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their 4</w:t>
      </w:r>
      <w:r>
        <w:rPr>
          <w:rFonts w:ascii="Times New Roman" w:hAnsi="Times New Roman" w:cs="Times New Roman"/>
          <w:noProof/>
          <w:sz w:val="24"/>
          <w:szCs w:val="24"/>
          <w:vertAlign w:val="superscript"/>
          <w:lang w:val="en-US"/>
        </w:rPr>
        <w:t>th</w:t>
      </w:r>
      <w:r>
        <w:rPr>
          <w:rFonts w:ascii="Times New Roman" w:hAnsi="Times New Roman" w:cs="Times New Roman"/>
          <w:noProof/>
          <w:sz w:val="24"/>
          <w:szCs w:val="24"/>
          <w:lang w:val="en-US"/>
        </w:rPr>
        <w:t xml:space="preserve"> national renewable energy progress reports, Member States report on measures to streamline administrative procedures for renewable energy projects (pursuant article 13 of RED I). According to external analysis</w:t>
      </w:r>
      <w:r>
        <w:rPr>
          <w:rFonts w:ascii="Times New Roman" w:hAnsi="Times New Roman" w:cs="Times New Roman"/>
          <w:noProof/>
          <w:sz w:val="24"/>
          <w:szCs w:val="24"/>
          <w:vertAlign w:val="superscript"/>
          <w:lang w:val="en-US"/>
        </w:rPr>
        <w:footnoteReference w:id="33"/>
      </w:r>
      <w:r>
        <w:rPr>
          <w:rFonts w:ascii="Times New Roman" w:hAnsi="Times New Roman" w:cs="Times New Roman"/>
          <w:noProof/>
          <w:sz w:val="24"/>
          <w:szCs w:val="24"/>
          <w:lang w:val="en-US"/>
        </w:rPr>
        <w:t>, in global terms, a large share of the relev</w:t>
      </w:r>
      <w:r>
        <w:rPr>
          <w:rFonts w:ascii="Times New Roman" w:hAnsi="Times New Roman" w:cs="Times New Roman"/>
          <w:noProof/>
          <w:sz w:val="24"/>
          <w:szCs w:val="24"/>
          <w:lang w:val="en-US"/>
        </w:rPr>
        <w:t>ant measures in the REDI have been successfully implemented across the Member States. These measures include, amongst others: facilitated procedures for small-scale projects, requirements on system operators to provide cost estimates and other necessary in</w:t>
      </w:r>
      <w:r>
        <w:rPr>
          <w:rFonts w:ascii="Times New Roman" w:hAnsi="Times New Roman" w:cs="Times New Roman"/>
          <w:noProof/>
          <w:sz w:val="24"/>
          <w:szCs w:val="24"/>
          <w:lang w:val="en-US"/>
        </w:rPr>
        <w:t>formation, requirements on the distribution of costs of grid development and grid connection of renewable energy, consideration of RES-E in the national network development plan, and the existence of support schemes promoting the use of renewable energy.</w:t>
      </w:r>
    </w:p>
    <w:p w:rsidR="00BE32E5" w:rsidRDefault="00FF1490">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w:t>
      </w:r>
      <w:r>
        <w:rPr>
          <w:rFonts w:ascii="Times New Roman" w:hAnsi="Times New Roman" w:cs="Times New Roman"/>
          <w:noProof/>
          <w:sz w:val="24"/>
          <w:szCs w:val="24"/>
          <w:lang w:val="en-US"/>
        </w:rPr>
        <w:t>owever, barriers related to building and planning procedures have increased in recent years. For the electricity sector, the development towards larger projects has imposed some barriers, since such projects have additional requirements in terms of spatial</w:t>
      </w:r>
      <w:r>
        <w:rPr>
          <w:rFonts w:ascii="Times New Roman" w:hAnsi="Times New Roman" w:cs="Times New Roman"/>
          <w:noProof/>
          <w:sz w:val="24"/>
          <w:szCs w:val="24"/>
          <w:lang w:val="en-US"/>
        </w:rPr>
        <w:t xml:space="preserve"> and environmental planning. For the heating and cooling sector, the barriers are mainly due to shortcomings related to the capacities of the district heating networks, while the transport sector mainly sees barriers arising from the lack of adequate infra</w:t>
      </w:r>
      <w:r>
        <w:rPr>
          <w:rFonts w:ascii="Times New Roman" w:hAnsi="Times New Roman" w:cs="Times New Roman"/>
          <w:noProof/>
          <w:sz w:val="24"/>
          <w:szCs w:val="24"/>
          <w:lang w:val="en-US"/>
        </w:rPr>
        <w:t>structure both for biofuels and electric vehicles. The integration of the increasing RES capacities in the grid is also a persisting challenge for the majority of the Member States. The barriers mainly arise from high cost of grid connection as well as fro</w:t>
      </w:r>
      <w:r>
        <w:rPr>
          <w:rFonts w:ascii="Times New Roman" w:hAnsi="Times New Roman" w:cs="Times New Roman"/>
          <w:noProof/>
          <w:sz w:val="24"/>
          <w:szCs w:val="24"/>
          <w:lang w:val="en-US"/>
        </w:rPr>
        <w:t xml:space="preserve">m the lack of predictability and transparency of the grid connection procedures. </w:t>
      </w:r>
    </w:p>
    <w:p w:rsidR="00BE32E5" w:rsidRDefault="00FF1490">
      <w:pPr>
        <w:pStyle w:val="Heading1"/>
        <w:rPr>
          <w:noProof/>
        </w:rPr>
      </w:pPr>
      <w:bookmarkStart w:id="11" w:name="_Toc1149224"/>
      <w:r>
        <w:rPr>
          <w:noProof/>
        </w:rPr>
        <w:t>4. ASSESSMENT OF SUSTAINABILITY OF BIOFUELS</w:t>
      </w:r>
      <w:bookmarkEnd w:id="11"/>
      <w:r>
        <w:rPr>
          <w:noProof/>
          <w:vertAlign w:val="superscript"/>
        </w:rPr>
        <w:footnoteReference w:id="34"/>
      </w:r>
      <w:r>
        <w:rPr>
          <w:noProof/>
        </w:rPr>
        <w:t xml:space="preserve"> </w:t>
      </w:r>
    </w:p>
    <w:p w:rsidR="00BE32E5" w:rsidRDefault="00FF1490">
      <w:pPr>
        <w:pStyle w:val="Heading2"/>
        <w:numPr>
          <w:ilvl w:val="0"/>
          <w:numId w:val="28"/>
        </w:numPr>
        <w:spacing w:after="120"/>
        <w:rPr>
          <w:noProof/>
        </w:rPr>
      </w:pPr>
      <w:r>
        <w:rPr>
          <w:noProof/>
        </w:rPr>
        <w:t>Overview of biofuel consumption in the EU</w:t>
      </w:r>
    </w:p>
    <w:p w:rsidR="00BE32E5" w:rsidRDefault="00FF1490">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In 2016, the EU consumption of sustainable biofuels amounted to 13,840 ktoe. Of this, </w:t>
      </w:r>
      <w:r>
        <w:rPr>
          <w:rFonts w:ascii="Times New Roman" w:hAnsi="Times New Roman" w:cs="Times New Roman"/>
          <w:noProof/>
          <w:sz w:val="24"/>
          <w:szCs w:val="24"/>
        </w:rPr>
        <w:t xml:space="preserve">11,083 ktoe (80%) was biodiesel and 2,620 ktoe (19%) was bioethanol. Most (64%) of the biodiesel consumed in the EU in 2016 was produced from feedstocks from the EU, mainly from rapeseed (~38%), used cooking oil (13%), animal fat (8%) and tall oil (2.5%). </w:t>
      </w:r>
      <w:r>
        <w:rPr>
          <w:rFonts w:ascii="Times New Roman" w:hAnsi="Times New Roman" w:cs="Times New Roman"/>
          <w:noProof/>
          <w:sz w:val="24"/>
          <w:szCs w:val="24"/>
        </w:rPr>
        <w:t>Of the remaining 36% of biodiesel consumed in the EU, 19.6% was palm oil from Indonesia (13.3%) and Malaysia (6.3%),  6.1% was rapeseed from mainly Australia (2.6%), Ukraine (1.8%) and Canada (1.2%), 4.8% was used cooking oil from various countries outside</w:t>
      </w:r>
      <w:r>
        <w:rPr>
          <w:rFonts w:ascii="Times New Roman" w:hAnsi="Times New Roman" w:cs="Times New Roman"/>
          <w:noProof/>
          <w:sz w:val="24"/>
          <w:szCs w:val="24"/>
        </w:rPr>
        <w:t xml:space="preserve"> the EU and 4.3% was soybean from mainly the United States (1.5%) and Brazil (1.5%)</w:t>
      </w:r>
      <w:r>
        <w:rPr>
          <w:rFonts w:ascii="Times New Roman" w:eastAsia="Calibri" w:hAnsi="Times New Roman" w:cs="Times New Roman"/>
          <w:noProof/>
          <w:sz w:val="24"/>
          <w:szCs w:val="24"/>
        </w:rPr>
        <w:t>.</w:t>
      </w:r>
    </w:p>
    <w:p w:rsidR="00BE32E5" w:rsidRDefault="00FF1490">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Ethanol consumed in the EU is produced also mainly from EU feedstocks (65%), including from wheat (~25%), corn (~22%) and sugar beet (17%) and only a small amount (~1%) fr</w:t>
      </w:r>
      <w:r>
        <w:rPr>
          <w:rFonts w:ascii="Times New Roman" w:eastAsia="Calibri" w:hAnsi="Times New Roman" w:cs="Times New Roman"/>
          <w:noProof/>
          <w:sz w:val="24"/>
          <w:szCs w:val="24"/>
        </w:rPr>
        <w:t>om cellulosic ethanol. Ethanol-based feedstock from outside the EU includes corn (16.4%), wheat (2.9%) and sugar cane (2.9%) from various parts. The main third countries producing feedstock for bioethanol consumed in the EU include Ukraine (9.8%), Russia (</w:t>
      </w:r>
      <w:r>
        <w:rPr>
          <w:rFonts w:ascii="Times New Roman" w:eastAsia="Calibri" w:hAnsi="Times New Roman" w:cs="Times New Roman"/>
          <w:noProof/>
          <w:sz w:val="24"/>
          <w:szCs w:val="24"/>
        </w:rPr>
        <w:t xml:space="preserve">2.1%), Brazil (1.8%), the US (1.7%) and Canada (1.6%). </w:t>
      </w:r>
    </w:p>
    <w:p w:rsidR="00BE32E5" w:rsidRDefault="00FF1490">
      <w:pPr>
        <w:jc w:val="both"/>
        <w:rPr>
          <w:rFonts w:ascii="Times New Roman" w:hAnsi="Times New Roman" w:cs="Times New Roman"/>
          <w:i/>
          <w:noProof/>
          <w:sz w:val="24"/>
          <w:szCs w:val="24"/>
        </w:rPr>
      </w:pPr>
      <w:r>
        <w:rPr>
          <w:rFonts w:ascii="Times New Roman" w:eastAsia="Calibri" w:hAnsi="Times New Roman" w:cs="Times New Roman"/>
          <w:noProof/>
          <w:sz w:val="24"/>
          <w:szCs w:val="24"/>
        </w:rPr>
        <w:t>It is estimated that almost all biogas consumed in the EU in 2016 was sourced from domestic feedstock, chiefly from crops and agro/food waste (including manure) (75%), followed by landfill gas (16%) a</w:t>
      </w:r>
      <w:r>
        <w:rPr>
          <w:rFonts w:ascii="Times New Roman" w:eastAsia="Calibri" w:hAnsi="Times New Roman" w:cs="Times New Roman"/>
          <w:noProof/>
          <w:sz w:val="24"/>
          <w:szCs w:val="24"/>
        </w:rPr>
        <w:t xml:space="preserve">nd sewage sludge gas (9%). The origin of bioliquids, which in 2016 accounted for less than 1% of all bioenergy consumed in the EU, is difficult to ascertain as Member States do not split between feedstocks used for biofuels and bioliquids. </w:t>
      </w:r>
    </w:p>
    <w:tbl>
      <w:tblPr>
        <w:tblStyle w:val="Tablestylegreen"/>
        <w:tblW w:w="0" w:type="auto"/>
        <w:tblLayout w:type="fixed"/>
        <w:tblLook w:val="04A0" w:firstRow="1" w:lastRow="0" w:firstColumn="1" w:lastColumn="0" w:noHBand="0" w:noVBand="1"/>
      </w:tblPr>
      <w:tblGrid>
        <w:gridCol w:w="1879"/>
        <w:gridCol w:w="709"/>
        <w:gridCol w:w="850"/>
        <w:gridCol w:w="914"/>
        <w:gridCol w:w="1071"/>
        <w:gridCol w:w="850"/>
        <w:gridCol w:w="851"/>
        <w:gridCol w:w="1134"/>
      </w:tblGrid>
      <w:tr w:rsidR="00BE32E5" w:rsidTr="00BE32E5">
        <w:trPr>
          <w:cnfStyle w:val="100000000000" w:firstRow="1" w:lastRow="0" w:firstColumn="0" w:lastColumn="0" w:oddVBand="0" w:evenVBand="0" w:oddHBand="0" w:evenHBand="0" w:firstRowFirstColumn="0" w:firstRowLastColumn="0" w:lastRowFirstColumn="0" w:lastRowLastColumn="0"/>
          <w:cantSplit/>
          <w:trHeight w:val="1357"/>
        </w:trPr>
        <w:tc>
          <w:tcPr>
            <w:cnfStyle w:val="001000000100" w:firstRow="0" w:lastRow="0" w:firstColumn="1" w:lastColumn="0" w:oddVBand="0" w:evenVBand="0" w:oddHBand="0" w:evenHBand="0" w:firstRowFirstColumn="1" w:firstRowLastColumn="0" w:lastRowFirstColumn="0" w:lastRowLastColumn="0"/>
            <w:tcW w:w="1879" w:type="dxa"/>
            <w:noWrap/>
            <w:vAlign w:val="top"/>
          </w:tcPr>
          <w:p w:rsidR="00BE32E5" w:rsidRDefault="00BE32E5">
            <w:pPr>
              <w:keepNext/>
              <w:keepLines/>
              <w:tabs>
                <w:tab w:val="left" w:pos="1446"/>
              </w:tabs>
              <w:spacing w:after="200" w:line="276" w:lineRule="auto"/>
              <w:contextualSpacing w:val="0"/>
              <w:rPr>
                <w:rFonts w:ascii="Times New Roman" w:eastAsiaTheme="minorHAnsi" w:hAnsi="Times New Roman" w:cstheme="minorBidi"/>
                <w:noProof/>
                <w:sz w:val="22"/>
                <w:szCs w:val="22"/>
                <w:lang w:val="en-GB" w:eastAsia="en-US"/>
              </w:rPr>
            </w:pPr>
          </w:p>
        </w:tc>
        <w:tc>
          <w:tcPr>
            <w:tcW w:w="709" w:type="dxa"/>
            <w:noWrap/>
            <w:textDirection w:val="btLr"/>
          </w:tcPr>
          <w:p w:rsidR="00BE32E5" w:rsidRDefault="00FF1490">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Biogas</w:t>
            </w:r>
          </w:p>
        </w:tc>
        <w:tc>
          <w:tcPr>
            <w:tcW w:w="850" w:type="dxa"/>
            <w:noWrap/>
            <w:textDirection w:val="btLr"/>
          </w:tcPr>
          <w:p w:rsidR="00BE32E5" w:rsidRDefault="00FF1490">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Biogasoline</w:t>
            </w:r>
          </w:p>
        </w:tc>
        <w:tc>
          <w:tcPr>
            <w:tcW w:w="914" w:type="dxa"/>
            <w:noWrap/>
            <w:textDirection w:val="btLr"/>
          </w:tcPr>
          <w:p w:rsidR="00BE32E5" w:rsidRDefault="00FF1490">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Biodiesel</w:t>
            </w:r>
          </w:p>
        </w:tc>
        <w:tc>
          <w:tcPr>
            <w:tcW w:w="1071" w:type="dxa"/>
            <w:noWrap/>
            <w:textDirection w:val="btLr"/>
          </w:tcPr>
          <w:p w:rsidR="00BE32E5" w:rsidRDefault="00FF1490">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Other liquid biofuels</w:t>
            </w:r>
          </w:p>
        </w:tc>
        <w:tc>
          <w:tcPr>
            <w:tcW w:w="850" w:type="dxa"/>
            <w:noWrap/>
            <w:textDirection w:val="btLr"/>
          </w:tcPr>
          <w:p w:rsidR="00BE32E5" w:rsidRDefault="00FF1490">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Bio jet kerosene</w:t>
            </w:r>
          </w:p>
        </w:tc>
        <w:tc>
          <w:tcPr>
            <w:tcW w:w="851" w:type="dxa"/>
            <w:textDirection w:val="btLr"/>
          </w:tcPr>
          <w:p w:rsidR="00BE32E5" w:rsidRDefault="00FF1490">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Total Liquid biofuels</w:t>
            </w:r>
          </w:p>
        </w:tc>
        <w:tc>
          <w:tcPr>
            <w:tcW w:w="1134" w:type="dxa"/>
            <w:textDirection w:val="btLr"/>
          </w:tcPr>
          <w:p w:rsidR="00BE32E5" w:rsidRDefault="00FF1490">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Total</w:t>
            </w:r>
          </w:p>
        </w:tc>
      </w:tr>
      <w:tr w:rsidR="00BE32E5" w:rsidTr="00BE32E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BE32E5" w:rsidRDefault="00FF1490">
            <w:pPr>
              <w:keepNext/>
              <w:keepLines/>
              <w:spacing w:after="200" w:line="276" w:lineRule="auto"/>
              <w:contextualSpacing w:val="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Road</w:t>
            </w:r>
          </w:p>
        </w:tc>
        <w:tc>
          <w:tcPr>
            <w:tcW w:w="709"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131</w:t>
            </w:r>
          </w:p>
        </w:tc>
        <w:tc>
          <w:tcPr>
            <w:tcW w:w="850"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2,619</w:t>
            </w:r>
          </w:p>
        </w:tc>
        <w:tc>
          <w:tcPr>
            <w:tcW w:w="914"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11,041</w:t>
            </w:r>
          </w:p>
        </w:tc>
        <w:tc>
          <w:tcPr>
            <w:tcW w:w="1071"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4.5</w:t>
            </w:r>
          </w:p>
        </w:tc>
        <w:tc>
          <w:tcPr>
            <w:tcW w:w="850"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w:t>
            </w:r>
          </w:p>
        </w:tc>
        <w:tc>
          <w:tcPr>
            <w:tcW w:w="851" w:type="dxa"/>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13,664</w:t>
            </w:r>
          </w:p>
        </w:tc>
        <w:tc>
          <w:tcPr>
            <w:tcW w:w="1134" w:type="dxa"/>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sz w:val="22"/>
                <w:szCs w:val="22"/>
                <w:lang w:eastAsia="en-US"/>
              </w:rPr>
              <w:t>13,796</w:t>
            </w:r>
          </w:p>
        </w:tc>
      </w:tr>
      <w:tr w:rsidR="00BE32E5" w:rsidTr="00BE32E5">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BE32E5" w:rsidRDefault="00FF1490">
            <w:pPr>
              <w:keepNext/>
              <w:keepLines/>
              <w:spacing w:after="200" w:line="276" w:lineRule="auto"/>
              <w:contextualSpacing w:val="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Rail</w:t>
            </w:r>
          </w:p>
        </w:tc>
        <w:tc>
          <w:tcPr>
            <w:tcW w:w="709"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0.0</w:t>
            </w:r>
          </w:p>
        </w:tc>
        <w:tc>
          <w:tcPr>
            <w:tcW w:w="850" w:type="dxa"/>
            <w:noWrap/>
            <w:vAlign w:val="top"/>
          </w:tcPr>
          <w:p w:rsidR="00BE32E5" w:rsidRDefault="00BE32E5">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p>
        </w:tc>
        <w:tc>
          <w:tcPr>
            <w:tcW w:w="914"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32.9</w:t>
            </w:r>
          </w:p>
        </w:tc>
        <w:tc>
          <w:tcPr>
            <w:tcW w:w="1071"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850"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w:t>
            </w:r>
          </w:p>
        </w:tc>
        <w:tc>
          <w:tcPr>
            <w:tcW w:w="851" w:type="dxa"/>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32.9</w:t>
            </w:r>
          </w:p>
        </w:tc>
        <w:tc>
          <w:tcPr>
            <w:tcW w:w="1134" w:type="dxa"/>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sz w:val="22"/>
                <w:szCs w:val="22"/>
                <w:lang w:eastAsia="en-US"/>
              </w:rPr>
              <w:t>33.1</w:t>
            </w:r>
          </w:p>
        </w:tc>
      </w:tr>
      <w:tr w:rsidR="00BE32E5" w:rsidTr="00BE32E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BE32E5" w:rsidRDefault="00FF1490">
            <w:pPr>
              <w:keepNext/>
              <w:keepLines/>
              <w:spacing w:after="200" w:line="276" w:lineRule="auto"/>
              <w:contextualSpacing w:val="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International aviation</w:t>
            </w:r>
          </w:p>
        </w:tc>
        <w:tc>
          <w:tcPr>
            <w:tcW w:w="709"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w:t>
            </w:r>
          </w:p>
        </w:tc>
        <w:tc>
          <w:tcPr>
            <w:tcW w:w="850"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914"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1071"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850"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851" w:type="dxa"/>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0.0</w:t>
            </w:r>
          </w:p>
        </w:tc>
        <w:tc>
          <w:tcPr>
            <w:tcW w:w="1134" w:type="dxa"/>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sz w:val="22"/>
                <w:szCs w:val="22"/>
                <w:lang w:eastAsia="en-US"/>
              </w:rPr>
              <w:t>0</w:t>
            </w:r>
          </w:p>
        </w:tc>
      </w:tr>
      <w:tr w:rsidR="00BE32E5" w:rsidTr="00BE32E5">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BE32E5" w:rsidRDefault="00FF1490">
            <w:pPr>
              <w:keepNext/>
              <w:keepLines/>
              <w:spacing w:after="200" w:line="276" w:lineRule="auto"/>
              <w:contextualSpacing w:val="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Domestic aviation</w:t>
            </w:r>
          </w:p>
        </w:tc>
        <w:tc>
          <w:tcPr>
            <w:tcW w:w="709"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w:t>
            </w:r>
          </w:p>
        </w:tc>
        <w:tc>
          <w:tcPr>
            <w:tcW w:w="850"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914"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1071"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850"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851" w:type="dxa"/>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0.0</w:t>
            </w:r>
          </w:p>
        </w:tc>
        <w:tc>
          <w:tcPr>
            <w:tcW w:w="1134" w:type="dxa"/>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sz w:val="22"/>
                <w:szCs w:val="22"/>
                <w:lang w:eastAsia="en-US"/>
              </w:rPr>
              <w:t>0</w:t>
            </w:r>
          </w:p>
        </w:tc>
      </w:tr>
      <w:tr w:rsidR="00BE32E5" w:rsidTr="00BE32E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BE32E5" w:rsidRDefault="00FF1490">
            <w:pPr>
              <w:keepNext/>
              <w:keepLines/>
              <w:spacing w:after="200" w:line="276" w:lineRule="auto"/>
              <w:contextualSpacing w:val="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Domestic Navigation</w:t>
            </w:r>
          </w:p>
        </w:tc>
        <w:tc>
          <w:tcPr>
            <w:tcW w:w="709"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0.0</w:t>
            </w:r>
          </w:p>
        </w:tc>
        <w:tc>
          <w:tcPr>
            <w:tcW w:w="850"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1.4</w:t>
            </w:r>
          </w:p>
        </w:tc>
        <w:tc>
          <w:tcPr>
            <w:tcW w:w="914"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3.5</w:t>
            </w:r>
          </w:p>
        </w:tc>
        <w:tc>
          <w:tcPr>
            <w:tcW w:w="1071"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850"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w:t>
            </w:r>
          </w:p>
        </w:tc>
        <w:tc>
          <w:tcPr>
            <w:tcW w:w="851" w:type="dxa"/>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5.0</w:t>
            </w:r>
          </w:p>
        </w:tc>
        <w:tc>
          <w:tcPr>
            <w:tcW w:w="1134" w:type="dxa"/>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sz w:val="22"/>
                <w:szCs w:val="22"/>
                <w:lang w:eastAsia="en-US"/>
              </w:rPr>
              <w:t>5.0</w:t>
            </w:r>
          </w:p>
        </w:tc>
      </w:tr>
      <w:tr w:rsidR="00BE32E5" w:rsidTr="00BE32E5">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BE32E5" w:rsidRDefault="00FF1490">
            <w:pPr>
              <w:keepNext/>
              <w:keepLines/>
              <w:spacing w:after="200" w:line="276" w:lineRule="auto"/>
              <w:contextualSpacing w:val="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Non-specified transport</w:t>
            </w:r>
          </w:p>
        </w:tc>
        <w:tc>
          <w:tcPr>
            <w:tcW w:w="709"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0.5</w:t>
            </w:r>
          </w:p>
        </w:tc>
        <w:tc>
          <w:tcPr>
            <w:tcW w:w="850"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914"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6.2</w:t>
            </w:r>
          </w:p>
        </w:tc>
        <w:tc>
          <w:tcPr>
            <w:tcW w:w="1071"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850" w:type="dxa"/>
            <w:noWrap/>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sz w:val="22"/>
                <w:szCs w:val="22"/>
                <w:lang w:eastAsia="en-US"/>
              </w:rPr>
              <w:t>0.0</w:t>
            </w:r>
          </w:p>
        </w:tc>
        <w:tc>
          <w:tcPr>
            <w:tcW w:w="851" w:type="dxa"/>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sz w:val="22"/>
                <w:szCs w:val="22"/>
                <w:lang w:eastAsia="en-US"/>
              </w:rPr>
              <w:t>6.2</w:t>
            </w:r>
          </w:p>
        </w:tc>
        <w:tc>
          <w:tcPr>
            <w:tcW w:w="1134" w:type="dxa"/>
            <w:vAlign w:val="top"/>
          </w:tcPr>
          <w:p w:rsidR="00BE32E5" w:rsidRDefault="00FF1490">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sz w:val="22"/>
                <w:szCs w:val="22"/>
                <w:lang w:eastAsia="en-US"/>
              </w:rPr>
              <w:t>6.7</w:t>
            </w:r>
          </w:p>
        </w:tc>
      </w:tr>
      <w:tr w:rsidR="00BE32E5" w:rsidTr="00BE32E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BE32E5" w:rsidRDefault="00FF1490">
            <w:pPr>
              <w:keepNext/>
              <w:keepLines/>
              <w:spacing w:after="200" w:line="276" w:lineRule="auto"/>
              <w:contextualSpacing w:val="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sz w:val="22"/>
                <w:szCs w:val="22"/>
                <w:lang w:eastAsia="en-US"/>
              </w:rPr>
              <w:t>Total</w:t>
            </w:r>
          </w:p>
        </w:tc>
        <w:tc>
          <w:tcPr>
            <w:tcW w:w="709"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sz w:val="22"/>
                <w:szCs w:val="22"/>
                <w:lang w:eastAsia="en-US"/>
              </w:rPr>
              <w:t>132</w:t>
            </w:r>
          </w:p>
        </w:tc>
        <w:tc>
          <w:tcPr>
            <w:tcW w:w="850"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lang w:eastAsia="en-US"/>
              </w:rPr>
            </w:pPr>
            <w:r>
              <w:rPr>
                <w:rFonts w:ascii="Times New Roman" w:eastAsiaTheme="minorHAnsi" w:hAnsi="Times New Roman" w:cstheme="minorBidi"/>
                <w:b/>
                <w:i/>
                <w:noProof/>
                <w:sz w:val="22"/>
                <w:szCs w:val="22"/>
                <w:lang w:eastAsia="en-US"/>
              </w:rPr>
              <w:t>2,620</w:t>
            </w:r>
          </w:p>
        </w:tc>
        <w:tc>
          <w:tcPr>
            <w:tcW w:w="914"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lang w:eastAsia="en-US"/>
              </w:rPr>
            </w:pPr>
            <w:r>
              <w:rPr>
                <w:rFonts w:ascii="Times New Roman" w:eastAsiaTheme="minorHAnsi" w:hAnsi="Times New Roman" w:cstheme="minorBidi"/>
                <w:b/>
                <w:i/>
                <w:noProof/>
                <w:sz w:val="22"/>
                <w:szCs w:val="22"/>
                <w:lang w:eastAsia="en-US"/>
              </w:rPr>
              <w:t>11,083</w:t>
            </w:r>
          </w:p>
        </w:tc>
        <w:tc>
          <w:tcPr>
            <w:tcW w:w="1071"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lang w:eastAsia="en-US"/>
              </w:rPr>
            </w:pPr>
            <w:r>
              <w:rPr>
                <w:rFonts w:ascii="Times New Roman" w:eastAsiaTheme="minorHAnsi" w:hAnsi="Times New Roman" w:cstheme="minorBidi"/>
                <w:b/>
                <w:i/>
                <w:noProof/>
                <w:sz w:val="22"/>
                <w:szCs w:val="22"/>
                <w:lang w:eastAsia="en-US"/>
              </w:rPr>
              <w:t>4.5</w:t>
            </w:r>
          </w:p>
        </w:tc>
        <w:tc>
          <w:tcPr>
            <w:tcW w:w="850" w:type="dxa"/>
            <w:noWrap/>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lang w:eastAsia="en-US"/>
              </w:rPr>
            </w:pPr>
            <w:r>
              <w:rPr>
                <w:rFonts w:ascii="Times New Roman" w:eastAsiaTheme="minorHAnsi" w:hAnsi="Times New Roman" w:cstheme="minorBidi"/>
                <w:b/>
                <w:i/>
                <w:noProof/>
                <w:sz w:val="22"/>
                <w:szCs w:val="22"/>
                <w:lang w:eastAsia="en-US"/>
              </w:rPr>
              <w:t>0.0</w:t>
            </w:r>
          </w:p>
        </w:tc>
        <w:tc>
          <w:tcPr>
            <w:tcW w:w="851" w:type="dxa"/>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sz w:val="22"/>
                <w:szCs w:val="22"/>
                <w:lang w:eastAsia="en-US"/>
              </w:rPr>
              <w:t>13,708</w:t>
            </w:r>
          </w:p>
        </w:tc>
        <w:tc>
          <w:tcPr>
            <w:tcW w:w="1134" w:type="dxa"/>
            <w:vAlign w:val="top"/>
          </w:tcPr>
          <w:p w:rsidR="00BE32E5" w:rsidRDefault="00FF1490">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sz w:val="22"/>
                <w:szCs w:val="22"/>
                <w:lang w:eastAsia="en-US"/>
              </w:rPr>
              <w:t>13,840</w:t>
            </w:r>
          </w:p>
        </w:tc>
      </w:tr>
    </w:tbl>
    <w:p w:rsidR="00BE32E5" w:rsidRDefault="00FF1490">
      <w:pPr>
        <w:jc w:val="both"/>
        <w:rPr>
          <w:rFonts w:ascii="Times New Roman" w:hAnsi="Times New Roman" w:cs="Times New Roman"/>
          <w:i/>
          <w:noProof/>
          <w:sz w:val="24"/>
          <w:szCs w:val="24"/>
        </w:rPr>
      </w:pPr>
      <w:r>
        <w:rPr>
          <w:rFonts w:ascii="Times New Roman" w:hAnsi="Times New Roman" w:cs="Times New Roman"/>
          <w:b/>
          <w:noProof/>
          <w:sz w:val="24"/>
          <w:szCs w:val="24"/>
        </w:rPr>
        <w:t>Table 2</w:t>
      </w:r>
      <w:r>
        <w:rPr>
          <w:rFonts w:ascii="Times New Roman" w:hAnsi="Times New Roman" w:cs="Times New Roman"/>
          <w:noProof/>
          <w:sz w:val="24"/>
          <w:szCs w:val="24"/>
        </w:rPr>
        <w:t xml:space="preserve">: </w:t>
      </w:r>
      <w:r>
        <w:rPr>
          <w:rFonts w:ascii="Times New Roman" w:hAnsi="Times New Roman" w:cs="Times New Roman"/>
          <w:i/>
          <w:noProof/>
          <w:sz w:val="24"/>
          <w:szCs w:val="24"/>
        </w:rPr>
        <w:t>Final bioenergy consumption in EU transport (2016, ktoe). Source: Eurostat</w:t>
      </w:r>
    </w:p>
    <w:p w:rsidR="00BE32E5" w:rsidRDefault="00FF1490">
      <w:pPr>
        <w:pStyle w:val="Heading2"/>
        <w:numPr>
          <w:ilvl w:val="0"/>
          <w:numId w:val="28"/>
        </w:numPr>
        <w:spacing w:after="120"/>
        <w:rPr>
          <w:noProof/>
        </w:rPr>
      </w:pPr>
      <w:r>
        <w:rPr>
          <w:noProof/>
        </w:rPr>
        <w:t xml:space="preserve">Impacts of biofuels consumed in the EU </w:t>
      </w:r>
    </w:p>
    <w:p w:rsidR="00BE32E5" w:rsidRDefault="00FF1490">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is estimated that 4.9 Mha of land was required for the production of crops for EU biofuel consumption in 2016, based on an analysis of the origin of biofuels feedstock.</w:t>
      </w:r>
      <w:r>
        <w:rPr>
          <w:rFonts w:ascii="Times New Roman" w:eastAsia="Calibri" w:hAnsi="Times New Roman" w:cs="Times New Roman"/>
          <w:noProof/>
          <w:sz w:val="24"/>
          <w:szCs w:val="24"/>
          <w:vertAlign w:val="superscript"/>
        </w:rPr>
        <w:footnoteReference w:id="35"/>
      </w:r>
      <w:r>
        <w:rPr>
          <w:rFonts w:ascii="Times New Roman" w:eastAsia="Calibri" w:hAnsi="Times New Roman" w:cs="Times New Roman"/>
          <w:noProof/>
          <w:sz w:val="24"/>
          <w:szCs w:val="24"/>
        </w:rPr>
        <w:t xml:space="preserve"> Of that amount, 3.6 Mha (73%) is located wi</w:t>
      </w:r>
      <w:r>
        <w:rPr>
          <w:rFonts w:ascii="Times New Roman" w:eastAsia="Calibri" w:hAnsi="Times New Roman" w:cs="Times New Roman"/>
          <w:noProof/>
          <w:sz w:val="24"/>
          <w:szCs w:val="24"/>
        </w:rPr>
        <w:t>thin the EU and the remaining 1.3 Mha (26%) is located in third countries. In terms of the total amount of cropland dedicated to biofuel production, in the EU it was 3.1% (on the basis of an estimate of total EU cropland of 115 Mha), with rapeseed represen</w:t>
      </w:r>
      <w:r>
        <w:rPr>
          <w:rFonts w:ascii="Times New Roman" w:eastAsia="Calibri" w:hAnsi="Times New Roman" w:cs="Times New Roman"/>
          <w:noProof/>
          <w:sz w:val="24"/>
          <w:szCs w:val="24"/>
        </w:rPr>
        <w:t>ting 56% of the share of the total land used for biofuels production. From the four main countries outside the EU supplying crops for the production of biofuels which are consumed in the EU (Ukraine, Brazil, Indonesia and Malaysia), less than 0.5% of their</w:t>
      </w:r>
      <w:r>
        <w:rPr>
          <w:rFonts w:ascii="Times New Roman" w:eastAsia="Calibri" w:hAnsi="Times New Roman" w:cs="Times New Roman"/>
          <w:noProof/>
          <w:sz w:val="24"/>
          <w:szCs w:val="24"/>
        </w:rPr>
        <w:t xml:space="preserve"> total cropland was attributed to this use. </w:t>
      </w:r>
    </w:p>
    <w:p w:rsidR="00BE32E5" w:rsidRDefault="00FF1490">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According to information reported by Member States, total emission savings from the use of biofuels in transport in the EU amounted to  33.2 Mtonne CO</w:t>
      </w:r>
      <w:r>
        <w:rPr>
          <w:rFonts w:ascii="Times New Roman" w:eastAsia="Calibri" w:hAnsi="Times New Roman" w:cs="Times New Roman"/>
          <w:noProof/>
          <w:sz w:val="24"/>
          <w:szCs w:val="24"/>
          <w:vertAlign w:val="subscript"/>
        </w:rPr>
        <w:t>2eq</w:t>
      </w:r>
      <w:r>
        <w:rPr>
          <w:rFonts w:ascii="Times New Roman" w:eastAsia="Calibri" w:hAnsi="Times New Roman" w:cs="Times New Roman"/>
          <w:noProof/>
          <w:sz w:val="24"/>
          <w:szCs w:val="24"/>
        </w:rPr>
        <w:t xml:space="preserve"> in 2016. Taking into account ILUC emissions estimated usi</w:t>
      </w:r>
      <w:r>
        <w:rPr>
          <w:rFonts w:ascii="Times New Roman" w:eastAsia="Calibri" w:hAnsi="Times New Roman" w:cs="Times New Roman"/>
          <w:noProof/>
          <w:sz w:val="24"/>
          <w:szCs w:val="24"/>
        </w:rPr>
        <w:t>ng 2016 crop feedstock volumes multiplied by the corresponding mean ILUC values from the ILUC Directive, total emission savings from the use of biofuels in transport in the EU are reduced to 11.8 Mtonne of CO</w:t>
      </w:r>
      <w:r>
        <w:rPr>
          <w:rFonts w:ascii="Times New Roman" w:eastAsia="Calibri" w:hAnsi="Times New Roman" w:cs="Times New Roman"/>
          <w:noProof/>
          <w:sz w:val="24"/>
          <w:szCs w:val="24"/>
          <w:vertAlign w:val="subscript"/>
        </w:rPr>
        <w:t>2eq</w:t>
      </w:r>
      <w:r>
        <w:rPr>
          <w:rFonts w:ascii="Times New Roman" w:eastAsia="Calibri" w:hAnsi="Times New Roman" w:cs="Times New Roman"/>
          <w:noProof/>
          <w:sz w:val="24"/>
          <w:szCs w:val="24"/>
        </w:rPr>
        <w:t xml:space="preserve"> (with a range from 7.4 to 20.4 Mtonnes of CO</w:t>
      </w:r>
      <w:r>
        <w:rPr>
          <w:rFonts w:ascii="Times New Roman" w:eastAsia="Calibri" w:hAnsi="Times New Roman" w:cs="Times New Roman"/>
          <w:noProof/>
          <w:sz w:val="24"/>
          <w:szCs w:val="24"/>
          <w:vertAlign w:val="subscript"/>
        </w:rPr>
        <w:t>2eq</w:t>
      </w:r>
      <w:r>
        <w:rPr>
          <w:rFonts w:ascii="Times New Roman" w:eastAsia="Calibri" w:hAnsi="Times New Roman" w:cs="Times New Roman"/>
          <w:noProof/>
          <w:sz w:val="24"/>
          <w:szCs w:val="24"/>
        </w:rPr>
        <w:t xml:space="preserve"> savings)</w:t>
      </w:r>
      <w:r>
        <w:rPr>
          <w:rFonts w:ascii="Times New Roman" w:eastAsia="Calibri" w:hAnsi="Times New Roman" w:cs="Times New Roman"/>
          <w:noProof/>
          <w:sz w:val="24"/>
          <w:szCs w:val="24"/>
          <w:vertAlign w:val="superscript"/>
        </w:rPr>
        <w:footnoteReference w:id="36"/>
      </w:r>
      <w:r>
        <w:rPr>
          <w:rFonts w:ascii="Times New Roman" w:eastAsia="Calibri" w:hAnsi="Times New Roman" w:cs="Times New Roman"/>
          <w:noProof/>
          <w:sz w:val="24"/>
          <w:szCs w:val="24"/>
        </w:rPr>
        <w:t xml:space="preserve">. </w:t>
      </w:r>
    </w:p>
    <w:p w:rsidR="00BE32E5" w:rsidRDefault="00FF1490">
      <w:pPr>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rPr>
        <w:t>A recent comprehensive review</w:t>
      </w:r>
      <w:r>
        <w:rPr>
          <w:rFonts w:ascii="Times New Roman" w:eastAsia="Calibri" w:hAnsi="Times New Roman" w:cs="Times New Roman"/>
          <w:noProof/>
          <w:sz w:val="24"/>
          <w:szCs w:val="24"/>
          <w:vertAlign w:val="superscript"/>
        </w:rPr>
        <w:footnoteReference w:id="37"/>
      </w:r>
      <w:r>
        <w:rPr>
          <w:rFonts w:ascii="Times New Roman" w:eastAsia="Calibri" w:hAnsi="Times New Roman" w:cs="Times New Roman"/>
          <w:noProof/>
          <w:sz w:val="24"/>
          <w:szCs w:val="24"/>
        </w:rPr>
        <w:t xml:space="preserve"> of the latest available scientific literature conducted for the Commission indicates that biodiesel is associated with the most significant ILUC impacts (with a median ILUC emission level of 52 gCO2-eq/MJ), with the highest estimates within that category </w:t>
      </w:r>
      <w:r>
        <w:rPr>
          <w:rFonts w:ascii="Times New Roman" w:eastAsia="Calibri" w:hAnsi="Times New Roman" w:cs="Times New Roman"/>
          <w:noProof/>
          <w:sz w:val="24"/>
          <w:szCs w:val="24"/>
        </w:rPr>
        <w:t>being for palm oil biodiesel, which also has the highest variation in results. Food and feed-crop based ethanol has a median ILUC emission level of 21 gCO2-eq/MJ</w:t>
      </w:r>
      <w:r>
        <w:rPr>
          <w:rFonts w:ascii="Times New Roman" w:eastAsia="Calibri" w:hAnsi="Times New Roman" w:cs="Times New Roman"/>
          <w:noProof/>
          <w:sz w:val="24"/>
          <w:szCs w:val="24"/>
          <w:lang w:val="en-US"/>
        </w:rPr>
        <w:t xml:space="preserve">.  </w:t>
      </w:r>
      <w:r>
        <w:rPr>
          <w:rFonts w:ascii="Times New Roman" w:hAnsi="Times New Roman" w:cs="Times New Roman"/>
          <w:noProof/>
          <w:color w:val="000000"/>
          <w:sz w:val="24"/>
          <w:szCs w:val="24"/>
          <w:lang w:val="en-US"/>
        </w:rPr>
        <w:t>In comparison, the provisional estimated ILUC emissions listed in Annex VIII of the recast R</w:t>
      </w:r>
      <w:r>
        <w:rPr>
          <w:rFonts w:ascii="Times New Roman" w:hAnsi="Times New Roman" w:cs="Times New Roman"/>
          <w:noProof/>
          <w:color w:val="000000"/>
          <w:sz w:val="24"/>
          <w:szCs w:val="24"/>
          <w:lang w:val="en-US"/>
        </w:rPr>
        <w:t xml:space="preserve">enewable Energy Directive are 55 gCO2eq/MJ for oil crops, 12 gCO2eq/MJ for cereals and other starch-rich crops, and 13 gCO2eq/MJ for sugars. The review contains further information on the indirect impacts of biofuels. </w:t>
      </w:r>
    </w:p>
    <w:p w:rsidR="00BE32E5" w:rsidRDefault="00FF1490">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cultivation of feedstocks used fo</w:t>
      </w:r>
      <w:r>
        <w:rPr>
          <w:rFonts w:ascii="Times New Roman" w:eastAsia="Calibri" w:hAnsi="Times New Roman" w:cs="Times New Roman"/>
          <w:noProof/>
          <w:sz w:val="24"/>
          <w:szCs w:val="24"/>
        </w:rPr>
        <w:t>r the production of biofuels consumed in the EU can potentially result in negative environmental impacts, which are site-specific and depend on the agricultural practices applied</w:t>
      </w:r>
      <w:r>
        <w:rPr>
          <w:rStyle w:val="FootnoteReference"/>
          <w:rFonts w:ascii="Times New Roman" w:eastAsia="Calibri" w:hAnsi="Times New Roman" w:cs="Times New Roman"/>
          <w:noProof/>
          <w:sz w:val="24"/>
          <w:szCs w:val="24"/>
        </w:rPr>
        <w:footnoteReference w:id="38"/>
      </w:r>
      <w:r>
        <w:rPr>
          <w:rFonts w:ascii="Times New Roman" w:eastAsia="Calibri" w:hAnsi="Times New Roman" w:cs="Times New Roman"/>
          <w:noProof/>
          <w:sz w:val="24"/>
          <w:szCs w:val="24"/>
        </w:rPr>
        <w:t xml:space="preserve">. In their Progress Reports, most Member States point to limited cultivation </w:t>
      </w:r>
      <w:r>
        <w:rPr>
          <w:rFonts w:ascii="Times New Roman" w:eastAsia="Calibri" w:hAnsi="Times New Roman" w:cs="Times New Roman"/>
          <w:noProof/>
          <w:sz w:val="24"/>
          <w:szCs w:val="24"/>
        </w:rPr>
        <w:t>of feedstock used in biofuel production compared to total agricultural activities, and consider therefore that associated environmental impacts are insignificant. Several Member States point out that all agricultural production is regulated with respect to</w:t>
      </w:r>
      <w:r>
        <w:rPr>
          <w:rFonts w:ascii="Times New Roman" w:eastAsia="Calibri" w:hAnsi="Times New Roman" w:cs="Times New Roman"/>
          <w:noProof/>
          <w:sz w:val="24"/>
          <w:szCs w:val="24"/>
        </w:rPr>
        <w:t xml:space="preserve"> environmental impacts and therefore consider that no more impacts should be expected from biofuel crop production than other crop production</w:t>
      </w:r>
      <w:r>
        <w:rPr>
          <w:rStyle w:val="FootnoteReference"/>
          <w:rFonts w:ascii="Times New Roman" w:eastAsia="Calibri" w:hAnsi="Times New Roman" w:cs="Times New Roman"/>
          <w:noProof/>
          <w:sz w:val="24"/>
          <w:szCs w:val="24"/>
        </w:rPr>
        <w:footnoteReference w:id="39"/>
      </w:r>
      <w:r>
        <w:rPr>
          <w:rFonts w:ascii="Times New Roman" w:eastAsia="Calibri" w:hAnsi="Times New Roman" w:cs="Times New Roman"/>
          <w:noProof/>
          <w:sz w:val="24"/>
          <w:szCs w:val="24"/>
        </w:rPr>
        <w:t>. A detailed assessment of the environmental impacts of the production of biofuels consumed in the EU is contained</w:t>
      </w:r>
      <w:r>
        <w:rPr>
          <w:rFonts w:ascii="Times New Roman" w:eastAsia="Calibri" w:hAnsi="Times New Roman" w:cs="Times New Roman"/>
          <w:noProof/>
          <w:sz w:val="24"/>
          <w:szCs w:val="24"/>
        </w:rPr>
        <w:t xml:space="preserve"> in an external study</w:t>
      </w:r>
      <w:r>
        <w:rPr>
          <w:rStyle w:val="FootnoteReference"/>
          <w:rFonts w:ascii="Times New Roman" w:eastAsia="Calibri" w:hAnsi="Times New Roman" w:cs="Times New Roman"/>
          <w:noProof/>
          <w:sz w:val="24"/>
          <w:szCs w:val="24"/>
        </w:rPr>
        <w:footnoteReference w:id="40"/>
      </w:r>
      <w:r>
        <w:rPr>
          <w:rFonts w:ascii="Times New Roman" w:eastAsia="Calibri" w:hAnsi="Times New Roman" w:cs="Times New Roman"/>
          <w:noProof/>
          <w:sz w:val="24"/>
          <w:szCs w:val="24"/>
        </w:rPr>
        <w:t xml:space="preserve"> . A comprehensive report providing the latest available data and assessment on the status of production expansion of food and feed crops worldwide has also been published recently by the Commission</w:t>
      </w:r>
      <w:r>
        <w:rPr>
          <w:rStyle w:val="FootnoteReference"/>
          <w:rFonts w:ascii="Times New Roman" w:eastAsia="Calibri" w:hAnsi="Times New Roman" w:cs="Times New Roman"/>
          <w:noProof/>
          <w:sz w:val="24"/>
          <w:szCs w:val="24"/>
        </w:rPr>
        <w:footnoteReference w:id="41"/>
      </w:r>
      <w:r>
        <w:rPr>
          <w:rFonts w:ascii="Times New Roman" w:eastAsia="Calibri" w:hAnsi="Times New Roman" w:cs="Times New Roman"/>
          <w:noProof/>
          <w:sz w:val="24"/>
          <w:szCs w:val="24"/>
        </w:rPr>
        <w:t>.</w:t>
      </w:r>
    </w:p>
    <w:p w:rsidR="00BE32E5" w:rsidRDefault="00FF1490">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EU bioenergy sustainability f</w:t>
      </w:r>
      <w:r>
        <w:rPr>
          <w:rFonts w:ascii="Times New Roman" w:eastAsia="Calibri" w:hAnsi="Times New Roman" w:cs="Times New Roman"/>
          <w:noProof/>
          <w:sz w:val="24"/>
          <w:szCs w:val="24"/>
        </w:rPr>
        <w:t>ramework has been reinforced under the recast Renewable Energy Directive. In particular, the Directive sets national limits, which will gradually decrease to zero by 2030, for high-ILUC biofuels, bioliquids and biomass fuels produced from food or feed crop</w:t>
      </w:r>
      <w:r>
        <w:rPr>
          <w:rFonts w:ascii="Times New Roman" w:eastAsia="Calibri" w:hAnsi="Times New Roman" w:cs="Times New Roman"/>
          <w:noProof/>
          <w:sz w:val="24"/>
          <w:szCs w:val="24"/>
        </w:rPr>
        <w:t xml:space="preserve">s for which a significant expansion of the production area into land with high carbon stock is observed. These limits will affect the amount of these fuels that can be counted when calculating the overall share of renewables and the share of renewables in </w:t>
      </w:r>
      <w:r>
        <w:rPr>
          <w:rFonts w:ascii="Times New Roman" w:eastAsia="Calibri" w:hAnsi="Times New Roman" w:cs="Times New Roman"/>
          <w:noProof/>
          <w:sz w:val="24"/>
          <w:szCs w:val="24"/>
        </w:rPr>
        <w:t>transport. The Directive however makes it possible to exempt from the national caps those biofuels, bioliquids and biomass fuels that are certified as low ILUC-risk</w:t>
      </w:r>
      <w:r>
        <w:rPr>
          <w:noProof/>
          <w:lang w:val="en-US"/>
        </w:rPr>
        <w:t>.</w:t>
      </w:r>
      <w:r>
        <w:rPr>
          <w:rFonts w:ascii="Times New Roman" w:eastAsia="Calibri" w:hAnsi="Times New Roman" w:cs="Times New Roman"/>
          <w:noProof/>
          <w:sz w:val="24"/>
          <w:szCs w:val="24"/>
        </w:rPr>
        <w:t xml:space="preserve"> </w:t>
      </w:r>
    </w:p>
    <w:p w:rsidR="00BE32E5" w:rsidRDefault="00FF1490">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 implement this approach, on 13 March 2019 the Commission adopted a Delegated Act on hi</w:t>
      </w:r>
      <w:r>
        <w:rPr>
          <w:rFonts w:ascii="Times New Roman" w:eastAsia="Calibri" w:hAnsi="Times New Roman" w:cs="Times New Roman"/>
          <w:noProof/>
          <w:sz w:val="24"/>
          <w:szCs w:val="24"/>
        </w:rPr>
        <w:t>gh and low-ILUC risk biofuels</w:t>
      </w:r>
      <w:r>
        <w:rPr>
          <w:rStyle w:val="FootnoteReference"/>
          <w:rFonts w:ascii="Times New Roman" w:eastAsia="Calibri" w:hAnsi="Times New Roman" w:cs="Times New Roman"/>
          <w:noProof/>
          <w:sz w:val="24"/>
          <w:szCs w:val="24"/>
        </w:rPr>
        <w:footnoteReference w:id="42"/>
      </w:r>
      <w:r>
        <w:rPr>
          <w:rFonts w:ascii="Times New Roman" w:eastAsia="Calibri" w:hAnsi="Times New Roman" w:cs="Times New Roman"/>
          <w:noProof/>
          <w:sz w:val="24"/>
          <w:szCs w:val="24"/>
        </w:rPr>
        <w:t>, which is now with the Council and European Parliament for scrutiny. Generally, the EU decided to focus in the future on the promotion of advanced biofuels and other low carbon fuels, such as renewable electricity and renewab</w:t>
      </w:r>
      <w:r>
        <w:rPr>
          <w:rFonts w:ascii="Times New Roman" w:eastAsia="Calibri" w:hAnsi="Times New Roman" w:cs="Times New Roman"/>
          <w:noProof/>
          <w:sz w:val="24"/>
          <w:szCs w:val="24"/>
        </w:rPr>
        <w:t>le liquid and gaseous transport fuels of non-biological origin. Advanced biofuels have only a very small market share today but there is a significant potential to scale-up production. The Commission will continue to promote the development of advanced bio</w:t>
      </w:r>
      <w:r>
        <w:rPr>
          <w:rFonts w:ascii="Times New Roman" w:eastAsia="Calibri" w:hAnsi="Times New Roman" w:cs="Times New Roman"/>
          <w:noProof/>
          <w:sz w:val="24"/>
          <w:szCs w:val="24"/>
        </w:rPr>
        <w:t>fuels including by exploring sources for potential new feedstocks. While at this stage there is no sufficient scientific evidence available to justify an enlargement of the feedstock base for advanced biofuels laid down in Annex IX of REDII, the Commission</w:t>
      </w:r>
      <w:r>
        <w:rPr>
          <w:rFonts w:ascii="Times New Roman" w:eastAsia="Calibri" w:hAnsi="Times New Roman" w:cs="Times New Roman"/>
          <w:noProof/>
          <w:sz w:val="24"/>
          <w:szCs w:val="24"/>
        </w:rPr>
        <w:t xml:space="preserve"> will continue to assess whether additional feedstocks could be used for the production of advanced biofuels in the future</w:t>
      </w:r>
      <w:r>
        <w:rPr>
          <w:rStyle w:val="FootnoteReference"/>
          <w:rFonts w:ascii="Times New Roman" w:eastAsia="Calibri" w:hAnsi="Times New Roman" w:cs="Times New Roman"/>
          <w:noProof/>
          <w:sz w:val="24"/>
          <w:szCs w:val="24"/>
        </w:rPr>
        <w:footnoteReference w:id="43"/>
      </w:r>
      <w:r>
        <w:rPr>
          <w:rFonts w:ascii="Times New Roman" w:eastAsia="Calibri" w:hAnsi="Times New Roman" w:cs="Times New Roman"/>
          <w:noProof/>
          <w:sz w:val="24"/>
          <w:szCs w:val="24"/>
        </w:rPr>
        <w:t>.</w:t>
      </w:r>
    </w:p>
    <w:p w:rsidR="00BE32E5" w:rsidRDefault="00FF1490">
      <w:pPr>
        <w:pStyle w:val="Heading2"/>
        <w:numPr>
          <w:ilvl w:val="0"/>
          <w:numId w:val="28"/>
        </w:numPr>
        <w:spacing w:after="120"/>
        <w:rPr>
          <w:noProof/>
        </w:rPr>
      </w:pPr>
      <w:r>
        <w:rPr>
          <w:noProof/>
        </w:rPr>
        <w:t xml:space="preserve">Operation of the voluntary schemes recognised by the Commission </w:t>
      </w:r>
    </w:p>
    <w:p w:rsidR="00BE32E5" w:rsidRDefault="00FF1490">
      <w:pPr>
        <w:spacing w:before="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RED I empowers the Commission to recognise international or nation</w:t>
      </w:r>
      <w:r>
        <w:rPr>
          <w:rFonts w:ascii="Times New Roman" w:eastAsia="Calibri" w:hAnsi="Times New Roman" w:cs="Times New Roman"/>
          <w:noProof/>
          <w:sz w:val="24"/>
          <w:szCs w:val="24"/>
        </w:rPr>
        <w:t>al certification schemes, referred to as voluntary schemes, which operators can use to demonstrate compliance with the sustainability and greenhouse gas saving criteria of the Directive for biofuels and bioliquids. Currently, 14 voluntary schemes have been</w:t>
      </w:r>
      <w:r>
        <w:rPr>
          <w:rFonts w:ascii="Times New Roman" w:eastAsia="Calibri" w:hAnsi="Times New Roman" w:cs="Times New Roman"/>
          <w:noProof/>
          <w:sz w:val="24"/>
          <w:szCs w:val="24"/>
        </w:rPr>
        <w:t xml:space="preserve"> recognised for this purpose</w:t>
      </w:r>
      <w:r>
        <w:rPr>
          <w:noProof/>
          <w:vertAlign w:val="superscript"/>
        </w:rPr>
        <w:footnoteReference w:id="44"/>
      </w:r>
      <w:r>
        <w:rPr>
          <w:rFonts w:ascii="Times New Roman" w:eastAsia="Calibri" w:hAnsi="Times New Roman" w:cs="Times New Roman"/>
          <w:noProof/>
          <w:sz w:val="24"/>
          <w:szCs w:val="24"/>
        </w:rPr>
        <w:t>. Member States are required to accept the evidence regarding the sustainability criteria obtained by operators participating in these schemes. This provision greatly facilitates the implementation of the sustainability criteri</w:t>
      </w:r>
      <w:r>
        <w:rPr>
          <w:rFonts w:ascii="Times New Roman" w:eastAsia="Calibri" w:hAnsi="Times New Roman" w:cs="Times New Roman"/>
          <w:noProof/>
          <w:sz w:val="24"/>
          <w:szCs w:val="24"/>
        </w:rPr>
        <w:t>a as it allows operators to provide the required evidence following a single administrative procedure in all EU Member States</w:t>
      </w:r>
      <w:r>
        <w:rPr>
          <w:noProof/>
          <w:vertAlign w:val="superscript"/>
        </w:rPr>
        <w:footnoteReference w:id="45"/>
      </w:r>
      <w:r>
        <w:rPr>
          <w:rFonts w:ascii="Times New Roman" w:eastAsia="Calibri" w:hAnsi="Times New Roman" w:cs="Times New Roman"/>
          <w:noProof/>
          <w:sz w:val="24"/>
          <w:szCs w:val="24"/>
        </w:rPr>
        <w:t>. Each voluntary scheme on which a decision has been adopted and which has been in operation for the last twelve months is require</w:t>
      </w:r>
      <w:r>
        <w:rPr>
          <w:rFonts w:ascii="Times New Roman" w:eastAsia="Calibri" w:hAnsi="Times New Roman" w:cs="Times New Roman"/>
          <w:noProof/>
          <w:sz w:val="24"/>
          <w:szCs w:val="24"/>
        </w:rPr>
        <w:t>d to deliver annually a report to the Commission</w:t>
      </w:r>
      <w:r>
        <w:rPr>
          <w:rStyle w:val="FootnoteReference"/>
          <w:rFonts w:ascii="Times New Roman" w:eastAsia="Calibri" w:hAnsi="Times New Roman" w:cs="Times New Roman"/>
          <w:noProof/>
          <w:sz w:val="24"/>
          <w:szCs w:val="24"/>
        </w:rPr>
        <w:footnoteReference w:id="46"/>
      </w:r>
      <w:r>
        <w:rPr>
          <w:rFonts w:ascii="Times New Roman" w:eastAsia="Calibri" w:hAnsi="Times New Roman" w:cs="Times New Roman"/>
          <w:noProof/>
          <w:sz w:val="24"/>
          <w:szCs w:val="24"/>
        </w:rPr>
        <w:t xml:space="preserve">. </w:t>
      </w:r>
    </w:p>
    <w:p w:rsidR="00BE32E5" w:rsidRDefault="00FF1490">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Over the last few years, voluntary schemes have become the main tool to demonstrate compliance with the EU biofuel sustainability criteria. During the calendar year 2017, 21,429 kilotons (kt) of liquid </w:t>
      </w:r>
      <w:r>
        <w:rPr>
          <w:rFonts w:ascii="Times New Roman" w:eastAsia="Calibri" w:hAnsi="Times New Roman" w:cs="Times New Roman"/>
          <w:noProof/>
          <w:sz w:val="24"/>
          <w:szCs w:val="24"/>
        </w:rPr>
        <w:t>biofuels (including pure vegetable oil), 140,045 thousand m</w:t>
      </w:r>
      <w:r>
        <w:rPr>
          <w:rFonts w:ascii="Times New Roman" w:eastAsia="Calibri" w:hAnsi="Times New Roman" w:cs="Times New Roman"/>
          <w:noProof/>
          <w:sz w:val="24"/>
          <w:szCs w:val="24"/>
          <w:vertAlign w:val="superscript"/>
        </w:rPr>
        <w:t>3</w:t>
      </w:r>
      <w:r>
        <w:rPr>
          <w:rFonts w:ascii="Times New Roman" w:eastAsia="Calibri" w:hAnsi="Times New Roman" w:cs="Times New Roman"/>
          <w:noProof/>
          <w:sz w:val="24"/>
          <w:szCs w:val="24"/>
        </w:rPr>
        <w:t xml:space="preserve"> of biomethane (equivalent to around 100.8 kt), and 119,119 kt of feedstock have been certified to comply with the EU sustainability criteria as set out in Articles 17(2)-(5) of the Renewable Energy Directive. Looking in more detail at the certified liquid</w:t>
      </w:r>
      <w:r>
        <w:rPr>
          <w:rFonts w:ascii="Times New Roman" w:eastAsia="Calibri" w:hAnsi="Times New Roman" w:cs="Times New Roman"/>
          <w:noProof/>
          <w:sz w:val="24"/>
          <w:szCs w:val="24"/>
        </w:rPr>
        <w:t xml:space="preserve"> biofuels, 12,198 kt (57% of the total amount) was biodiesel and 6,224 kt (29%) was bioethanol. The rest was made up of Hydrotreated Vegetable Oil (HVO) biofuels (1,784 kt, 8%), pure vegetable oil (1,053 kt, 5%) and other fuels. The largest volumes of cert</w:t>
      </w:r>
      <w:r>
        <w:rPr>
          <w:rFonts w:ascii="Times New Roman" w:eastAsia="Calibri" w:hAnsi="Times New Roman" w:cs="Times New Roman"/>
          <w:noProof/>
          <w:sz w:val="24"/>
          <w:szCs w:val="24"/>
        </w:rPr>
        <w:t xml:space="preserve">ified feedstock used for biofuels were rapeseed (27%), palm oil (16%), used cooking oil (13%) and corn (12%). </w:t>
      </w:r>
    </w:p>
    <w:p w:rsidR="00BE32E5" w:rsidRDefault="00FF1490">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only recognises schemes that fulfil adequate standards of reliability, transparency and independent auditing. For this purpose, th</w:t>
      </w:r>
      <w:r>
        <w:rPr>
          <w:rFonts w:ascii="Times New Roman" w:eastAsia="Calibri" w:hAnsi="Times New Roman" w:cs="Times New Roman"/>
          <w:noProof/>
          <w:sz w:val="24"/>
          <w:szCs w:val="24"/>
        </w:rPr>
        <w:t>e Commission conducts a thorough assessment of the voluntary schemes requesting recognition</w:t>
      </w:r>
      <w:r>
        <w:rPr>
          <w:rStyle w:val="FootnoteReference"/>
          <w:rFonts w:ascii="Times New Roman" w:eastAsia="Calibri" w:hAnsi="Times New Roman" w:cs="Times New Roman"/>
          <w:noProof/>
          <w:sz w:val="24"/>
          <w:szCs w:val="24"/>
        </w:rPr>
        <w:footnoteReference w:id="47"/>
      </w:r>
      <w:r>
        <w:rPr>
          <w:rFonts w:ascii="Times New Roman" w:eastAsia="Calibri" w:hAnsi="Times New Roman" w:cs="Times New Roman"/>
          <w:noProof/>
          <w:sz w:val="24"/>
          <w:szCs w:val="24"/>
        </w:rPr>
        <w:t>. This ensures that, among other things: feedstock producers comply with the sustainability criteria of RED I, information on sustainability characteristics is trac</w:t>
      </w:r>
      <w:r>
        <w:rPr>
          <w:rFonts w:ascii="Times New Roman" w:eastAsia="Calibri" w:hAnsi="Times New Roman" w:cs="Times New Roman"/>
          <w:noProof/>
          <w:sz w:val="24"/>
          <w:szCs w:val="24"/>
        </w:rPr>
        <w:t>eable to the origin of the feedstock, companies are audited before they start to participate in the scheme, retroactive audits take place regularly and auditors are external and independent.</w:t>
      </w:r>
    </w:p>
    <w:p w:rsidR="00BE32E5" w:rsidRDefault="00FF1490">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recent years, the governance of the voluntary schemes has rece</w:t>
      </w:r>
      <w:r>
        <w:rPr>
          <w:rFonts w:ascii="Times New Roman" w:eastAsia="Calibri" w:hAnsi="Times New Roman" w:cs="Times New Roman"/>
          <w:noProof/>
          <w:sz w:val="24"/>
          <w:szCs w:val="24"/>
        </w:rPr>
        <w:t>ived increasing public scrutiny</w:t>
      </w:r>
      <w:r>
        <w:rPr>
          <w:rStyle w:val="FootnoteReference"/>
          <w:rFonts w:ascii="Times New Roman" w:eastAsia="Calibri" w:hAnsi="Times New Roman" w:cs="Times New Roman"/>
          <w:noProof/>
          <w:sz w:val="24"/>
          <w:szCs w:val="24"/>
        </w:rPr>
        <w:footnoteReference w:id="48"/>
      </w:r>
      <w:r>
        <w:rPr>
          <w:rFonts w:ascii="Times New Roman" w:eastAsia="Calibri" w:hAnsi="Times New Roman" w:cs="Times New Roman"/>
          <w:noProof/>
          <w:sz w:val="24"/>
          <w:szCs w:val="24"/>
        </w:rPr>
        <w:t>. In order to address these concerns and guarantee robust implementation, Article 30 of REDII includes strengthened rules for the verification of the bioenergy sustainability criteria</w:t>
      </w:r>
      <w:r>
        <w:rPr>
          <w:rFonts w:ascii="Times New Roman" w:hAnsi="Times New Roman" w:cs="Times New Roman"/>
          <w:noProof/>
          <w:sz w:val="24"/>
          <w:szCs w:val="24"/>
          <w:lang w:val="en-US"/>
        </w:rPr>
        <w:t>, including stronger national and EU over</w:t>
      </w:r>
      <w:r>
        <w:rPr>
          <w:rFonts w:ascii="Times New Roman" w:hAnsi="Times New Roman" w:cs="Times New Roman"/>
          <w:noProof/>
          <w:sz w:val="24"/>
          <w:szCs w:val="24"/>
          <w:lang w:val="en-US"/>
        </w:rPr>
        <w:t>sight of voluntary schemes and third party auditing</w:t>
      </w:r>
      <w:r>
        <w:rPr>
          <w:rFonts w:ascii="Times New Roman" w:eastAsia="Calibri" w:hAnsi="Times New Roman" w:cs="Times New Roman"/>
          <w:noProof/>
          <w:sz w:val="24"/>
          <w:szCs w:val="24"/>
        </w:rPr>
        <w:t>. In addition, the Commission is required to adopt detailed implementing rules on adequate standards of reliability, transparency and independent auditing and require all recognized voluntary schemes to ap</w:t>
      </w:r>
      <w:r>
        <w:rPr>
          <w:rFonts w:ascii="Times New Roman" w:eastAsia="Calibri" w:hAnsi="Times New Roman" w:cs="Times New Roman"/>
          <w:noProof/>
          <w:sz w:val="24"/>
          <w:szCs w:val="24"/>
        </w:rPr>
        <w:t xml:space="preserve">ply them. Finally, the Commission will establish a European database in order to improve the tracing of sustainable biofuels. </w:t>
      </w:r>
    </w:p>
    <w:p w:rsidR="00BE32E5" w:rsidRDefault="00BE32E5">
      <w:pPr>
        <w:jc w:val="both"/>
        <w:rPr>
          <w:rFonts w:ascii="Times New Roman" w:eastAsia="Calibri" w:hAnsi="Times New Roman" w:cs="Times New Roman"/>
          <w:noProof/>
          <w:sz w:val="24"/>
          <w:szCs w:val="24"/>
        </w:rPr>
      </w:pPr>
    </w:p>
    <w:tbl>
      <w:tblPr>
        <w:tblStyle w:val="TableGrid"/>
        <w:tblW w:w="0" w:type="auto"/>
        <w:tblLook w:val="04A0" w:firstRow="1" w:lastRow="0" w:firstColumn="1" w:lastColumn="0" w:noHBand="0" w:noVBand="1"/>
      </w:tblPr>
      <w:tblGrid>
        <w:gridCol w:w="2660"/>
        <w:gridCol w:w="2126"/>
        <w:gridCol w:w="1843"/>
        <w:gridCol w:w="2613"/>
      </w:tblGrid>
      <w:tr w:rsidR="00BE32E5">
        <w:trPr>
          <w:trHeight w:val="435"/>
        </w:trPr>
        <w:tc>
          <w:tcPr>
            <w:tcW w:w="2660" w:type="dxa"/>
          </w:tcPr>
          <w:p w:rsidR="00BE32E5" w:rsidRDefault="00FF1490">
            <w:pPr>
              <w:keepNext/>
              <w:jc w:val="center"/>
              <w:rPr>
                <w:rFonts w:ascii="Times New Roman" w:eastAsia="Calibri" w:hAnsi="Times New Roman" w:cs="Times New Roman"/>
                <w:b/>
                <w:bCs/>
                <w:noProof/>
                <w:sz w:val="20"/>
                <w:szCs w:val="20"/>
              </w:rPr>
            </w:pPr>
            <w:bookmarkStart w:id="12" w:name="RANGE!B1:E16"/>
            <w:r>
              <w:rPr>
                <w:rFonts w:ascii="Times New Roman" w:eastAsia="Calibri" w:hAnsi="Times New Roman" w:cs="Times New Roman"/>
                <w:b/>
                <w:bCs/>
                <w:noProof/>
                <w:sz w:val="20"/>
                <w:szCs w:val="20"/>
              </w:rPr>
              <w:t>Voluntary scheme</w:t>
            </w:r>
            <w:bookmarkEnd w:id="12"/>
          </w:p>
        </w:tc>
        <w:tc>
          <w:tcPr>
            <w:tcW w:w="6582" w:type="dxa"/>
            <w:gridSpan w:val="3"/>
          </w:tcPr>
          <w:p w:rsidR="00BE32E5" w:rsidRDefault="00FF1490">
            <w:pPr>
              <w:keepNext/>
              <w:jc w:val="cente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t>Scope</w:t>
            </w:r>
          </w:p>
        </w:tc>
      </w:tr>
      <w:tr w:rsidR="00BE32E5">
        <w:trPr>
          <w:trHeight w:val="265"/>
        </w:trPr>
        <w:tc>
          <w:tcPr>
            <w:tcW w:w="2660" w:type="dxa"/>
          </w:tcPr>
          <w:p w:rsidR="00BE32E5" w:rsidRDefault="00FF1490">
            <w:pPr>
              <w:keepNext/>
              <w:jc w:val="center"/>
              <w:rPr>
                <w:rFonts w:ascii="Times New Roman" w:eastAsia="Calibri" w:hAnsi="Times New Roman"/>
                <w:i/>
                <w:noProof/>
                <w:sz w:val="20"/>
              </w:rPr>
            </w:pPr>
            <w:r>
              <w:rPr>
                <w:rFonts w:ascii="Times New Roman" w:eastAsia="Calibri" w:hAnsi="Times New Roman"/>
                <w:i/>
                <w:noProof/>
                <w:sz w:val="20"/>
              </w:rPr>
              <w:t>Name</w:t>
            </w:r>
          </w:p>
        </w:tc>
        <w:tc>
          <w:tcPr>
            <w:tcW w:w="2126" w:type="dxa"/>
          </w:tcPr>
          <w:p w:rsidR="00BE32E5" w:rsidRDefault="00FF1490">
            <w:pPr>
              <w:keepNext/>
              <w:jc w:val="center"/>
              <w:rPr>
                <w:rFonts w:ascii="Times New Roman" w:eastAsia="Calibri" w:hAnsi="Times New Roman"/>
                <w:i/>
                <w:noProof/>
                <w:sz w:val="20"/>
              </w:rPr>
            </w:pPr>
            <w:r>
              <w:rPr>
                <w:rFonts w:ascii="Times New Roman" w:eastAsia="Calibri" w:hAnsi="Times New Roman"/>
                <w:i/>
                <w:noProof/>
                <w:sz w:val="20"/>
              </w:rPr>
              <w:t>Feedstock type</w:t>
            </w:r>
          </w:p>
        </w:tc>
        <w:tc>
          <w:tcPr>
            <w:tcW w:w="1843" w:type="dxa"/>
          </w:tcPr>
          <w:p w:rsidR="00BE32E5" w:rsidRDefault="00FF1490">
            <w:pPr>
              <w:keepNext/>
              <w:jc w:val="center"/>
              <w:rPr>
                <w:rFonts w:ascii="Times New Roman" w:eastAsia="Calibri" w:hAnsi="Times New Roman"/>
                <w:i/>
                <w:noProof/>
                <w:sz w:val="20"/>
              </w:rPr>
            </w:pPr>
            <w:r>
              <w:rPr>
                <w:rFonts w:ascii="Times New Roman" w:eastAsia="Calibri" w:hAnsi="Times New Roman"/>
                <w:i/>
                <w:noProof/>
                <w:sz w:val="20"/>
              </w:rPr>
              <w:t>Feedstock origin</w:t>
            </w:r>
          </w:p>
        </w:tc>
        <w:tc>
          <w:tcPr>
            <w:tcW w:w="2613" w:type="dxa"/>
          </w:tcPr>
          <w:p w:rsidR="00BE32E5" w:rsidRDefault="00FF1490">
            <w:pPr>
              <w:keepNext/>
              <w:jc w:val="center"/>
              <w:rPr>
                <w:rFonts w:ascii="Times New Roman" w:eastAsia="Calibri" w:hAnsi="Times New Roman"/>
                <w:i/>
                <w:noProof/>
                <w:sz w:val="20"/>
              </w:rPr>
            </w:pPr>
            <w:r>
              <w:rPr>
                <w:rFonts w:ascii="Times New Roman" w:eastAsia="Calibri" w:hAnsi="Times New Roman"/>
                <w:i/>
                <w:noProof/>
                <w:sz w:val="20"/>
              </w:rPr>
              <w:t>Supply chain covered</w:t>
            </w:r>
          </w:p>
        </w:tc>
      </w:tr>
      <w:tr w:rsidR="00BE32E5">
        <w:trPr>
          <w:trHeight w:val="555"/>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International Sustainability and Carbon Certi</w:t>
            </w:r>
            <w:r>
              <w:rPr>
                <w:rFonts w:ascii="Times New Roman" w:eastAsia="Calibri" w:hAnsi="Times New Roman" w:cs="Times New Roman"/>
                <w:noProof/>
                <w:sz w:val="20"/>
                <w:szCs w:val="20"/>
              </w:rPr>
              <w:t>fication (ISCC)</w:t>
            </w:r>
          </w:p>
        </w:tc>
        <w:tc>
          <w:tcPr>
            <w:tcW w:w="2126" w:type="dxa"/>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Wide range of feedstocks</w:t>
            </w:r>
          </w:p>
        </w:tc>
        <w:tc>
          <w:tcPr>
            <w:tcW w:w="1843" w:type="dxa"/>
            <w:noWrap/>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Global</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Full supply chain</w:t>
            </w:r>
          </w:p>
        </w:tc>
      </w:tr>
      <w:tr w:rsidR="00BE32E5">
        <w:trPr>
          <w:trHeight w:val="360"/>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Bonsucro EU</w:t>
            </w:r>
          </w:p>
        </w:tc>
        <w:tc>
          <w:tcPr>
            <w:tcW w:w="2126" w:type="dxa"/>
            <w:noWrap/>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Sugar cane</w:t>
            </w:r>
          </w:p>
        </w:tc>
        <w:tc>
          <w:tcPr>
            <w:tcW w:w="1843" w:type="dxa"/>
            <w:noWrap/>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Global</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Full supply chain</w:t>
            </w:r>
          </w:p>
        </w:tc>
      </w:tr>
      <w:tr w:rsidR="00BE32E5">
        <w:trPr>
          <w:trHeight w:val="555"/>
        </w:trPr>
        <w:tc>
          <w:tcPr>
            <w:tcW w:w="2660" w:type="dxa"/>
          </w:tcPr>
          <w:p w:rsidR="00BE32E5" w:rsidRDefault="00FF1490">
            <w:pPr>
              <w:keepNext/>
              <w:rPr>
                <w:rFonts w:ascii="Times New Roman" w:eastAsia="Calibri" w:hAnsi="Times New Roman" w:cs="Times New Roman"/>
                <w:noProof/>
                <w:sz w:val="20"/>
                <w:szCs w:val="20"/>
                <w:lang w:val="es-ES_tradnl"/>
              </w:rPr>
            </w:pPr>
            <w:r>
              <w:rPr>
                <w:rFonts w:ascii="Times New Roman" w:eastAsia="Calibri" w:hAnsi="Times New Roman" w:cs="Times New Roman"/>
                <w:noProof/>
                <w:sz w:val="20"/>
                <w:szCs w:val="20"/>
                <w:lang w:val="es-ES_tradnl"/>
              </w:rPr>
              <w:t>Roundtable on Sustainable Biomaterial EU RED  (RSB EU RED)</w:t>
            </w:r>
          </w:p>
        </w:tc>
        <w:tc>
          <w:tcPr>
            <w:tcW w:w="2126" w:type="dxa"/>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Wide range of feedstocks</w:t>
            </w:r>
          </w:p>
        </w:tc>
        <w:tc>
          <w:tcPr>
            <w:tcW w:w="1843" w:type="dxa"/>
            <w:noWrap/>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Global</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Full supply chain</w:t>
            </w:r>
          </w:p>
        </w:tc>
      </w:tr>
      <w:tr w:rsidR="00BE32E5">
        <w:trPr>
          <w:trHeight w:val="360"/>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RTRS EU RED</w:t>
            </w:r>
          </w:p>
        </w:tc>
        <w:tc>
          <w:tcPr>
            <w:tcW w:w="2126" w:type="dxa"/>
            <w:noWrap/>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Soy</w:t>
            </w:r>
          </w:p>
        </w:tc>
        <w:tc>
          <w:tcPr>
            <w:tcW w:w="1843" w:type="dxa"/>
            <w:noWrap/>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Global</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Full </w:t>
            </w:r>
            <w:r>
              <w:rPr>
                <w:rFonts w:ascii="Times New Roman" w:eastAsia="Calibri" w:hAnsi="Times New Roman" w:cs="Times New Roman"/>
                <w:noProof/>
                <w:sz w:val="20"/>
                <w:szCs w:val="20"/>
              </w:rPr>
              <w:t>supply chain</w:t>
            </w:r>
          </w:p>
        </w:tc>
      </w:tr>
      <w:tr w:rsidR="00BE32E5">
        <w:trPr>
          <w:trHeight w:val="720"/>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U.S. Soybean Sustainability Assurance Protocol (SSAP)</w:t>
            </w:r>
          </w:p>
        </w:tc>
        <w:tc>
          <w:tcPr>
            <w:tcW w:w="2126" w:type="dxa"/>
            <w:noWrap/>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 xml:space="preserve">Soy </w:t>
            </w:r>
          </w:p>
        </w:tc>
        <w:tc>
          <w:tcPr>
            <w:tcW w:w="1843" w:type="dxa"/>
            <w:noWrap/>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US</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From cultivation to place of export</w:t>
            </w:r>
          </w:p>
        </w:tc>
      </w:tr>
      <w:tr w:rsidR="00BE32E5">
        <w:trPr>
          <w:trHeight w:val="360"/>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Biomass Biofuels voluntary scheme (2BSvs)</w:t>
            </w:r>
          </w:p>
        </w:tc>
        <w:tc>
          <w:tcPr>
            <w:tcW w:w="2126" w:type="dxa"/>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Wide range of feedstocks</w:t>
            </w:r>
          </w:p>
        </w:tc>
        <w:tc>
          <w:tcPr>
            <w:tcW w:w="1843" w:type="dxa"/>
            <w:noWrap/>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Global</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Full supply chain</w:t>
            </w:r>
          </w:p>
        </w:tc>
      </w:tr>
      <w:tr w:rsidR="00BE32E5">
        <w:trPr>
          <w:trHeight w:val="690"/>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Scottish Quality Farm Assured Combinable Crops </w:t>
            </w:r>
            <w:r>
              <w:rPr>
                <w:rFonts w:ascii="Times New Roman" w:eastAsia="Calibri" w:hAnsi="Times New Roman" w:cs="Times New Roman"/>
                <w:noProof/>
                <w:sz w:val="20"/>
                <w:szCs w:val="20"/>
              </w:rPr>
              <w:t>Limited (SQC)</w:t>
            </w:r>
          </w:p>
        </w:tc>
        <w:tc>
          <w:tcPr>
            <w:tcW w:w="2126" w:type="dxa"/>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All cereals and oilseeds</w:t>
            </w:r>
          </w:p>
        </w:tc>
        <w:tc>
          <w:tcPr>
            <w:tcW w:w="184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North Great Britain</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Until the first feedstock delivery point</w:t>
            </w:r>
          </w:p>
        </w:tc>
      </w:tr>
      <w:tr w:rsidR="00BE32E5">
        <w:trPr>
          <w:trHeight w:val="555"/>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Red Tractor Farm Assurance Combinable Crops &amp; Sugar Beet (Red Tractor)</w:t>
            </w:r>
          </w:p>
        </w:tc>
        <w:tc>
          <w:tcPr>
            <w:tcW w:w="2126" w:type="dxa"/>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Cereals, oilseeds, sugar beet</w:t>
            </w:r>
          </w:p>
        </w:tc>
        <w:tc>
          <w:tcPr>
            <w:tcW w:w="184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UK</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Until the first feedstock delivery point</w:t>
            </w:r>
          </w:p>
        </w:tc>
      </w:tr>
      <w:tr w:rsidR="00BE32E5">
        <w:trPr>
          <w:trHeight w:val="360"/>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REDcert</w:t>
            </w:r>
          </w:p>
        </w:tc>
        <w:tc>
          <w:tcPr>
            <w:tcW w:w="2126" w:type="dxa"/>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Wide range of feedstocks</w:t>
            </w:r>
          </w:p>
        </w:tc>
        <w:tc>
          <w:tcPr>
            <w:tcW w:w="184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Europe</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Full supply chain</w:t>
            </w:r>
          </w:p>
        </w:tc>
      </w:tr>
      <w:tr w:rsidR="00BE32E5">
        <w:trPr>
          <w:trHeight w:val="360"/>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Better Biomass</w:t>
            </w:r>
          </w:p>
        </w:tc>
        <w:tc>
          <w:tcPr>
            <w:tcW w:w="2126" w:type="dxa"/>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Wide range of feedstocks</w:t>
            </w:r>
          </w:p>
        </w:tc>
        <w:tc>
          <w:tcPr>
            <w:tcW w:w="184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Global</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Full supply chain</w:t>
            </w:r>
          </w:p>
        </w:tc>
      </w:tr>
      <w:tr w:rsidR="00BE32E5">
        <w:trPr>
          <w:trHeight w:val="538"/>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Gafta Trade Assurance Scheme</w:t>
            </w:r>
          </w:p>
        </w:tc>
        <w:tc>
          <w:tcPr>
            <w:tcW w:w="2126" w:type="dxa"/>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 xml:space="preserve">Wide range of feedstocks </w:t>
            </w:r>
          </w:p>
        </w:tc>
        <w:tc>
          <w:tcPr>
            <w:tcW w:w="184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Global</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Chain of custody from farm gate to first processor</w:t>
            </w:r>
          </w:p>
        </w:tc>
      </w:tr>
      <w:tr w:rsidR="00BE32E5">
        <w:trPr>
          <w:trHeight w:val="360"/>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KZR INiG System</w:t>
            </w:r>
          </w:p>
        </w:tc>
        <w:tc>
          <w:tcPr>
            <w:tcW w:w="2126" w:type="dxa"/>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 xml:space="preserve">Wide </w:t>
            </w:r>
            <w:r>
              <w:rPr>
                <w:rFonts w:ascii="Times New Roman" w:eastAsia="Calibri" w:hAnsi="Times New Roman" w:cs="Times New Roman"/>
                <w:noProof/>
                <w:sz w:val="18"/>
                <w:szCs w:val="20"/>
              </w:rPr>
              <w:t>range of feedstocks</w:t>
            </w:r>
          </w:p>
        </w:tc>
        <w:tc>
          <w:tcPr>
            <w:tcW w:w="184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Europe</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Full supply chain</w:t>
            </w:r>
          </w:p>
        </w:tc>
      </w:tr>
      <w:tr w:rsidR="00BE32E5">
        <w:trPr>
          <w:trHeight w:val="766"/>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Trade Assurance Scheme for Combinable Crops (TASC)</w:t>
            </w:r>
          </w:p>
        </w:tc>
        <w:tc>
          <w:tcPr>
            <w:tcW w:w="2126" w:type="dxa"/>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Combinable crops, such as cereals, oilseeds and sugar beet</w:t>
            </w:r>
          </w:p>
        </w:tc>
        <w:tc>
          <w:tcPr>
            <w:tcW w:w="184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United Kingdom</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Chain of custody from farm gate to first processor</w:t>
            </w:r>
          </w:p>
        </w:tc>
      </w:tr>
      <w:tr w:rsidR="00BE32E5">
        <w:trPr>
          <w:trHeight w:val="738"/>
        </w:trPr>
        <w:tc>
          <w:tcPr>
            <w:tcW w:w="2660"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Universal Feed Assurance </w:t>
            </w:r>
            <w:r>
              <w:rPr>
                <w:rFonts w:ascii="Times New Roman" w:eastAsia="Calibri" w:hAnsi="Times New Roman" w:cs="Times New Roman"/>
                <w:noProof/>
                <w:sz w:val="20"/>
                <w:szCs w:val="20"/>
              </w:rPr>
              <w:t>Scheme(UFAS)</w:t>
            </w:r>
          </w:p>
        </w:tc>
        <w:tc>
          <w:tcPr>
            <w:tcW w:w="2126" w:type="dxa"/>
          </w:tcPr>
          <w:p w:rsidR="00BE32E5" w:rsidRDefault="00FF1490">
            <w:pPr>
              <w:keepNext/>
              <w:rPr>
                <w:rFonts w:ascii="Times New Roman" w:eastAsia="Calibri" w:hAnsi="Times New Roman" w:cs="Times New Roman"/>
                <w:noProof/>
                <w:sz w:val="18"/>
                <w:szCs w:val="20"/>
              </w:rPr>
            </w:pPr>
            <w:r>
              <w:rPr>
                <w:rFonts w:ascii="Times New Roman" w:eastAsia="Calibri" w:hAnsi="Times New Roman" w:cs="Times New Roman"/>
                <w:noProof/>
                <w:sz w:val="18"/>
                <w:szCs w:val="20"/>
              </w:rPr>
              <w:t>Feed ingredients and compound feeds as well as combinable crops</w:t>
            </w:r>
          </w:p>
        </w:tc>
        <w:tc>
          <w:tcPr>
            <w:tcW w:w="184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United Kingdom</w:t>
            </w:r>
          </w:p>
        </w:tc>
        <w:tc>
          <w:tcPr>
            <w:tcW w:w="2613" w:type="dxa"/>
          </w:tcPr>
          <w:p w:rsidR="00BE32E5" w:rsidRDefault="00FF1490">
            <w:pPr>
              <w:keepNext/>
              <w:rPr>
                <w:rFonts w:ascii="Times New Roman" w:eastAsia="Calibri" w:hAnsi="Times New Roman" w:cs="Times New Roman"/>
                <w:noProof/>
                <w:sz w:val="20"/>
                <w:szCs w:val="20"/>
              </w:rPr>
            </w:pPr>
            <w:r>
              <w:rPr>
                <w:rFonts w:ascii="Times New Roman" w:eastAsia="Calibri" w:hAnsi="Times New Roman" w:cs="Times New Roman"/>
                <w:noProof/>
                <w:sz w:val="20"/>
                <w:szCs w:val="20"/>
              </w:rPr>
              <w:t>Chain of custody from farm gate to first processor</w:t>
            </w:r>
          </w:p>
        </w:tc>
      </w:tr>
    </w:tbl>
    <w:p w:rsidR="00BE32E5" w:rsidRDefault="00FF1490">
      <w:pPr>
        <w:keepNext/>
        <w:jc w:val="both"/>
        <w:rPr>
          <w:rFonts w:ascii="Times New Roman" w:eastAsia="Calibri" w:hAnsi="Times New Roman" w:cs="Times New Roman"/>
          <w:i/>
          <w:noProof/>
          <w:sz w:val="24"/>
          <w:szCs w:val="24"/>
        </w:rPr>
      </w:pPr>
      <w:r>
        <w:rPr>
          <w:b/>
          <w:i/>
          <w:noProof/>
        </w:rPr>
        <w:t xml:space="preserve"> </w:t>
      </w:r>
      <w:r>
        <w:rPr>
          <w:rFonts w:ascii="Times New Roman" w:hAnsi="Times New Roman" w:cs="Times New Roman"/>
          <w:b/>
          <w:i/>
          <w:noProof/>
          <w:sz w:val="24"/>
          <w:szCs w:val="24"/>
        </w:rPr>
        <w:t>Table 3</w:t>
      </w:r>
      <w:r>
        <w:rPr>
          <w:rFonts w:ascii="Times New Roman" w:hAnsi="Times New Roman" w:cs="Times New Roman"/>
          <w:i/>
          <w:noProof/>
          <w:sz w:val="24"/>
          <w:szCs w:val="24"/>
        </w:rPr>
        <w:t>: Voluntary schemes currently recognised by the Commission</w:t>
      </w:r>
    </w:p>
    <w:p w:rsidR="00BE32E5" w:rsidRDefault="00FF1490">
      <w:pPr>
        <w:rPr>
          <w:rFonts w:ascii="Times New Roman" w:eastAsia="Calibri" w:hAnsi="Times New Roman" w:cs="Times New Roman"/>
          <w:b/>
          <w:noProof/>
          <w:sz w:val="24"/>
          <w:szCs w:val="24"/>
        </w:rPr>
      </w:pPr>
      <w:r>
        <w:rPr>
          <w:rFonts w:eastAsia="Calibri"/>
          <w:noProof/>
        </w:rPr>
        <w:br w:type="page"/>
      </w:r>
    </w:p>
    <w:p w:rsidR="00BE32E5" w:rsidRDefault="00FF1490">
      <w:pPr>
        <w:pStyle w:val="Heading1"/>
        <w:rPr>
          <w:noProof/>
          <w:sz w:val="22"/>
          <w:lang w:val="en-US"/>
        </w:rPr>
      </w:pPr>
      <w:bookmarkStart w:id="13" w:name="_Toc1149228"/>
      <w:r>
        <w:rPr>
          <w:noProof/>
          <w:lang w:val="en-US"/>
        </w:rPr>
        <w:t>5. CONCLUSIONS</w:t>
      </w:r>
      <w:bookmarkEnd w:id="13"/>
    </w:p>
    <w:p w:rsidR="00BE32E5" w:rsidRDefault="00FF149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EU is on track for </w:t>
      </w:r>
      <w:r>
        <w:rPr>
          <w:rFonts w:ascii="Times New Roman" w:hAnsi="Times New Roman" w:cs="Times New Roman"/>
          <w:noProof/>
          <w:sz w:val="24"/>
          <w:szCs w:val="24"/>
        </w:rPr>
        <w:t>reaching its renewable energy target for 2020. In 2017, the share of renewable energy in the EU energy mix has reached 17.52%. Investments in renewable energy are increasingly driven by the market and the share of public subsidies is falling. This has been</w:t>
      </w:r>
      <w:r>
        <w:rPr>
          <w:rFonts w:ascii="Times New Roman" w:hAnsi="Times New Roman" w:cs="Times New Roman"/>
          <w:noProof/>
          <w:sz w:val="24"/>
          <w:szCs w:val="24"/>
        </w:rPr>
        <w:t xml:space="preserve"> triggered by the significant cost reductions in renewable energy technologies, the decrease of subsidies through more competitive support schemes and exemplified by the numerous zero or low cost auction results in several European countries.</w:t>
      </w:r>
    </w:p>
    <w:p w:rsidR="00BE32E5" w:rsidRDefault="00FF1490">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However, the </w:t>
      </w:r>
      <w:r>
        <w:rPr>
          <w:rFonts w:ascii="Times New Roman" w:hAnsi="Times New Roman" w:cs="Times New Roman"/>
          <w:noProof/>
          <w:sz w:val="24"/>
          <w:szCs w:val="24"/>
        </w:rPr>
        <w:t>pace of increase of the renewable energy share has slowed down since 2014. While the EU is still on track to meet its renewable energy 2020 targets, efforts should be stepped up in the remaining period until 2020 to ensure this is the case, also in connect</w:t>
      </w:r>
      <w:r>
        <w:rPr>
          <w:rFonts w:ascii="Times New Roman" w:hAnsi="Times New Roman" w:cs="Times New Roman"/>
          <w:noProof/>
          <w:sz w:val="24"/>
          <w:szCs w:val="24"/>
        </w:rPr>
        <w:t>ion with expected higher energy consumption in the future. In 2017, 11 Member States already have a renewable energy share above their respective 2020 targets. 10 other Member States met or exceeded their average indicative trajectory from the Renewable En</w:t>
      </w:r>
      <w:r>
        <w:rPr>
          <w:rFonts w:ascii="Times New Roman" w:hAnsi="Times New Roman" w:cs="Times New Roman"/>
          <w:noProof/>
          <w:sz w:val="24"/>
          <w:szCs w:val="24"/>
        </w:rPr>
        <w:t>ergy Directive for the two-year period 2017-2018. There are, however, 7 Member States (Belgium, France, Ireland, Luxembourg, The Netherlands, Poland and Slovenia) that would need additional efforts in order to comply with the average 2017-2018 indicative t</w:t>
      </w:r>
      <w:r>
        <w:rPr>
          <w:rFonts w:ascii="Times New Roman" w:hAnsi="Times New Roman" w:cs="Times New Roman"/>
          <w:noProof/>
          <w:sz w:val="24"/>
          <w:szCs w:val="24"/>
        </w:rPr>
        <w:t>rajectory towards 2020.</w:t>
      </w:r>
      <w:r>
        <w:rPr>
          <w:rFonts w:ascii="Times New Roman" w:hAnsi="Times New Roman" w:cs="Times New Roman"/>
          <w:noProof/>
          <w:sz w:val="24"/>
          <w:szCs w:val="24"/>
          <w:lang w:val="en-US"/>
        </w:rPr>
        <w:t xml:space="preserve"> </w:t>
      </w:r>
    </w:p>
    <w:p w:rsidR="00BE32E5" w:rsidRDefault="00FF1490">
      <w:pPr>
        <w:jc w:val="both"/>
        <w:rPr>
          <w:rFonts w:ascii="Times New Roman" w:hAnsi="Times New Roman" w:cs="Times New Roman"/>
          <w:noProof/>
          <w:sz w:val="24"/>
          <w:szCs w:val="24"/>
          <w:lang w:val="en-US"/>
        </w:rPr>
      </w:pPr>
      <w:r>
        <w:rPr>
          <w:rFonts w:ascii="Times New Roman" w:hAnsi="Times New Roman" w:cs="Times New Roman"/>
          <w:noProof/>
          <w:sz w:val="24"/>
          <w:szCs w:val="24"/>
        </w:rPr>
        <w:t>In order to meet 2020 renewable energy targets, and sustain these levels as a baseline from 2021 onwards, most Member States are encouraged to continue stepping up efforts to both deploy renewables across the three sectors, while a</w:t>
      </w:r>
      <w:r>
        <w:rPr>
          <w:rFonts w:ascii="Times New Roman" w:hAnsi="Times New Roman" w:cs="Times New Roman"/>
          <w:noProof/>
          <w:sz w:val="24"/>
          <w:szCs w:val="24"/>
        </w:rPr>
        <w:t xml:space="preserve">t the same time reducing energy consumption. </w:t>
      </w:r>
      <w:r>
        <w:rPr>
          <w:rFonts w:ascii="Times New Roman" w:hAnsi="Times New Roman" w:cs="Times New Roman"/>
          <w:noProof/>
          <w:sz w:val="24"/>
          <w:szCs w:val="24"/>
          <w:lang w:val="en-US"/>
        </w:rPr>
        <w:t>Recent modelling has shown that the currently implemented renewable energy policies and already planned renewable energy policy initiatives might be insufficient in a number of Member States to reach their natio</w:t>
      </w:r>
      <w:r>
        <w:rPr>
          <w:rFonts w:ascii="Times New Roman" w:hAnsi="Times New Roman" w:cs="Times New Roman"/>
          <w:noProof/>
          <w:sz w:val="24"/>
          <w:szCs w:val="24"/>
          <w:lang w:val="en-US"/>
        </w:rPr>
        <w:t xml:space="preserve">nal binding targets in time, if </w:t>
      </w:r>
      <w:r>
        <w:rPr>
          <w:rFonts w:ascii="Times New Roman" w:hAnsi="Times New Roman" w:cs="Times New Roman"/>
          <w:noProof/>
          <w:sz w:val="24"/>
          <w:szCs w:val="24"/>
        </w:rPr>
        <w:t>only domestic supply, without cooperation mechanisms, is</w:t>
      </w:r>
      <w:r>
        <w:rPr>
          <w:rFonts w:ascii="Times New Roman" w:hAnsi="Times New Roman" w:cs="Times New Roman"/>
          <w:noProof/>
          <w:sz w:val="24"/>
          <w:szCs w:val="24"/>
          <w:lang w:val="en-US"/>
        </w:rPr>
        <w:t xml:space="preserve"> considered. </w:t>
      </w:r>
      <w:r>
        <w:rPr>
          <w:rFonts w:ascii="Times New Roman" w:hAnsi="Times New Roman" w:cs="Times New Roman"/>
          <w:noProof/>
          <w:sz w:val="24"/>
          <w:szCs w:val="24"/>
        </w:rPr>
        <w:t>Finally, Member States should consider the possibility of using statistical transfers, as foreseen in the Renewables Directive, either as a way to ensure t</w:t>
      </w:r>
      <w:r>
        <w:rPr>
          <w:rFonts w:ascii="Times New Roman" w:hAnsi="Times New Roman" w:cs="Times New Roman"/>
          <w:noProof/>
          <w:sz w:val="24"/>
          <w:szCs w:val="24"/>
        </w:rPr>
        <w:t>arget achievement when there is a deficit, or to sell their potential surpluses to other Member States. The Commission stands ready to actively support Member States in this regard and facilitate the necessary cooperation.</w:t>
      </w:r>
      <w:r>
        <w:rPr>
          <w:rFonts w:ascii="Times New Roman" w:hAnsi="Times New Roman" w:cs="Times New Roman"/>
          <w:noProof/>
          <w:sz w:val="24"/>
          <w:szCs w:val="24"/>
          <w:lang w:val="en-US"/>
        </w:rPr>
        <w:t xml:space="preserve"> </w:t>
      </w:r>
    </w:p>
    <w:p w:rsidR="00BE32E5" w:rsidRDefault="00FF149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the new </w:t>
      </w:r>
      <w:r>
        <w:rPr>
          <w:rFonts w:ascii="Times New Roman" w:hAnsi="Times New Roman" w:cs="Times New Roman"/>
          <w:noProof/>
          <w:sz w:val="24"/>
          <w:szCs w:val="24"/>
        </w:rPr>
        <w:t>mobilisation of efforts at all levels and across the European Union is on-going. This is taking place inter alia through the dedicated Task Force on energy efficiency launched by the Commission, alongside the new renewable energy auctions already announced</w:t>
      </w:r>
      <w:r>
        <w:rPr>
          <w:rFonts w:ascii="Times New Roman" w:hAnsi="Times New Roman" w:cs="Times New Roman"/>
          <w:noProof/>
          <w:sz w:val="24"/>
          <w:szCs w:val="24"/>
        </w:rPr>
        <w:t xml:space="preserve"> in several Member States for instance in France, the Netherlands, and Portugal, or the wider use of corporate power purchase agreements through which European companies bought a record amount of wind power capacity in 2018. These measures are expected to </w:t>
      </w:r>
      <w:r>
        <w:rPr>
          <w:rFonts w:ascii="Times New Roman" w:hAnsi="Times New Roman" w:cs="Times New Roman"/>
          <w:noProof/>
          <w:sz w:val="24"/>
          <w:szCs w:val="24"/>
        </w:rPr>
        <w:t>bring results in the years to come.</w:t>
      </w:r>
    </w:p>
    <w:p w:rsidR="00BE32E5" w:rsidRDefault="00FF1490">
      <w:pPr>
        <w:jc w:val="both"/>
        <w:rPr>
          <w:rFonts w:ascii="Times New Roman" w:hAnsi="Times New Roman" w:cs="Times New Roman"/>
          <w:noProof/>
          <w:sz w:val="24"/>
          <w:szCs w:val="24"/>
          <w:lang w:val="en-US"/>
        </w:rPr>
      </w:pPr>
      <w:r>
        <w:rPr>
          <w:rFonts w:ascii="Times New Roman" w:hAnsi="Times New Roman" w:cs="Times New Roman"/>
          <w:noProof/>
          <w:sz w:val="24"/>
          <w:szCs w:val="24"/>
        </w:rPr>
        <w:t>Biofuels consumed in the EU continue to be largely produced from domestic feedstock. The EU sustainability criteria have been successful in minimizing the risk of major direct environmental impacts associated to biofuels</w:t>
      </w:r>
      <w:r>
        <w:rPr>
          <w:rFonts w:ascii="Times New Roman" w:hAnsi="Times New Roman" w:cs="Times New Roman"/>
          <w:noProof/>
          <w:sz w:val="24"/>
          <w:szCs w:val="24"/>
        </w:rPr>
        <w:t xml:space="preserve">, irrespective of whether they are produced domestically, or imported from third countries. </w:t>
      </w:r>
      <w:r>
        <w:rPr>
          <w:rFonts w:ascii="Times New Roman" w:eastAsia="Calibri" w:hAnsi="Times New Roman" w:cs="Times New Roman"/>
          <w:noProof/>
          <w:sz w:val="24"/>
          <w:szCs w:val="24"/>
        </w:rPr>
        <w:t>Over the last few years, voluntary schemes recognized by the European Commission have become the main tool to demonstrate compliance with the EU biofuel sustainabil</w:t>
      </w:r>
      <w:r>
        <w:rPr>
          <w:rFonts w:ascii="Times New Roman" w:eastAsia="Calibri" w:hAnsi="Times New Roman" w:cs="Times New Roman"/>
          <w:noProof/>
          <w:sz w:val="24"/>
          <w:szCs w:val="24"/>
        </w:rPr>
        <w:t>ity criteria,</w:t>
      </w:r>
      <w:r>
        <w:rPr>
          <w:rFonts w:ascii="Times New Roman" w:hAnsi="Times New Roman" w:cs="Times New Roman"/>
          <w:noProof/>
          <w:sz w:val="24"/>
          <w:szCs w:val="24"/>
        </w:rPr>
        <w:t xml:space="preserve"> and therefore they have been subject to increased public scrutiny. Furthermore, RED II</w:t>
      </w:r>
      <w:r>
        <w:rPr>
          <w:rFonts w:ascii="Times New Roman" w:eastAsia="Calibri" w:hAnsi="Times New Roman" w:cs="Times New Roman"/>
          <w:noProof/>
          <w:sz w:val="24"/>
          <w:szCs w:val="24"/>
        </w:rPr>
        <w:t xml:space="preserve"> includes a reinforced sustainability framework for all bioenergy uses (not limited to biofuels, but covering also biomass and biogas use in heat and power)</w:t>
      </w:r>
      <w:r>
        <w:rPr>
          <w:rFonts w:ascii="Times New Roman" w:eastAsia="Calibri" w:hAnsi="Times New Roman" w:cs="Times New Roman"/>
          <w:noProof/>
          <w:sz w:val="24"/>
          <w:szCs w:val="24"/>
        </w:rPr>
        <w:t>, including a new approach limiting the role of high ILUC-risk biofuels. The governance of the voluntary schemes has been strengthened, including the robustness of third party auditing.</w:t>
      </w:r>
    </w:p>
    <w:sectPr w:rsidR="00BE32E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2E5" w:rsidRDefault="00FF1490">
      <w:pPr>
        <w:spacing w:after="0" w:line="240" w:lineRule="auto"/>
      </w:pPr>
      <w:r>
        <w:separator/>
      </w:r>
    </w:p>
  </w:endnote>
  <w:endnote w:type="continuationSeparator" w:id="0">
    <w:p w:rsidR="00BE32E5" w:rsidRDefault="00FF1490">
      <w:pPr>
        <w:spacing w:after="0" w:line="240" w:lineRule="auto"/>
      </w:pPr>
      <w:r>
        <w:continuationSeparator/>
      </w:r>
    </w:p>
  </w:endnote>
  <w:endnote w:type="continuationNotice" w:id="1">
    <w:p w:rsidR="00BE32E5" w:rsidRDefault="00BE3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E5" w:rsidRDefault="00BE3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E5" w:rsidRDefault="00FF1490">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E5" w:rsidRDefault="00BE32E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E5" w:rsidRDefault="00BE32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018997"/>
      <w:docPartObj>
        <w:docPartGallery w:val="Page Numbers (Bottom of Page)"/>
        <w:docPartUnique/>
      </w:docPartObj>
    </w:sdtPr>
    <w:sdtEndPr>
      <w:rPr>
        <w:noProof/>
      </w:rPr>
    </w:sdtEndPr>
    <w:sdtContent>
      <w:p w:rsidR="00BE32E5" w:rsidRDefault="00FF149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E32E5" w:rsidRDefault="00BE32E5">
    <w:pPr>
      <w:pStyle w:val="Footer"/>
      <w:tabs>
        <w:tab w:val="center" w:pos="4638"/>
      </w:tabs>
      <w:rPr>
        <w:rFonts w:cs="Arial"/>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E5" w:rsidRDefault="00BE3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2E5" w:rsidRDefault="00FF1490">
      <w:pPr>
        <w:spacing w:after="0" w:line="240" w:lineRule="auto"/>
      </w:pPr>
      <w:r>
        <w:separator/>
      </w:r>
    </w:p>
  </w:footnote>
  <w:footnote w:type="continuationSeparator" w:id="0">
    <w:p w:rsidR="00BE32E5" w:rsidRDefault="00FF1490">
      <w:pPr>
        <w:spacing w:after="0" w:line="240" w:lineRule="auto"/>
      </w:pPr>
      <w:r>
        <w:continuationSeparator/>
      </w:r>
    </w:p>
  </w:footnote>
  <w:footnote w:type="continuationNotice" w:id="1">
    <w:p w:rsidR="00BE32E5" w:rsidRDefault="00BE32E5">
      <w:pPr>
        <w:spacing w:after="0" w:line="240" w:lineRule="auto"/>
      </w:pPr>
    </w:p>
  </w:footnote>
  <w:footnote w:id="2">
    <w:p w:rsidR="00BE32E5" w:rsidRDefault="00FF1490">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hyperlink r:id="rId1" w:history="1">
        <w:r>
          <w:rPr>
            <w:rStyle w:val="Hyperlink"/>
            <w:lang w:val="fr-BE"/>
          </w:rPr>
          <w:t>https://ec.europa.eu/energy/en/topics/energy-strategy-and-energy-union/clean-energy-all-europeans</w:t>
        </w:r>
      </w:hyperlink>
      <w:r>
        <w:rPr>
          <w:rFonts w:ascii="Times New Roman" w:hAnsi="Times New Roman" w:cs="Times New Roman"/>
          <w:lang w:val="fr-BE"/>
        </w:rPr>
        <w:t xml:space="preserve"> </w:t>
      </w:r>
    </w:p>
  </w:footnote>
  <w:footnote w:id="3">
    <w:p w:rsidR="00BE32E5" w:rsidRDefault="00FF1490">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Directive 2009/28/EC of the European Parlia</w:t>
      </w:r>
      <w:r>
        <w:rPr>
          <w:rFonts w:ascii="Times New Roman" w:hAnsi="Times New Roman" w:cs="Times New Roman"/>
        </w:rPr>
        <w:t xml:space="preserve">ment and of the Council of 23 April 2009 on the promotion of the use of energy from renewable sources, OJL 140, p. 16-62 </w:t>
      </w:r>
    </w:p>
  </w:footnote>
  <w:footnote w:id="4">
    <w:p w:rsidR="00BE32E5" w:rsidRDefault="00FF1490">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hyperlink r:id="rId2" w:history="1">
        <w:r>
          <w:rPr>
            <w:rStyle w:val="Hyperlink"/>
            <w:rFonts w:ascii="Times New Roman" w:hAnsi="Times New Roman" w:cs="Times New Roman"/>
            <w:lang w:val="en-IE"/>
          </w:rPr>
          <w:t>https://www.eea.europa.eu/publications/renewa</w:t>
        </w:r>
        <w:r>
          <w:rPr>
            <w:rStyle w:val="Hyperlink"/>
            <w:rFonts w:ascii="Times New Roman" w:hAnsi="Times New Roman" w:cs="Times New Roman"/>
            <w:lang w:val="en-IE"/>
          </w:rPr>
          <w:t>ble-energy-in-europe-2018</w:t>
        </w:r>
      </w:hyperlink>
      <w:r>
        <w:rPr>
          <w:rFonts w:ascii="Times New Roman" w:hAnsi="Times New Roman" w:cs="Times New Roman"/>
          <w:lang w:val="en-IE"/>
        </w:rPr>
        <w:t xml:space="preserve"> </w:t>
      </w:r>
    </w:p>
  </w:footnote>
  <w:footnote w:id="5">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773: A Clean Planet for all. A European strategic long-term vision for a prosperous, modern, competitive and climate neutral economy</w:t>
      </w:r>
    </w:p>
  </w:footnote>
  <w:footnote w:id="6">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Eurostat</w:t>
      </w:r>
    </w:p>
  </w:footnote>
  <w:footnote w:id="7">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News release from Energinet.dk  31</w:t>
      </w:r>
      <w:r>
        <w:rPr>
          <w:rFonts w:ascii="Times New Roman" w:hAnsi="Times New Roman" w:cs="Times New Roman"/>
          <w:vertAlign w:val="superscript"/>
        </w:rPr>
        <w:t>st</w:t>
      </w:r>
      <w:r>
        <w:rPr>
          <w:rFonts w:ascii="Times New Roman" w:hAnsi="Times New Roman" w:cs="Times New Roman"/>
        </w:rPr>
        <w:t xml:space="preserve"> August 2018</w:t>
      </w:r>
    </w:p>
  </w:footnote>
  <w:footnote w:id="8">
    <w:p w:rsidR="00BE32E5" w:rsidRDefault="00FF1490">
      <w:pPr>
        <w:pStyle w:val="FootnoteText"/>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hyperlink r:id="rId3" w:history="1">
        <w:r>
          <w:rPr>
            <w:rStyle w:val="Hyperlink"/>
            <w:rFonts w:ascii="Times New Roman" w:hAnsi="Times New Roman" w:cs="Times New Roman"/>
            <w:color w:val="000000" w:themeColor="text1"/>
          </w:rPr>
          <w:t>https://www.eea.europa.eu/publications/renewable-energy-in-europe-2018/</w:t>
        </w:r>
      </w:hyperlink>
      <w:r>
        <w:rPr>
          <w:rFonts w:ascii="Times New Roman" w:hAnsi="Times New Roman" w:cs="Times New Roman"/>
          <w:color w:val="000000" w:themeColor="text1"/>
        </w:rPr>
        <w:t xml:space="preserve"> </w:t>
      </w:r>
    </w:p>
  </w:footnote>
  <w:footnote w:id="9">
    <w:p w:rsidR="00BE32E5" w:rsidRDefault="00FF1490">
      <w:pPr>
        <w:pStyle w:val="FootnoteText"/>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EEA, estimates for 2017</w:t>
      </w:r>
    </w:p>
  </w:footnote>
  <w:footnote w:id="10">
    <w:p w:rsidR="00BE32E5" w:rsidRDefault="00FF1490">
      <w:pPr>
        <w:pStyle w:val="FootnoteText"/>
        <w:rPr>
          <w:rFonts w:ascii="Times New Roman" w:hAnsi="Times New Roman" w:cs="Times New Roman"/>
          <w:lang w:val="en-IE"/>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JRC (2017), Monitoring R&amp;I in Low-Carbon Energy Technologies, </w:t>
      </w:r>
      <w:hyperlink r:id="rId4" w:history="1">
        <w:r>
          <w:rPr>
            <w:rStyle w:val="Hyperlink"/>
            <w:rFonts w:ascii="Times New Roman" w:hAnsi="Times New Roman" w:cs="Times New Roman"/>
            <w:color w:val="auto"/>
          </w:rPr>
          <w:t>http://publications.jrc.ec.europa.eu/repository/handle/JRC105642</w:t>
        </w:r>
      </w:hyperlink>
      <w:r>
        <w:rPr>
          <w:rFonts w:ascii="Times New Roman" w:hAnsi="Times New Roman" w:cs="Times New Roman"/>
        </w:rPr>
        <w:t xml:space="preserve">   </w:t>
      </w:r>
    </w:p>
  </w:footnote>
  <w:footnote w:id="11">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United States, Japan, South Korea, China</w:t>
      </w:r>
    </w:p>
  </w:footnote>
  <w:footnote w:id="12">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IRENA (2019), Report on </w:t>
      </w:r>
      <w:hyperlink r:id="rId5" w:tgtFrame="_blank" w:history="1">
        <w:r>
          <w:rPr>
            <w:rStyle w:val="Hyperlink"/>
            <w:rFonts w:ascii="Times New Roman" w:hAnsi="Times New Roman" w:cs="Times New Roman"/>
            <w:iCs/>
            <w:color w:val="auto"/>
            <w:u w:val="none"/>
          </w:rPr>
          <w:t>Innovation landscape for a renewable-powered future: Solutions to integrate variable renewables</w:t>
        </w:r>
      </w:hyperlink>
      <w:r>
        <w:rPr>
          <w:rStyle w:val="Hyperlink"/>
          <w:rFonts w:ascii="Times New Roman" w:hAnsi="Times New Roman" w:cs="Times New Roman"/>
          <w:iCs/>
          <w:color w:val="auto"/>
          <w:u w:val="none"/>
        </w:rPr>
        <w:t xml:space="preserve">, </w:t>
      </w:r>
      <w:r>
        <w:rPr>
          <w:rStyle w:val="Emphasis"/>
          <w:rFonts w:ascii="Times New Roman" w:hAnsi="Times New Roman" w:cs="Times New Roman"/>
          <w:i w:val="0"/>
        </w:rPr>
        <w:t>launched in Brussels on 19 February 2019</w:t>
      </w:r>
    </w:p>
  </w:footnote>
  <w:footnote w:id="13">
    <w:p w:rsidR="00BE32E5" w:rsidRDefault="00FF1490">
      <w:pPr>
        <w:pStyle w:val="FootnoteText"/>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JRC (2017) Supply chain of renewable ener</w:t>
      </w:r>
      <w:r>
        <w:rPr>
          <w:rFonts w:ascii="Times New Roman" w:hAnsi="Times New Roman" w:cs="Times New Roman"/>
          <w:color w:val="000000" w:themeColor="text1"/>
        </w:rPr>
        <w:t>gy technologies in Europe</w:t>
      </w:r>
    </w:p>
  </w:footnote>
  <w:footnote w:id="14">
    <w:p w:rsidR="00BE32E5" w:rsidRDefault="00FF1490">
      <w:pPr>
        <w:pStyle w:val="FootnoteText"/>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Hoogland O., Van der Lijn, N., Rademaekers, K., Gentili, P., Colozza, P., Morichi, C., 2017, Assessment of Photovoltaics (PV) Task F Strategies to rebuild the European PV sector, Trinomics</w:t>
      </w:r>
    </w:p>
  </w:footnote>
  <w:footnote w:id="15">
    <w:p w:rsidR="00BE32E5" w:rsidRDefault="00FF1490">
      <w:pPr>
        <w:pStyle w:val="FootnoteText"/>
      </w:pPr>
      <w:r>
        <w:rPr>
          <w:rStyle w:val="FootnoteReference"/>
        </w:rPr>
        <w:footnoteRef/>
      </w:r>
      <w:r>
        <w:t xml:space="preserve"> </w:t>
      </w:r>
      <w:hyperlink r:id="rId6" w:history="1">
        <w:r>
          <w:rPr>
            <w:rStyle w:val="Hyperlink"/>
            <w:rFonts w:ascii="Times New Roman" w:hAnsi="Times New Roman" w:cs="Times New Roman"/>
          </w:rPr>
          <w:t>https://ec.europa.eu/energy/en/topics/technology-and-innovation/strategic-energy-technology-plan</w:t>
        </w:r>
      </w:hyperlink>
      <w:r>
        <w:t xml:space="preserve"> </w:t>
      </w:r>
    </w:p>
  </w:footnote>
  <w:footnote w:id="16">
    <w:p w:rsidR="00BE32E5" w:rsidRDefault="00FF1490">
      <w:pPr>
        <w:pStyle w:val="FootnoteText"/>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Eurobserv’ER (2019) 2018 barometer. https://w</w:t>
      </w:r>
      <w:r>
        <w:rPr>
          <w:rFonts w:ascii="Times New Roman" w:hAnsi="Times New Roman" w:cs="Times New Roman"/>
          <w:color w:val="000000" w:themeColor="text1"/>
        </w:rPr>
        <w:t>ww.eurobserv-er.org/18th-annual-overview-barometer/</w:t>
      </w:r>
    </w:p>
  </w:footnote>
  <w:footnote w:id="17">
    <w:p w:rsidR="00BE32E5" w:rsidRDefault="00FF1490">
      <w:pPr>
        <w:pStyle w:val="FootnoteText"/>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https://ec.europa.eu/energy/en/data-analysis/energy-prices-and-costs</w:t>
      </w:r>
    </w:p>
  </w:footnote>
  <w:footnote w:id="18">
    <w:p w:rsidR="00BE32E5" w:rsidRDefault="00FF1490">
      <w:pPr>
        <w:pStyle w:val="FootnoteText"/>
        <w:rPr>
          <w:lang w:val="en-US"/>
        </w:rPr>
      </w:pPr>
      <w:r>
        <w:rPr>
          <w:rStyle w:val="FootnoteReference"/>
          <w:rFonts w:ascii="Times New Roman" w:hAnsi="Times New Roman" w:cs="Times New Roman"/>
        </w:rPr>
        <w:footnoteRef/>
      </w:r>
      <w:r>
        <w:rPr>
          <w:rFonts w:ascii="Times New Roman" w:hAnsi="Times New Roman" w:cs="Times New Roman"/>
        </w:rPr>
        <w:t xml:space="preserve"> IRENA (2019). </w:t>
      </w:r>
      <w:r>
        <w:rPr>
          <w:rFonts w:ascii="Times New Roman" w:hAnsi="Times New Roman" w:cs="Times New Roman"/>
          <w:color w:val="333333"/>
        </w:rPr>
        <w:t>A New World: the geopolitics of the energy transformation</w:t>
      </w:r>
    </w:p>
  </w:footnote>
  <w:footnote w:id="19">
    <w:p w:rsidR="00BE32E5" w:rsidRDefault="00FF1490">
      <w:pPr>
        <w:autoSpaceDE w:val="0"/>
        <w:autoSpaceDN w:val="0"/>
        <w:adjustRightInd w:val="0"/>
        <w:spacing w:after="0" w:line="240" w:lineRule="auto"/>
        <w:rPr>
          <w:rFonts w:ascii="Times New Roman" w:hAnsi="Times New Roman" w:cs="Times New Roman"/>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 IRENA (2018), Off-grid Renewable Energy Solutions: Global</w:t>
      </w:r>
      <w:r>
        <w:rPr>
          <w:rFonts w:ascii="Times New Roman" w:hAnsi="Times New Roman" w:cs="Times New Roman"/>
          <w:color w:val="000000" w:themeColor="text1"/>
          <w:sz w:val="20"/>
          <w:szCs w:val="20"/>
        </w:rPr>
        <w:t xml:space="preserve"> and Regional Status and Trends.</w:t>
      </w:r>
    </w:p>
  </w:footnote>
  <w:footnote w:id="20">
    <w:p w:rsidR="00BE32E5" w:rsidRDefault="00FF1490">
      <w:pPr>
        <w:pStyle w:val="FootnoteText"/>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IEA (2017) WEO-2017 Special Report: Energy Access Outlook.</w:t>
      </w:r>
    </w:p>
  </w:footnote>
  <w:footnote w:id="21">
    <w:p w:rsidR="00BE32E5" w:rsidRDefault="00FF1490">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Directive (EU) 2015/1513</w:t>
      </w:r>
    </w:p>
  </w:footnote>
  <w:footnote w:id="22">
    <w:p w:rsidR="00BE32E5" w:rsidRDefault="00FF1490">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hyperlink r:id="rId7" w:history="1">
        <w:r>
          <w:rPr>
            <w:rStyle w:val="Hyperlink"/>
            <w:rFonts w:ascii="Times New Roman" w:hAnsi="Times New Roman" w:cs="Times New Roman"/>
            <w:lang w:val="fr-BE"/>
          </w:rPr>
          <w:t>https://ec.europa.eu/energy/en/topics/renewab</w:t>
        </w:r>
        <w:r>
          <w:rPr>
            <w:rStyle w:val="Hyperlink"/>
            <w:rFonts w:ascii="Times New Roman" w:hAnsi="Times New Roman" w:cs="Times New Roman"/>
            <w:lang w:val="fr-BE"/>
          </w:rPr>
          <w:t>le-energy/progress-reports</w:t>
        </w:r>
      </w:hyperlink>
      <w:r>
        <w:rPr>
          <w:rFonts w:ascii="Times New Roman" w:hAnsi="Times New Roman" w:cs="Times New Roman"/>
          <w:lang w:val="fr-BE"/>
        </w:rPr>
        <w:t xml:space="preserve"> </w:t>
      </w:r>
    </w:p>
  </w:footnote>
  <w:footnote w:id="23">
    <w:p w:rsidR="00BE32E5" w:rsidRDefault="00FF1490">
      <w:pPr>
        <w:pStyle w:val="FootnoteText"/>
        <w:rPr>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hyperlink r:id="rId8" w:history="1">
        <w:r>
          <w:rPr>
            <w:rStyle w:val="Hyperlink"/>
            <w:rFonts w:ascii="Times New Roman" w:hAnsi="Times New Roman" w:cs="Times New Roman"/>
            <w:lang w:val="fr-BE"/>
          </w:rPr>
          <w:t>https://ec.europa.eu/energy/en/topics/renewable-energy/national-action-plans</w:t>
        </w:r>
      </w:hyperlink>
      <w:r>
        <w:rPr>
          <w:rFonts w:ascii="Times New Roman" w:hAnsi="Times New Roman" w:cs="Times New Roman"/>
          <w:lang w:val="fr-BE"/>
        </w:rPr>
        <w:t xml:space="preserve">   </w:t>
      </w:r>
    </w:p>
  </w:footnote>
  <w:footnote w:id="24">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Eurostat SHARES 2017. Using the multipliers set in RED I</w:t>
      </w:r>
    </w:p>
  </w:footnote>
  <w:footnote w:id="25">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Including Norway</w:t>
      </w:r>
    </w:p>
  </w:footnote>
  <w:footnote w:id="26">
    <w:p w:rsidR="00BE32E5" w:rsidRDefault="00FF1490">
      <w:pPr>
        <w:pStyle w:val="FootnoteText"/>
        <w:rPr>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cs="Times New Roman"/>
          </w:rPr>
          <w:t>https://ec.europa.eu/energy/en/topics/renewable-energy/progress-reports</w:t>
        </w:r>
      </w:hyperlink>
      <w:r>
        <w:rPr>
          <w:rFonts w:ascii="Times New Roman" w:hAnsi="Times New Roman" w:cs="Times New Roman"/>
        </w:rPr>
        <w:t xml:space="preserve"> </w:t>
      </w:r>
    </w:p>
  </w:footnote>
  <w:footnote w:id="27">
    <w:p w:rsidR="00BE32E5" w:rsidRDefault="00FF149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Navigant 2019:</w:t>
      </w:r>
      <w:r>
        <w:rPr>
          <w:rFonts w:ascii="Times New Roman" w:hAnsi="Times New Roman" w:cs="Times New Roman"/>
        </w:rPr>
        <w:t xml:space="preserve"> </w:t>
      </w:r>
      <w:hyperlink r:id="rId10" w:history="1">
        <w:r>
          <w:rPr>
            <w:rStyle w:val="Hyperlink"/>
            <w:rFonts w:ascii="Times New Roman" w:hAnsi="Times New Roman" w:cs="Times New Roman"/>
          </w:rPr>
          <w:t>Technical assistance in realisation of the 4th report on progress of re</w:t>
        </w:r>
        <w:r>
          <w:rPr>
            <w:rStyle w:val="Hyperlink"/>
            <w:rFonts w:ascii="Times New Roman" w:hAnsi="Times New Roman" w:cs="Times New Roman"/>
          </w:rPr>
          <w:t>newable energy in the EU, final report</w:t>
        </w:r>
      </w:hyperlink>
      <w:r>
        <w:rPr>
          <w:rFonts w:ascii="Times New Roman" w:hAnsi="Times New Roman" w:cs="Times New Roman"/>
        </w:rPr>
        <w:t xml:space="preserve"> </w:t>
      </w:r>
    </w:p>
  </w:footnote>
  <w:footnote w:id="28">
    <w:p w:rsidR="00BE32E5" w:rsidRDefault="00FF1490">
      <w:pPr>
        <w:pStyle w:val="FootnoteText"/>
      </w:pPr>
      <w:r>
        <w:rPr>
          <w:rStyle w:val="FootnoteReference"/>
        </w:rPr>
        <w:footnoteRef/>
      </w:r>
      <w:r>
        <w:t xml:space="preserve"> </w:t>
      </w:r>
      <w:r>
        <w:rPr>
          <w:rFonts w:ascii="Times New Roman" w:hAnsi="Times New Roman" w:cs="Times New Roman"/>
        </w:rPr>
        <w:t>The table only includes Member States that provided this specific information in their progress report</w:t>
      </w:r>
    </w:p>
  </w:footnote>
  <w:footnote w:id="29">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scenario calculation was done by application of the Green-X model , which is a simulation tool for renewa</w:t>
      </w:r>
      <w:r>
        <w:rPr>
          <w:rFonts w:ascii="Times New Roman" w:hAnsi="Times New Roman" w:cs="Times New Roman"/>
        </w:rPr>
        <w:t xml:space="preserve">ble energy policy instruments in Europe </w:t>
      </w:r>
      <w:hyperlink r:id="rId11" w:history="1">
        <w:r>
          <w:rPr>
            <w:rStyle w:val="Hyperlink"/>
            <w:rFonts w:ascii="Times New Roman" w:hAnsi="Times New Roman" w:cs="Times New Roman"/>
          </w:rPr>
          <w:t>https://green-x.at/</w:t>
        </w:r>
      </w:hyperlink>
      <w:r>
        <w:rPr>
          <w:rStyle w:val="Hyperlink"/>
          <w:rFonts w:ascii="Times New Roman" w:hAnsi="Times New Roman" w:cs="Times New Roman"/>
        </w:rPr>
        <w:t>.</w:t>
      </w:r>
    </w:p>
  </w:footnote>
  <w:footnote w:id="30">
    <w:p w:rsidR="00BE32E5" w:rsidRDefault="00FF1490">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The range indicates the uncertainty related to key input parameter for the model-based assessment of future renewable energy progress. Future energy demand (</w:t>
      </w:r>
      <w:r>
        <w:rPr>
          <w:rFonts w:ascii="Times New Roman" w:hAnsi="Times New Roman" w:cs="Times New Roman"/>
        </w:rPr>
        <w:t>growth) and the policy implementation play a decisive role in this respect</w:t>
      </w:r>
    </w:p>
  </w:footnote>
  <w:footnote w:id="31">
    <w:p w:rsidR="00BE32E5" w:rsidRDefault="00FF1490">
      <w:pPr>
        <w:pStyle w:val="FootnoteText"/>
      </w:pPr>
      <w:r>
        <w:rPr>
          <w:rStyle w:val="FootnoteReference"/>
        </w:rPr>
        <w:footnoteRef/>
      </w:r>
      <w:r>
        <w:t xml:space="preserve"> </w:t>
      </w:r>
      <w:r>
        <w:rPr>
          <w:rFonts w:ascii="Times New Roman" w:hAnsi="Times New Roman" w:cs="Times New Roman"/>
        </w:rPr>
        <w:t xml:space="preserve">Navigant 2019: </w:t>
      </w:r>
      <w:hyperlink r:id="rId12" w:history="1">
        <w:r>
          <w:rPr>
            <w:rStyle w:val="Hyperlink"/>
            <w:rFonts w:ascii="Times New Roman" w:hAnsi="Times New Roman" w:cs="Times New Roman"/>
          </w:rPr>
          <w:t>Technical assistance in realisation of the 4th report on progress of renewable energy in the EU, final report</w:t>
        </w:r>
      </w:hyperlink>
    </w:p>
  </w:footnote>
  <w:footnote w:id="32">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https://ec.europa.eu/energy/en/topics/energy-strategy-and-energy-union/governance-energy-union/national-energy-climate-plans</w:t>
      </w:r>
    </w:p>
  </w:footnote>
  <w:footnote w:id="33">
    <w:p w:rsidR="00BE32E5" w:rsidRDefault="00FF1490">
      <w:pPr>
        <w:pStyle w:val="FootnoteText"/>
        <w:rPr>
          <w:lang w:val="en-US"/>
        </w:rPr>
      </w:pPr>
      <w:r>
        <w:rPr>
          <w:rStyle w:val="FootnoteReference"/>
          <w:rFonts w:ascii="Times New Roman" w:hAnsi="Times New Roman" w:cs="Times New Roman"/>
        </w:rPr>
        <w:footnoteRef/>
      </w:r>
      <w:r>
        <w:rPr>
          <w:rFonts w:ascii="Times New Roman" w:hAnsi="Times New Roman" w:cs="Times New Roman"/>
          <w:lang w:val="en-US"/>
        </w:rPr>
        <w:t xml:space="preserve"> Navigant 2019</w:t>
      </w:r>
    </w:p>
  </w:footnote>
  <w:footnote w:id="34">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Main source for the data and assessement contained in this section: Navigant, 2019: Technical assistance in realisation of the 2018 report on biofuels sustainability.</w:t>
      </w:r>
    </w:p>
  </w:footnote>
  <w:footnote w:id="35">
    <w:p w:rsidR="00BE32E5" w:rsidRDefault="00FF149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analysis of biofuels feedstock takes into account international trade in biofuels and their feedstocks, and conversion efficiencies.</w:t>
      </w:r>
    </w:p>
  </w:footnote>
  <w:footnote w:id="36">
    <w:p w:rsidR="00BE32E5" w:rsidRDefault="00FF149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Calculated on the basis of the provisional estimated indirect land-use change emissions from biofuel, bioliquid and </w:t>
      </w:r>
      <w:r>
        <w:rPr>
          <w:rFonts w:ascii="Times New Roman" w:hAnsi="Times New Roman" w:cs="Times New Roman"/>
        </w:rPr>
        <w:t>biomass fuel feedstock (g CO2eq/MJ) in Annex VIII of Directive (EU) 2018/2001. For further details, See Navigant 2019.</w:t>
      </w:r>
    </w:p>
  </w:footnote>
  <w:footnote w:id="37">
    <w:p w:rsidR="00BE32E5" w:rsidRDefault="00FF1490">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Wageningen Research, Netherlands Environmental Assessment Agency and CENER, 2017, Study on reporting requirements on biofuels and bioli</w:t>
      </w:r>
      <w:r>
        <w:rPr>
          <w:rFonts w:ascii="Times New Roman" w:hAnsi="Times New Roman" w:cs="Times New Roman"/>
        </w:rPr>
        <w:t>quids stemming from the Directive (EU) 2015/1513.</w:t>
      </w:r>
    </w:p>
  </w:footnote>
  <w:footnote w:id="38">
    <w:p w:rsidR="00BE32E5" w:rsidRDefault="00FF1490">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eastAsia="Calibri" w:hAnsi="Times New Roman" w:cs="Times New Roman"/>
          <w:szCs w:val="24"/>
        </w:rPr>
        <w:t>It should however be noted that neither site-specific data nor data related specifically to the local environmental impacts of cultivation of feedstocks for biofuel production are available.</w:t>
      </w:r>
    </w:p>
  </w:footnote>
  <w:footnote w:id="39">
    <w:p w:rsidR="00BE32E5" w:rsidRDefault="00FF149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Note that th</w:t>
      </w:r>
      <w:r>
        <w:rPr>
          <w:rFonts w:ascii="Times New Roman" w:hAnsi="Times New Roman" w:cs="Times New Roman"/>
        </w:rPr>
        <w:t>e current Common Agricultural Policy (CAP) contributes substantially to support biodiversity and promote sustainable farming systems through the complementary actions of a range of various instruments. As regards the future CAP post 2020 one of the nine sp</w:t>
      </w:r>
      <w:r>
        <w:rPr>
          <w:rFonts w:ascii="Times New Roman" w:hAnsi="Times New Roman" w:cs="Times New Roman"/>
        </w:rPr>
        <w:t>ecific CAP objectives is to contribute to the protection of biodiversity, enhance ecosystem services and preserve habitats and landscape. The policy aims to increase the level of environmental and climate ambition.</w:t>
      </w:r>
    </w:p>
  </w:footnote>
  <w:footnote w:id="40">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Navigant 2019.</w:t>
      </w:r>
    </w:p>
  </w:footnote>
  <w:footnote w:id="41">
    <w:p w:rsidR="00BE32E5" w:rsidRDefault="00FF149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EC, 2019, Report on the status of production expansion of relevant food and feed crops worldwide.</w:t>
      </w:r>
    </w:p>
  </w:footnote>
  <w:footnote w:id="42">
    <w:p w:rsidR="00BE32E5" w:rsidRDefault="00FF149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C(2019) 2055 final.</w:t>
      </w:r>
    </w:p>
  </w:footnote>
  <w:footnote w:id="43">
    <w:p w:rsidR="00BE32E5" w:rsidRDefault="00FF149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review of the list of feedstock set out in Parts A and B of Annex IX of the Directive with a view to adding feedstock that meet a</w:t>
      </w:r>
      <w:r>
        <w:rPr>
          <w:rFonts w:ascii="Times New Roman" w:hAnsi="Times New Roman" w:cs="Times New Roman"/>
        </w:rPr>
        <w:t xml:space="preserve"> set of strict criteria will take place by June 2021.</w:t>
      </w:r>
    </w:p>
  </w:footnote>
  <w:footnote w:id="44">
    <w:p w:rsidR="00BE32E5" w:rsidRDefault="00FF14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https://ec.europa.eu/energy/sites/ener/files/documents/voluntary_schemes_overview_february_2019.pdf</w:t>
      </w:r>
    </w:p>
  </w:footnote>
  <w:footnote w:id="45">
    <w:p w:rsidR="00BE32E5" w:rsidRDefault="00FF149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Communication from the Commission on voluntary schemes and default values (2010/C 160/01) has </w:t>
      </w:r>
      <w:r>
        <w:rPr>
          <w:rFonts w:ascii="Times New Roman" w:hAnsi="Times New Roman" w:cs="Times New Roman"/>
        </w:rPr>
        <w:t>set out the principles how the Commission carries out its responsibilities leading to such decisions. This document was complemented by a communication on the practical implementation of the EU biofuels and bioliquids sustainability scheme ((2010/C 160/02)</w:t>
      </w:r>
      <w:r>
        <w:rPr>
          <w:rFonts w:ascii="Times New Roman" w:hAnsi="Times New Roman" w:cs="Times New Roman"/>
        </w:rPr>
        <w:t>).</w:t>
      </w:r>
    </w:p>
  </w:footnote>
  <w:footnote w:id="46">
    <w:p w:rsidR="00BE32E5" w:rsidRDefault="00FF1490">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Navigant, 2019. Review of voluntary scheme annual reports.</w:t>
      </w:r>
    </w:p>
  </w:footnote>
  <w:footnote w:id="47">
    <w:p w:rsidR="00BE32E5" w:rsidRDefault="00FF1490">
      <w:pPr>
        <w:pStyle w:val="FootnoteText"/>
        <w:rPr>
          <w:lang w:val="en-US"/>
        </w:rPr>
      </w:pPr>
      <w:r>
        <w:rPr>
          <w:rStyle w:val="FootnoteReference"/>
        </w:rPr>
        <w:footnoteRef/>
      </w:r>
      <w:r>
        <w:t xml:space="preserve"> </w:t>
      </w:r>
      <w:r>
        <w:rPr>
          <w:rFonts w:ascii="Times New Roman" w:eastAsia="Calibri" w:hAnsi="Times New Roman" w:cs="Times New Roman"/>
          <w:szCs w:val="24"/>
        </w:rPr>
        <w:t>Details the recognition process of voluntary schemes can be found on the following Commission website:</w:t>
      </w:r>
      <w:r>
        <w:rPr>
          <w:rStyle w:val="Hyperlink"/>
          <w:rFonts w:ascii="Times New Roman" w:hAnsi="Times New Roman" w:cs="Times New Roman"/>
          <w:sz w:val="16"/>
          <w:lang w:val="en-US"/>
        </w:rPr>
        <w:t xml:space="preserve"> </w:t>
      </w:r>
      <w:hyperlink r:id="rId13" w:history="1">
        <w:r>
          <w:rPr>
            <w:rStyle w:val="Hyperlink"/>
            <w:rFonts w:ascii="Times New Roman" w:hAnsi="Times New Roman" w:cs="Times New Roman"/>
            <w:lang w:val="en-US"/>
          </w:rPr>
          <w:t>https://ec.europa.eu/energy/en/topics/renewable-energy/biofuels/voluntary-schemes</w:t>
        </w:r>
      </w:hyperlink>
      <w:r>
        <w:rPr>
          <w:rStyle w:val="Hyperlink"/>
          <w:rFonts w:ascii="Times New Roman" w:hAnsi="Times New Roman" w:cs="Times New Roman"/>
          <w:lang w:val="en-US"/>
        </w:rPr>
        <w:t>.</w:t>
      </w:r>
    </w:p>
  </w:footnote>
  <w:footnote w:id="48">
    <w:p w:rsidR="00BE32E5" w:rsidRDefault="00FF1490">
      <w:pPr>
        <w:pStyle w:val="FootnoteText"/>
        <w:jc w:val="both"/>
        <w:rPr>
          <w:lang w:val="en-US"/>
        </w:rPr>
      </w:pPr>
      <w:r>
        <w:rPr>
          <w:rStyle w:val="FootnoteReference"/>
          <w:rFonts w:ascii="Times New Roman" w:hAnsi="Times New Roman" w:cs="Times New Roman"/>
        </w:rPr>
        <w:footnoteRef/>
      </w:r>
      <w:r>
        <w:rPr>
          <w:rFonts w:ascii="Times New Roman" w:hAnsi="Times New Roman" w:cs="Times New Roman"/>
          <w:lang w:val="en-US"/>
        </w:rPr>
        <w:t xml:space="preserve"> European Court of Auditors (ECA), 2016, Special report No 18/2016: The EU system for the certification of sustainable biofuels.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E5" w:rsidRDefault="00BE3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E5" w:rsidRDefault="00BE32E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E5" w:rsidRDefault="00BE32E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E5" w:rsidRDefault="00BE32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E5" w:rsidRDefault="00FF1490">
    <w:pPr>
      <w:pStyle w:val="Header"/>
    </w:pPr>
    <w:r>
      <w:rPr>
        <w:noProof/>
        <w:lang w:val="fr-BE" w:eastAsia="fr-BE"/>
      </w:rPr>
      <w:drawing>
        <wp:anchor distT="0" distB="0" distL="114300" distR="114300" simplePos="0" relativeHeight="251658242" behindDoc="0" locked="1" layoutInCell="1" allowOverlap="1">
          <wp:simplePos x="0" y="0"/>
          <wp:positionH relativeFrom="page">
            <wp:posOffset>3625850</wp:posOffset>
          </wp:positionH>
          <wp:positionV relativeFrom="page">
            <wp:posOffset>395605</wp:posOffset>
          </wp:positionV>
          <wp:extent cx="2520000" cy="576000"/>
          <wp:effectExtent l="0" t="0" r="0" b="0"/>
          <wp:wrapNone/>
          <wp:docPr id="3" name="Bild 109" descr="ECOFYS Logo WTTS Colou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COFYS Logo WTTS Colou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20000" cy="576000"/>
                  </a:xfrm>
                  <a:prstGeom prst="rect">
                    <a:avLst/>
                  </a:prstGeom>
                  <a:noFill/>
                  <a:ln>
                    <a:noFill/>
                  </a:ln>
                </pic:spPr>
              </pic:pic>
            </a:graphicData>
          </a:graphic>
        </wp:anchor>
      </w:drawing>
    </w:r>
    <w:r>
      <w:rPr>
        <w:noProof/>
        <w:lang w:val="fr-BE" w:eastAsia="fr-BE"/>
      </w:rPr>
      <w:drawing>
        <wp:anchor distT="0" distB="0" distL="114300" distR="114300" simplePos="0" relativeHeight="251658241" behindDoc="0" locked="1" layoutInCell="1" allowOverlap="1">
          <wp:simplePos x="0" y="0"/>
          <wp:positionH relativeFrom="page">
            <wp:posOffset>3625850</wp:posOffset>
          </wp:positionH>
          <wp:positionV relativeFrom="page">
            <wp:posOffset>395605</wp:posOffset>
          </wp:positionV>
          <wp:extent cx="2520000" cy="575122"/>
          <wp:effectExtent l="0" t="0" r="0" b="0"/>
          <wp:wrapNone/>
          <wp:docPr id="4" name="Bild 102" descr="ECOFYS Logo WTTS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COFYS Logo WTTS b/w" hidden="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20000" cy="575122"/>
                  </a:xfrm>
                  <a:prstGeom prst="rect">
                    <a:avLst/>
                  </a:prstGeom>
                  <a:noFill/>
                  <a:ln>
                    <a:noFill/>
                  </a:ln>
                </pic:spPr>
              </pic:pic>
            </a:graphicData>
          </a:graphic>
        </wp:anchor>
      </w:drawing>
    </w:r>
    <w:r>
      <w:rPr>
        <w:noProof/>
        <w:lang w:val="fr-BE" w:eastAsia="fr-BE"/>
      </w:rPr>
      <w:drawing>
        <wp:anchor distT="0" distB="0" distL="114300" distR="114300" simplePos="0" relativeHeight="251658240" behindDoc="0" locked="1" layoutInCell="1" allowOverlap="1">
          <wp:simplePos x="0" y="0"/>
          <wp:positionH relativeFrom="page">
            <wp:posOffset>4086225</wp:posOffset>
          </wp:positionH>
          <wp:positionV relativeFrom="page">
            <wp:posOffset>450215</wp:posOffset>
          </wp:positionV>
          <wp:extent cx="1969200" cy="723600"/>
          <wp:effectExtent l="0" t="0" r="0" b="635"/>
          <wp:wrapNone/>
          <wp:docPr id="5" name="Bild 99" descr="ECOFYS Logo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COFYS Logo b/w" hidden="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969200" cy="72360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E5" w:rsidRDefault="00FF1490">
    <w:pPr>
      <w:pStyle w:val="Header"/>
    </w:pPr>
    <w:r>
      <w:rPr>
        <w:noProof/>
        <w:lang w:val="fr-BE" w:eastAsia="fr-BE"/>
      </w:rPr>
      <w:drawing>
        <wp:anchor distT="0" distB="0" distL="114300" distR="114300" simplePos="0" relativeHeight="251658244" behindDoc="0" locked="1" layoutInCell="1" allowOverlap="1">
          <wp:simplePos x="0" y="0"/>
          <wp:positionH relativeFrom="page">
            <wp:posOffset>4087495</wp:posOffset>
          </wp:positionH>
          <wp:positionV relativeFrom="page">
            <wp:posOffset>450215</wp:posOffset>
          </wp:positionV>
          <wp:extent cx="2514600" cy="723900"/>
          <wp:effectExtent l="0" t="0" r="0" b="0"/>
          <wp:wrapNone/>
          <wp:docPr id="6" name="Bild 80" descr="ECOFYS Logo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COFYS Logo b/w" hidden="1"/>
                  <pic:cNvPicPr>
                    <a:picLocks noChangeAspect="1" noChangeArrowheads="1"/>
                  </pic:cNvPicPr>
                </pic:nvPicPr>
                <pic:blipFill>
                  <a:blip r:embed="rId1">
                    <a:extLst>
                      <a:ext uri="{28A0092B-C50C-407E-A947-70E740481C1C}">
                        <a14:useLocalDpi xmlns:a14="http://schemas.microsoft.com/office/drawing/2010/main" val="0"/>
                      </a:ext>
                    </a:extLst>
                  </a:blip>
                  <a:srcRect l="1335" t="4370" r="1335" b="4370"/>
                  <a:stretch>
                    <a:fillRect/>
                  </a:stretch>
                </pic:blipFill>
                <pic:spPr bwMode="auto">
                  <a:xfrm>
                    <a:off x="0" y="0"/>
                    <a:ext cx="2514600" cy="723900"/>
                  </a:xfrm>
                  <a:prstGeom prst="rect">
                    <a:avLst/>
                  </a:prstGeom>
                  <a:noFill/>
                  <a:ln>
                    <a:noFill/>
                  </a:ln>
                </pic:spPr>
              </pic:pic>
            </a:graphicData>
          </a:graphic>
        </wp:anchor>
      </w:drawing>
    </w:r>
    <w:r>
      <w:rPr>
        <w:noProof/>
        <w:lang w:val="fr-BE" w:eastAsia="fr-BE"/>
      </w:rPr>
      <w:drawing>
        <wp:anchor distT="0" distB="0" distL="114300" distR="114300" simplePos="0" relativeHeight="251658243" behindDoc="0" locked="1" layoutInCell="1" allowOverlap="1">
          <wp:simplePos x="0" y="0"/>
          <wp:positionH relativeFrom="page">
            <wp:posOffset>4086225</wp:posOffset>
          </wp:positionH>
          <wp:positionV relativeFrom="page">
            <wp:posOffset>450215</wp:posOffset>
          </wp:positionV>
          <wp:extent cx="2516505" cy="717550"/>
          <wp:effectExtent l="0" t="0" r="0" b="6350"/>
          <wp:wrapNone/>
          <wp:docPr id="7" name="Bild 79" descr="ECOFYS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COFYS Logo Colour" hidden="1"/>
                  <pic:cNvPicPr>
                    <a:picLocks noChangeAspect="1" noChangeArrowheads="1"/>
                  </pic:cNvPicPr>
                </pic:nvPicPr>
                <pic:blipFill>
                  <a:blip r:embed="rId2">
                    <a:extLst>
                      <a:ext uri="{28A0092B-C50C-407E-A947-70E740481C1C}">
                        <a14:useLocalDpi xmlns:a14="http://schemas.microsoft.com/office/drawing/2010/main" val="0"/>
                      </a:ext>
                    </a:extLst>
                  </a:blip>
                  <a:srcRect l="1335" t="4370" r="1335" b="4370"/>
                  <a:stretch>
                    <a:fillRect/>
                  </a:stretch>
                </pic:blipFill>
                <pic:spPr bwMode="auto">
                  <a:xfrm>
                    <a:off x="0" y="0"/>
                    <a:ext cx="2516505" cy="717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8AF"/>
    <w:multiLevelType w:val="hybridMultilevel"/>
    <w:tmpl w:val="B464EC0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6D9715E"/>
    <w:multiLevelType w:val="hybridMultilevel"/>
    <w:tmpl w:val="980221A2"/>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6C21EE"/>
    <w:multiLevelType w:val="hybridMultilevel"/>
    <w:tmpl w:val="C7606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D33CB"/>
    <w:multiLevelType w:val="hybridMultilevel"/>
    <w:tmpl w:val="6CC41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AB41578"/>
    <w:multiLevelType w:val="hybridMultilevel"/>
    <w:tmpl w:val="AB90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43A39"/>
    <w:multiLevelType w:val="hybridMultilevel"/>
    <w:tmpl w:val="A6FC826A"/>
    <w:lvl w:ilvl="0" w:tplc="D8642F3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513306"/>
    <w:multiLevelType w:val="hybridMultilevel"/>
    <w:tmpl w:val="506478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30E6AF9"/>
    <w:multiLevelType w:val="hybridMultilevel"/>
    <w:tmpl w:val="5D76CBDE"/>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94BAA"/>
    <w:multiLevelType w:val="hybridMultilevel"/>
    <w:tmpl w:val="115667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4967031"/>
    <w:multiLevelType w:val="hybridMultilevel"/>
    <w:tmpl w:val="D4C4DE1A"/>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66EAB"/>
    <w:multiLevelType w:val="hybridMultilevel"/>
    <w:tmpl w:val="E30840D4"/>
    <w:lvl w:ilvl="0" w:tplc="8EC0EF94">
      <w:start w:val="1"/>
      <w:numFmt w:val="bullet"/>
      <w:lvlText w:val=""/>
      <w:lvlJc w:val="left"/>
      <w:pPr>
        <w:tabs>
          <w:tab w:val="num" w:pos="720"/>
        </w:tabs>
        <w:ind w:left="720" w:hanging="360"/>
      </w:pPr>
      <w:rPr>
        <w:rFonts w:ascii="Wingdings" w:hAnsi="Wingdings" w:hint="default"/>
      </w:rPr>
    </w:lvl>
    <w:lvl w:ilvl="1" w:tplc="81A05D08">
      <w:start w:val="244"/>
      <w:numFmt w:val="bullet"/>
      <w:lvlText w:val="•"/>
      <w:lvlJc w:val="left"/>
      <w:pPr>
        <w:tabs>
          <w:tab w:val="num" w:pos="1440"/>
        </w:tabs>
        <w:ind w:left="1440" w:hanging="360"/>
      </w:pPr>
      <w:rPr>
        <w:rFonts w:ascii="Arial" w:hAnsi="Arial" w:hint="default"/>
      </w:rPr>
    </w:lvl>
    <w:lvl w:ilvl="2" w:tplc="6CFA2202" w:tentative="1">
      <w:start w:val="1"/>
      <w:numFmt w:val="bullet"/>
      <w:lvlText w:val=""/>
      <w:lvlJc w:val="left"/>
      <w:pPr>
        <w:tabs>
          <w:tab w:val="num" w:pos="2160"/>
        </w:tabs>
        <w:ind w:left="2160" w:hanging="360"/>
      </w:pPr>
      <w:rPr>
        <w:rFonts w:ascii="Wingdings" w:hAnsi="Wingdings" w:hint="default"/>
      </w:rPr>
    </w:lvl>
    <w:lvl w:ilvl="3" w:tplc="0E0091D2" w:tentative="1">
      <w:start w:val="1"/>
      <w:numFmt w:val="bullet"/>
      <w:lvlText w:val=""/>
      <w:lvlJc w:val="left"/>
      <w:pPr>
        <w:tabs>
          <w:tab w:val="num" w:pos="2880"/>
        </w:tabs>
        <w:ind w:left="2880" w:hanging="360"/>
      </w:pPr>
      <w:rPr>
        <w:rFonts w:ascii="Wingdings" w:hAnsi="Wingdings" w:hint="default"/>
      </w:rPr>
    </w:lvl>
    <w:lvl w:ilvl="4" w:tplc="CED67C7A" w:tentative="1">
      <w:start w:val="1"/>
      <w:numFmt w:val="bullet"/>
      <w:lvlText w:val=""/>
      <w:lvlJc w:val="left"/>
      <w:pPr>
        <w:tabs>
          <w:tab w:val="num" w:pos="3600"/>
        </w:tabs>
        <w:ind w:left="3600" w:hanging="360"/>
      </w:pPr>
      <w:rPr>
        <w:rFonts w:ascii="Wingdings" w:hAnsi="Wingdings" w:hint="default"/>
      </w:rPr>
    </w:lvl>
    <w:lvl w:ilvl="5" w:tplc="DCFA0DDE" w:tentative="1">
      <w:start w:val="1"/>
      <w:numFmt w:val="bullet"/>
      <w:lvlText w:val=""/>
      <w:lvlJc w:val="left"/>
      <w:pPr>
        <w:tabs>
          <w:tab w:val="num" w:pos="4320"/>
        </w:tabs>
        <w:ind w:left="4320" w:hanging="360"/>
      </w:pPr>
      <w:rPr>
        <w:rFonts w:ascii="Wingdings" w:hAnsi="Wingdings" w:hint="default"/>
      </w:rPr>
    </w:lvl>
    <w:lvl w:ilvl="6" w:tplc="6E66DE3E" w:tentative="1">
      <w:start w:val="1"/>
      <w:numFmt w:val="bullet"/>
      <w:lvlText w:val=""/>
      <w:lvlJc w:val="left"/>
      <w:pPr>
        <w:tabs>
          <w:tab w:val="num" w:pos="5040"/>
        </w:tabs>
        <w:ind w:left="5040" w:hanging="360"/>
      </w:pPr>
      <w:rPr>
        <w:rFonts w:ascii="Wingdings" w:hAnsi="Wingdings" w:hint="default"/>
      </w:rPr>
    </w:lvl>
    <w:lvl w:ilvl="7" w:tplc="82D6BF40" w:tentative="1">
      <w:start w:val="1"/>
      <w:numFmt w:val="bullet"/>
      <w:lvlText w:val=""/>
      <w:lvlJc w:val="left"/>
      <w:pPr>
        <w:tabs>
          <w:tab w:val="num" w:pos="5760"/>
        </w:tabs>
        <w:ind w:left="5760" w:hanging="360"/>
      </w:pPr>
      <w:rPr>
        <w:rFonts w:ascii="Wingdings" w:hAnsi="Wingdings" w:hint="default"/>
      </w:rPr>
    </w:lvl>
    <w:lvl w:ilvl="8" w:tplc="819810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C4C9A"/>
    <w:multiLevelType w:val="hybridMultilevel"/>
    <w:tmpl w:val="8EEA27E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33260FC"/>
    <w:multiLevelType w:val="hybridMultilevel"/>
    <w:tmpl w:val="E3086BCC"/>
    <w:lvl w:ilvl="0" w:tplc="08090017">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5B3F5C66"/>
    <w:multiLevelType w:val="hybridMultilevel"/>
    <w:tmpl w:val="212856A8"/>
    <w:lvl w:ilvl="0" w:tplc="08090003">
      <w:start w:val="1"/>
      <w:numFmt w:val="bullet"/>
      <w:lvlText w:val="o"/>
      <w:lvlJc w:val="left"/>
      <w:pPr>
        <w:ind w:left="360" w:hanging="360"/>
      </w:pPr>
      <w:rPr>
        <w:rFonts w:ascii="Courier New" w:hAnsi="Courier New" w:cs="Courier New"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DC31C9"/>
    <w:multiLevelType w:val="hybridMultilevel"/>
    <w:tmpl w:val="4B5451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7E016EB"/>
    <w:multiLevelType w:val="hybridMultilevel"/>
    <w:tmpl w:val="D4D6AEFE"/>
    <w:lvl w:ilvl="0" w:tplc="EE12E508">
      <w:start w:val="1"/>
      <w:numFmt w:val="decimal"/>
      <w:pStyle w:val="Heading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91C7667"/>
    <w:multiLevelType w:val="hybridMultilevel"/>
    <w:tmpl w:val="4F086370"/>
    <w:lvl w:ilvl="0" w:tplc="0809000F">
      <w:start w:val="1"/>
      <w:numFmt w:val="decimal"/>
      <w:lvlText w:val="%1."/>
      <w:lvlJc w:val="left"/>
      <w:pPr>
        <w:ind w:left="720" w:hanging="360"/>
      </w:pPr>
      <w:rPr>
        <w:rFonts w:hint="default"/>
      </w:rPr>
    </w:lvl>
    <w:lvl w:ilvl="1" w:tplc="E9421FA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E29AA"/>
    <w:multiLevelType w:val="hybridMultilevel"/>
    <w:tmpl w:val="275EC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11"/>
  </w:num>
  <w:num w:numId="5">
    <w:abstractNumId w:val="15"/>
  </w:num>
  <w:num w:numId="6">
    <w:abstractNumId w:val="15"/>
  </w:num>
  <w:num w:numId="7">
    <w:abstractNumId w:val="15"/>
  </w:num>
  <w:num w:numId="8">
    <w:abstractNumId w:val="15"/>
  </w:num>
  <w:num w:numId="9">
    <w:abstractNumId w:val="15"/>
    <w:lvlOverride w:ilvl="0">
      <w:startOverride w:val="1"/>
    </w:lvlOverride>
  </w:num>
  <w:num w:numId="10">
    <w:abstractNumId w:val="0"/>
  </w:num>
  <w:num w:numId="11">
    <w:abstractNumId w:val="4"/>
  </w:num>
  <w:num w:numId="12">
    <w:abstractNumId w:val="13"/>
  </w:num>
  <w:num w:numId="13">
    <w:abstractNumId w:val="12"/>
  </w:num>
  <w:num w:numId="14">
    <w:abstractNumId w:val="10"/>
  </w:num>
  <w:num w:numId="15">
    <w:abstractNumId w:val="16"/>
  </w:num>
  <w:num w:numId="16">
    <w:abstractNumId w:val="17"/>
  </w:num>
  <w:num w:numId="17">
    <w:abstractNumId w:val="8"/>
  </w:num>
  <w:num w:numId="18">
    <w:abstractNumId w:val="6"/>
  </w:num>
  <w:num w:numId="19">
    <w:abstractNumId w:val="3"/>
  </w:num>
  <w:num w:numId="20">
    <w:abstractNumId w:val="2"/>
  </w:num>
  <w:num w:numId="21">
    <w:abstractNumId w:val="15"/>
  </w:num>
  <w:num w:numId="22">
    <w:abstractNumId w:val="15"/>
  </w:num>
  <w:num w:numId="23">
    <w:abstractNumId w:val="15"/>
  </w:num>
  <w:num w:numId="24">
    <w:abstractNumId w:val="1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 w:numId="28">
    <w:abstractNumId w:val="15"/>
    <w:lvlOverride w:ilvl="0">
      <w:startOverride w:val="1"/>
    </w:lvlOverride>
  </w:num>
  <w:num w:numId="29">
    <w:abstractNumId w:val="1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498F75A-F0AE-4FE3-8554-0206369EA7AF"/>
    <w:docVar w:name="LW_COVERPAGE_TYPE" w:val="1"/>
    <w:docVar w:name="LW_CROSSREFERENCE" w:val="&lt;UNUSED&gt;"/>
    <w:docVar w:name="LW_DocType" w:val="NORMAL"/>
    <w:docVar w:name="LW_EMISSION" w:val="9.4.2019"/>
    <w:docVar w:name="LW_EMISSION_ISODATE" w:val="2019-04-09"/>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newable Energy Progress Report"/>
    <w:docVar w:name="LW_TYPE.DOC.CP" w:val="REPORT FROM THE COMMISSION TO THE EUROPEAN PARLIAMENT, THE COUNCIL, THE EUROPEAN ECONOMIC AND SOCIAL COMMITTEE AND THE COMMITTEE OF THE REGIONS"/>
  </w:docVars>
  <w:rsids>
    <w:rsidRoot w:val="00BE32E5"/>
    <w:rsid w:val="00BE32E5"/>
    <w:rsid w:val="00FF14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8560C48-59F4-4732-81A5-8D95F322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numPr>
        <w:numId w:val="5"/>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rPr>
      <w:sz w:val="20"/>
      <w:szCs w:val="20"/>
    </w:rPr>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customStyle="1" w:styleId="Tablestylegreen2">
    <w:name w:val="Tablestyle_green2"/>
    <w:basedOn w:val="TableNormal"/>
    <w:pPr>
      <w:spacing w:before="100" w:beforeAutospacing="1" w:after="100" w:afterAutospacing="1" w:line="240" w:lineRule="auto"/>
      <w:contextualSpacing/>
    </w:pPr>
    <w:rPr>
      <w:rFonts w:ascii="Arial" w:eastAsia="Times New Roman" w:hAnsi="Arial" w:cs="Times New Roman"/>
      <w:color w:val="000000"/>
      <w:sz w:val="16"/>
      <w:szCs w:val="18"/>
      <w:lang w:val="de-DE" w:eastAsia="de-DE"/>
    </w:rPr>
    <w:tblPr>
      <w:tblStyleRowBandSize w:val="1"/>
      <w:tblStyleColBandSize w:val="1"/>
      <w:tblInd w:w="108" w:type="dxa"/>
      <w:tblBorders>
        <w:bottom w:val="single" w:sz="18" w:space="0" w:color="648C1A"/>
      </w:tblBorders>
    </w:tblPr>
    <w:tcPr>
      <w:vAlign w:val="center"/>
    </w:tcPr>
    <w:tblStylePr w:type="firstRow">
      <w:rPr>
        <w:rFonts w:ascii="Arial" w:hAnsi="Arial"/>
        <w:b w:val="0"/>
        <w:color w:val="000000"/>
        <w:sz w:val="16"/>
      </w:rPr>
      <w:tblPr/>
      <w:tcPr>
        <w:tcBorders>
          <w:top w:val="single" w:sz="4" w:space="0" w:color="8B8D8E"/>
          <w:left w:val="single" w:sz="4" w:space="0" w:color="8B8D8E"/>
          <w:bottom w:val="single" w:sz="4" w:space="0" w:color="8B8D8E"/>
          <w:right w:val="single" w:sz="4" w:space="0" w:color="8B8D8E"/>
          <w:insideH w:val="single" w:sz="4" w:space="0" w:color="8B8D8E"/>
          <w:insideV w:val="single" w:sz="4" w:space="0" w:color="8B8D8E"/>
          <w:tl2br w:val="nil"/>
          <w:tr2bl w:val="nil"/>
        </w:tcBorders>
      </w:tcPr>
    </w:tblStylePr>
    <w:tblStylePr w:type="lastRow">
      <w:rPr>
        <w:rFonts w:ascii="Arial" w:hAnsi="Arial"/>
        <w:sz w:val="16"/>
      </w:rPr>
      <w:tblPr/>
      <w:tcPr>
        <w:tcBorders>
          <w:top w:val="nil"/>
          <w:left w:val="single" w:sz="4" w:space="0" w:color="8B8D8E"/>
          <w:bottom w:val="single" w:sz="18" w:space="0" w:color="648C1A"/>
          <w:right w:val="single" w:sz="4" w:space="0" w:color="8B8D8E"/>
          <w:insideH w:val="nil"/>
          <w:insideV w:val="single" w:sz="4" w:space="0" w:color="8B8D8E"/>
          <w:tl2br w:val="nil"/>
          <w:tr2bl w:val="nil"/>
        </w:tcBorders>
      </w:tcPr>
    </w:tblStylePr>
    <w:tblStylePr w:type="firstCol">
      <w:rPr>
        <w:rFonts w:ascii="Arial" w:hAnsi="Arial"/>
        <w:b/>
        <w:i w:val="0"/>
        <w:color w:val="FFFFFF"/>
        <w:sz w:val="16"/>
      </w:rPr>
      <w:tblPr/>
      <w:tcPr>
        <w:tcBorders>
          <w:bottom w:val="nil"/>
          <w:insideH w:val="single" w:sz="4" w:space="0" w:color="FFFFFF" w:themeColor="background1"/>
        </w:tcBorders>
        <w:shd w:val="clear" w:color="auto" w:fill="648C1A"/>
      </w:tc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Arial" w:hAnsi="Arial"/>
      </w:rPr>
    </w:tblStylePr>
    <w:tblStylePr w:type="nwCell">
      <w:rPr>
        <w:rFonts w:ascii="Arial" w:hAnsi="Arial"/>
        <w:b/>
        <w:color w:val="FFFFFF"/>
        <w:sz w:val="16"/>
      </w:rPr>
      <w:tblPr/>
      <w:tcPr>
        <w:tcBorders>
          <w:top w:val="single" w:sz="4" w:space="0" w:color="7AB800"/>
          <w:left w:val="single" w:sz="4" w:space="0" w:color="7AB800"/>
          <w:bottom w:val="single" w:sz="4" w:space="0" w:color="FFFFFF"/>
          <w:right w:val="single" w:sz="4" w:space="0" w:color="7AB800"/>
          <w:insideH w:val="nil"/>
          <w:insideV w:val="nil"/>
          <w:tl2br w:val="nil"/>
          <w:tr2bl w:val="nil"/>
        </w:tcBorders>
      </w:tcPr>
    </w:tblStylePr>
    <w:tblStylePr w:type="seCell">
      <w:rPr>
        <w:rFonts w:ascii="Arial" w:hAnsi="Arial"/>
      </w:rPr>
    </w:tblStylePr>
    <w:tblStylePr w:type="swCell">
      <w:rPr>
        <w:rFonts w:ascii="Arial" w:hAnsi="Arial"/>
      </w:rPr>
      <w:tblPr/>
      <w:tcPr>
        <w:tcBorders>
          <w:top w:val="single" w:sz="4" w:space="0" w:color="FFFFFF"/>
          <w:left w:val="single" w:sz="4" w:space="0" w:color="7AB800"/>
          <w:bottom w:val="single" w:sz="18" w:space="0" w:color="648C1A"/>
          <w:right w:val="single" w:sz="4" w:space="0" w:color="7AB800"/>
          <w:insideH w:val="nil"/>
          <w:insideV w:val="nil"/>
          <w:tl2br w:val="nil"/>
          <w:tr2bl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
    <w:name w:val="m"/>
    <w:basedOn w:val="Normal"/>
    <w:pPr>
      <w:jc w:val="both"/>
    </w:pPr>
    <w:rPr>
      <w:rFonts w:ascii="Times New Roman" w:hAnsi="Times New Roman" w:cs="Times New Roman"/>
      <w:b/>
      <w:sz w:val="24"/>
      <w:szCs w:val="24"/>
      <w:u w:val="single"/>
    </w:rPr>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table" w:customStyle="1" w:styleId="Tablestylegreen">
    <w:name w:val="Tablestyle_green"/>
    <w:basedOn w:val="TableNormal"/>
    <w:pPr>
      <w:spacing w:before="100" w:beforeAutospacing="1" w:after="100" w:afterAutospacing="1" w:line="283" w:lineRule="atLeast"/>
      <w:contextualSpacing/>
    </w:pPr>
    <w:rPr>
      <w:rFonts w:ascii="Verdana" w:eastAsia="Times New Roman" w:hAnsi="Verdana" w:cs="Times New Roman"/>
      <w:color w:val="000000"/>
      <w:sz w:val="16"/>
      <w:szCs w:val="20"/>
      <w:lang w:val="de-DE" w:eastAsia="de-DE"/>
    </w:rPr>
    <w:tblPr>
      <w:tblStyleRowBandSize w:val="1"/>
      <w:tblStyleColBandSize w:val="1"/>
      <w:tblInd w:w="108" w:type="dxa"/>
    </w:tblPr>
    <w:tcPr>
      <w:vAlign w:val="center"/>
    </w:tcPr>
    <w:tblStylePr w:type="firstRow">
      <w:rPr>
        <w:rFonts w:ascii="Cambria" w:hAnsi="Cambria"/>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Cambria" w:hAnsi="Cambria"/>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firstCol">
      <w:rPr>
        <w:rFonts w:ascii="Cambria" w:hAnsi="Cambria"/>
        <w:sz w:val="16"/>
      </w:rPr>
    </w:tblStylePr>
    <w:tblStylePr w:type="lastCol">
      <w:rPr>
        <w:rFonts w:ascii="Cambria" w:hAnsi="Cambria"/>
        <w:sz w:val="16"/>
      </w:rPr>
    </w:tblStylePr>
    <w:tblStylePr w:type="band1Vert">
      <w:rPr>
        <w:rFonts w:ascii="Cambria" w:hAnsi="Cambria"/>
        <w:sz w:val="16"/>
      </w:rPr>
    </w:tblStylePr>
    <w:tblStylePr w:type="band2Vert">
      <w:rPr>
        <w:rFonts w:ascii="Cambria" w:hAnsi="Cambria"/>
        <w:sz w:val="16"/>
      </w:rPr>
    </w:tblStylePr>
    <w:tblStylePr w:type="band1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Cambria" w:hAnsi="Cambria"/>
        <w:sz w:val="16"/>
      </w:rPr>
    </w:tblStylePr>
    <w:tblStylePr w:type="nwCell">
      <w:rPr>
        <w:rFonts w:ascii="Cambria" w:hAnsi="Cambria"/>
        <w:sz w:val="16"/>
      </w:rPr>
    </w:tblStylePr>
    <w:tblStylePr w:type="seCell">
      <w:rPr>
        <w:rFonts w:ascii="Cambria" w:hAnsi="Cambria"/>
        <w:sz w:val="16"/>
      </w:rPr>
    </w:tblStylePr>
    <w:tblStylePr w:type="swCell">
      <w:rPr>
        <w:rFonts w:ascii="Cambria" w:hAnsi="Cambria"/>
        <w:sz w:val="16"/>
      </w:rPr>
    </w:tblStyle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basedOn w:val="DefaultParagraphFont"/>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645">
      <w:bodyDiv w:val="1"/>
      <w:marLeft w:val="0"/>
      <w:marRight w:val="0"/>
      <w:marTop w:val="0"/>
      <w:marBottom w:val="0"/>
      <w:divBdr>
        <w:top w:val="none" w:sz="0" w:space="0" w:color="auto"/>
        <w:left w:val="none" w:sz="0" w:space="0" w:color="auto"/>
        <w:bottom w:val="none" w:sz="0" w:space="0" w:color="auto"/>
        <w:right w:val="none" w:sz="0" w:space="0" w:color="auto"/>
      </w:divBdr>
    </w:div>
    <w:div w:id="164974368">
      <w:bodyDiv w:val="1"/>
      <w:marLeft w:val="0"/>
      <w:marRight w:val="0"/>
      <w:marTop w:val="0"/>
      <w:marBottom w:val="0"/>
      <w:divBdr>
        <w:top w:val="none" w:sz="0" w:space="0" w:color="auto"/>
        <w:left w:val="none" w:sz="0" w:space="0" w:color="auto"/>
        <w:bottom w:val="none" w:sz="0" w:space="0" w:color="auto"/>
        <w:right w:val="none" w:sz="0" w:space="0" w:color="auto"/>
      </w:divBdr>
    </w:div>
    <w:div w:id="225191113">
      <w:bodyDiv w:val="1"/>
      <w:marLeft w:val="0"/>
      <w:marRight w:val="0"/>
      <w:marTop w:val="0"/>
      <w:marBottom w:val="0"/>
      <w:divBdr>
        <w:top w:val="none" w:sz="0" w:space="0" w:color="auto"/>
        <w:left w:val="none" w:sz="0" w:space="0" w:color="auto"/>
        <w:bottom w:val="none" w:sz="0" w:space="0" w:color="auto"/>
        <w:right w:val="none" w:sz="0" w:space="0" w:color="auto"/>
      </w:divBdr>
    </w:div>
    <w:div w:id="320473223">
      <w:bodyDiv w:val="1"/>
      <w:marLeft w:val="0"/>
      <w:marRight w:val="0"/>
      <w:marTop w:val="0"/>
      <w:marBottom w:val="0"/>
      <w:divBdr>
        <w:top w:val="none" w:sz="0" w:space="0" w:color="auto"/>
        <w:left w:val="none" w:sz="0" w:space="0" w:color="auto"/>
        <w:bottom w:val="none" w:sz="0" w:space="0" w:color="auto"/>
        <w:right w:val="none" w:sz="0" w:space="0" w:color="auto"/>
      </w:divBdr>
    </w:div>
    <w:div w:id="394857189">
      <w:bodyDiv w:val="1"/>
      <w:marLeft w:val="0"/>
      <w:marRight w:val="0"/>
      <w:marTop w:val="0"/>
      <w:marBottom w:val="0"/>
      <w:divBdr>
        <w:top w:val="none" w:sz="0" w:space="0" w:color="auto"/>
        <w:left w:val="none" w:sz="0" w:space="0" w:color="auto"/>
        <w:bottom w:val="none" w:sz="0" w:space="0" w:color="auto"/>
        <w:right w:val="none" w:sz="0" w:space="0" w:color="auto"/>
      </w:divBdr>
      <w:divsChild>
        <w:div w:id="902058367">
          <w:marLeft w:val="446"/>
          <w:marRight w:val="0"/>
          <w:marTop w:val="0"/>
          <w:marBottom w:val="0"/>
          <w:divBdr>
            <w:top w:val="none" w:sz="0" w:space="0" w:color="auto"/>
            <w:left w:val="none" w:sz="0" w:space="0" w:color="auto"/>
            <w:bottom w:val="none" w:sz="0" w:space="0" w:color="auto"/>
            <w:right w:val="none" w:sz="0" w:space="0" w:color="auto"/>
          </w:divBdr>
        </w:div>
        <w:div w:id="1232037879">
          <w:marLeft w:val="1166"/>
          <w:marRight w:val="0"/>
          <w:marTop w:val="120"/>
          <w:marBottom w:val="0"/>
          <w:divBdr>
            <w:top w:val="none" w:sz="0" w:space="0" w:color="auto"/>
            <w:left w:val="none" w:sz="0" w:space="0" w:color="auto"/>
            <w:bottom w:val="none" w:sz="0" w:space="0" w:color="auto"/>
            <w:right w:val="none" w:sz="0" w:space="0" w:color="auto"/>
          </w:divBdr>
        </w:div>
        <w:div w:id="1272587569">
          <w:marLeft w:val="1166"/>
          <w:marRight w:val="0"/>
          <w:marTop w:val="120"/>
          <w:marBottom w:val="0"/>
          <w:divBdr>
            <w:top w:val="none" w:sz="0" w:space="0" w:color="auto"/>
            <w:left w:val="none" w:sz="0" w:space="0" w:color="auto"/>
            <w:bottom w:val="none" w:sz="0" w:space="0" w:color="auto"/>
            <w:right w:val="none" w:sz="0" w:space="0" w:color="auto"/>
          </w:divBdr>
        </w:div>
        <w:div w:id="1600016838">
          <w:marLeft w:val="1166"/>
          <w:marRight w:val="0"/>
          <w:marTop w:val="120"/>
          <w:marBottom w:val="0"/>
          <w:divBdr>
            <w:top w:val="none" w:sz="0" w:space="0" w:color="auto"/>
            <w:left w:val="none" w:sz="0" w:space="0" w:color="auto"/>
            <w:bottom w:val="none" w:sz="0" w:space="0" w:color="auto"/>
            <w:right w:val="none" w:sz="0" w:space="0" w:color="auto"/>
          </w:divBdr>
        </w:div>
        <w:div w:id="1443575271">
          <w:marLeft w:val="1166"/>
          <w:marRight w:val="0"/>
          <w:marTop w:val="120"/>
          <w:marBottom w:val="0"/>
          <w:divBdr>
            <w:top w:val="none" w:sz="0" w:space="0" w:color="auto"/>
            <w:left w:val="none" w:sz="0" w:space="0" w:color="auto"/>
            <w:bottom w:val="none" w:sz="0" w:space="0" w:color="auto"/>
            <w:right w:val="none" w:sz="0" w:space="0" w:color="auto"/>
          </w:divBdr>
        </w:div>
        <w:div w:id="2097700191">
          <w:marLeft w:val="446"/>
          <w:marRight w:val="0"/>
          <w:marTop w:val="0"/>
          <w:marBottom w:val="0"/>
          <w:divBdr>
            <w:top w:val="none" w:sz="0" w:space="0" w:color="auto"/>
            <w:left w:val="none" w:sz="0" w:space="0" w:color="auto"/>
            <w:bottom w:val="none" w:sz="0" w:space="0" w:color="auto"/>
            <w:right w:val="none" w:sz="0" w:space="0" w:color="auto"/>
          </w:divBdr>
        </w:div>
        <w:div w:id="346250767">
          <w:marLeft w:val="446"/>
          <w:marRight w:val="0"/>
          <w:marTop w:val="0"/>
          <w:marBottom w:val="0"/>
          <w:divBdr>
            <w:top w:val="none" w:sz="0" w:space="0" w:color="auto"/>
            <w:left w:val="none" w:sz="0" w:space="0" w:color="auto"/>
            <w:bottom w:val="none" w:sz="0" w:space="0" w:color="auto"/>
            <w:right w:val="none" w:sz="0" w:space="0" w:color="auto"/>
          </w:divBdr>
        </w:div>
        <w:div w:id="593049214">
          <w:marLeft w:val="446"/>
          <w:marRight w:val="0"/>
          <w:marTop w:val="0"/>
          <w:marBottom w:val="0"/>
          <w:divBdr>
            <w:top w:val="none" w:sz="0" w:space="0" w:color="auto"/>
            <w:left w:val="none" w:sz="0" w:space="0" w:color="auto"/>
            <w:bottom w:val="none" w:sz="0" w:space="0" w:color="auto"/>
            <w:right w:val="none" w:sz="0" w:space="0" w:color="auto"/>
          </w:divBdr>
        </w:div>
      </w:divsChild>
    </w:div>
    <w:div w:id="461772440">
      <w:bodyDiv w:val="1"/>
      <w:marLeft w:val="0"/>
      <w:marRight w:val="0"/>
      <w:marTop w:val="0"/>
      <w:marBottom w:val="0"/>
      <w:divBdr>
        <w:top w:val="none" w:sz="0" w:space="0" w:color="auto"/>
        <w:left w:val="none" w:sz="0" w:space="0" w:color="auto"/>
        <w:bottom w:val="none" w:sz="0" w:space="0" w:color="auto"/>
        <w:right w:val="none" w:sz="0" w:space="0" w:color="auto"/>
      </w:divBdr>
    </w:div>
    <w:div w:id="657808420">
      <w:bodyDiv w:val="1"/>
      <w:marLeft w:val="0"/>
      <w:marRight w:val="0"/>
      <w:marTop w:val="0"/>
      <w:marBottom w:val="0"/>
      <w:divBdr>
        <w:top w:val="none" w:sz="0" w:space="0" w:color="auto"/>
        <w:left w:val="none" w:sz="0" w:space="0" w:color="auto"/>
        <w:bottom w:val="none" w:sz="0" w:space="0" w:color="auto"/>
        <w:right w:val="none" w:sz="0" w:space="0" w:color="auto"/>
      </w:divBdr>
    </w:div>
    <w:div w:id="790173814">
      <w:bodyDiv w:val="1"/>
      <w:marLeft w:val="0"/>
      <w:marRight w:val="0"/>
      <w:marTop w:val="0"/>
      <w:marBottom w:val="0"/>
      <w:divBdr>
        <w:top w:val="none" w:sz="0" w:space="0" w:color="auto"/>
        <w:left w:val="none" w:sz="0" w:space="0" w:color="auto"/>
        <w:bottom w:val="none" w:sz="0" w:space="0" w:color="auto"/>
        <w:right w:val="none" w:sz="0" w:space="0" w:color="auto"/>
      </w:divBdr>
      <w:divsChild>
        <w:div w:id="105933229">
          <w:marLeft w:val="0"/>
          <w:marRight w:val="0"/>
          <w:marTop w:val="0"/>
          <w:marBottom w:val="0"/>
          <w:divBdr>
            <w:top w:val="none" w:sz="0" w:space="0" w:color="auto"/>
            <w:left w:val="none" w:sz="0" w:space="0" w:color="auto"/>
            <w:bottom w:val="none" w:sz="0" w:space="0" w:color="auto"/>
            <w:right w:val="none" w:sz="0" w:space="0" w:color="auto"/>
          </w:divBdr>
        </w:div>
        <w:div w:id="723679239">
          <w:marLeft w:val="0"/>
          <w:marRight w:val="0"/>
          <w:marTop w:val="0"/>
          <w:marBottom w:val="0"/>
          <w:divBdr>
            <w:top w:val="none" w:sz="0" w:space="0" w:color="auto"/>
            <w:left w:val="none" w:sz="0" w:space="0" w:color="auto"/>
            <w:bottom w:val="none" w:sz="0" w:space="0" w:color="auto"/>
            <w:right w:val="none" w:sz="0" w:space="0" w:color="auto"/>
          </w:divBdr>
        </w:div>
        <w:div w:id="1353192411">
          <w:marLeft w:val="0"/>
          <w:marRight w:val="0"/>
          <w:marTop w:val="0"/>
          <w:marBottom w:val="0"/>
          <w:divBdr>
            <w:top w:val="none" w:sz="0" w:space="0" w:color="auto"/>
            <w:left w:val="none" w:sz="0" w:space="0" w:color="auto"/>
            <w:bottom w:val="none" w:sz="0" w:space="0" w:color="auto"/>
            <w:right w:val="none" w:sz="0" w:space="0" w:color="auto"/>
          </w:divBdr>
        </w:div>
        <w:div w:id="1339038297">
          <w:marLeft w:val="0"/>
          <w:marRight w:val="0"/>
          <w:marTop w:val="0"/>
          <w:marBottom w:val="0"/>
          <w:divBdr>
            <w:top w:val="none" w:sz="0" w:space="0" w:color="auto"/>
            <w:left w:val="none" w:sz="0" w:space="0" w:color="auto"/>
            <w:bottom w:val="none" w:sz="0" w:space="0" w:color="auto"/>
            <w:right w:val="none" w:sz="0" w:space="0" w:color="auto"/>
          </w:divBdr>
        </w:div>
        <w:div w:id="1463038868">
          <w:marLeft w:val="0"/>
          <w:marRight w:val="0"/>
          <w:marTop w:val="0"/>
          <w:marBottom w:val="0"/>
          <w:divBdr>
            <w:top w:val="none" w:sz="0" w:space="0" w:color="auto"/>
            <w:left w:val="none" w:sz="0" w:space="0" w:color="auto"/>
            <w:bottom w:val="none" w:sz="0" w:space="0" w:color="auto"/>
            <w:right w:val="none" w:sz="0" w:space="0" w:color="auto"/>
          </w:divBdr>
        </w:div>
        <w:div w:id="1090080788">
          <w:marLeft w:val="0"/>
          <w:marRight w:val="0"/>
          <w:marTop w:val="0"/>
          <w:marBottom w:val="0"/>
          <w:divBdr>
            <w:top w:val="none" w:sz="0" w:space="0" w:color="auto"/>
            <w:left w:val="none" w:sz="0" w:space="0" w:color="auto"/>
            <w:bottom w:val="none" w:sz="0" w:space="0" w:color="auto"/>
            <w:right w:val="none" w:sz="0" w:space="0" w:color="auto"/>
          </w:divBdr>
        </w:div>
      </w:divsChild>
    </w:div>
    <w:div w:id="870532033">
      <w:bodyDiv w:val="1"/>
      <w:marLeft w:val="0"/>
      <w:marRight w:val="0"/>
      <w:marTop w:val="0"/>
      <w:marBottom w:val="0"/>
      <w:divBdr>
        <w:top w:val="none" w:sz="0" w:space="0" w:color="auto"/>
        <w:left w:val="none" w:sz="0" w:space="0" w:color="auto"/>
        <w:bottom w:val="none" w:sz="0" w:space="0" w:color="auto"/>
        <w:right w:val="none" w:sz="0" w:space="0" w:color="auto"/>
      </w:divBdr>
    </w:div>
    <w:div w:id="892428815">
      <w:bodyDiv w:val="1"/>
      <w:marLeft w:val="0"/>
      <w:marRight w:val="0"/>
      <w:marTop w:val="0"/>
      <w:marBottom w:val="0"/>
      <w:divBdr>
        <w:top w:val="none" w:sz="0" w:space="0" w:color="auto"/>
        <w:left w:val="none" w:sz="0" w:space="0" w:color="auto"/>
        <w:bottom w:val="none" w:sz="0" w:space="0" w:color="auto"/>
        <w:right w:val="none" w:sz="0" w:space="0" w:color="auto"/>
      </w:divBdr>
    </w:div>
    <w:div w:id="902184038">
      <w:bodyDiv w:val="1"/>
      <w:marLeft w:val="0"/>
      <w:marRight w:val="0"/>
      <w:marTop w:val="0"/>
      <w:marBottom w:val="0"/>
      <w:divBdr>
        <w:top w:val="none" w:sz="0" w:space="0" w:color="auto"/>
        <w:left w:val="none" w:sz="0" w:space="0" w:color="auto"/>
        <w:bottom w:val="none" w:sz="0" w:space="0" w:color="auto"/>
        <w:right w:val="none" w:sz="0" w:space="0" w:color="auto"/>
      </w:divBdr>
    </w:div>
    <w:div w:id="1181815246">
      <w:bodyDiv w:val="1"/>
      <w:marLeft w:val="0"/>
      <w:marRight w:val="0"/>
      <w:marTop w:val="0"/>
      <w:marBottom w:val="0"/>
      <w:divBdr>
        <w:top w:val="none" w:sz="0" w:space="0" w:color="auto"/>
        <w:left w:val="none" w:sz="0" w:space="0" w:color="auto"/>
        <w:bottom w:val="none" w:sz="0" w:space="0" w:color="auto"/>
        <w:right w:val="none" w:sz="0" w:space="0" w:color="auto"/>
      </w:divBdr>
    </w:div>
    <w:div w:id="1253509040">
      <w:bodyDiv w:val="1"/>
      <w:marLeft w:val="0"/>
      <w:marRight w:val="0"/>
      <w:marTop w:val="0"/>
      <w:marBottom w:val="0"/>
      <w:divBdr>
        <w:top w:val="none" w:sz="0" w:space="0" w:color="auto"/>
        <w:left w:val="none" w:sz="0" w:space="0" w:color="auto"/>
        <w:bottom w:val="none" w:sz="0" w:space="0" w:color="auto"/>
        <w:right w:val="none" w:sz="0" w:space="0" w:color="auto"/>
      </w:divBdr>
    </w:div>
    <w:div w:id="1385910443">
      <w:bodyDiv w:val="1"/>
      <w:marLeft w:val="0"/>
      <w:marRight w:val="0"/>
      <w:marTop w:val="0"/>
      <w:marBottom w:val="0"/>
      <w:divBdr>
        <w:top w:val="none" w:sz="0" w:space="0" w:color="auto"/>
        <w:left w:val="none" w:sz="0" w:space="0" w:color="auto"/>
        <w:bottom w:val="none" w:sz="0" w:space="0" w:color="auto"/>
        <w:right w:val="none" w:sz="0" w:space="0" w:color="auto"/>
      </w:divBdr>
    </w:div>
    <w:div w:id="1740126237">
      <w:bodyDiv w:val="1"/>
      <w:marLeft w:val="0"/>
      <w:marRight w:val="0"/>
      <w:marTop w:val="0"/>
      <w:marBottom w:val="0"/>
      <w:divBdr>
        <w:top w:val="none" w:sz="0" w:space="0" w:color="auto"/>
        <w:left w:val="none" w:sz="0" w:space="0" w:color="auto"/>
        <w:bottom w:val="none" w:sz="0" w:space="0" w:color="auto"/>
        <w:right w:val="none" w:sz="0" w:space="0" w:color="auto"/>
      </w:divBdr>
    </w:div>
    <w:div w:id="19651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ergy/en/topics/renewable-energy/national-action-plans" TargetMode="External"/><Relationship Id="rId13" Type="http://schemas.openxmlformats.org/officeDocument/2006/relationships/hyperlink" Target="https://ec.europa.eu/energy/en/topics/renewable-energy/biofuels/voluntary-schemes" TargetMode="External"/><Relationship Id="rId3" Type="http://schemas.openxmlformats.org/officeDocument/2006/relationships/hyperlink" Target="https://www.eea.europa.eu/publications/renewable-energy-in-europe-2018/" TargetMode="External"/><Relationship Id="rId7" Type="http://schemas.openxmlformats.org/officeDocument/2006/relationships/hyperlink" Target="https://ec.europa.eu/energy/en/topics/renewable-energy/progress-reports" TargetMode="External"/><Relationship Id="rId12" Type="http://schemas.openxmlformats.org/officeDocument/2006/relationships/hyperlink" Target="https://ec.europa.eu/energy/sites/ener/files/documents/technical_assistance_in_realisation_of_the_4th_report_on_progress_of_renewable_energy_in_the_eu-final_report.pdf" TargetMode="External"/><Relationship Id="rId2" Type="http://schemas.openxmlformats.org/officeDocument/2006/relationships/hyperlink" Target="https://www.eea.europa.eu/publications/renewable-energy-in-europe-2018" TargetMode="External"/><Relationship Id="rId1" Type="http://schemas.openxmlformats.org/officeDocument/2006/relationships/hyperlink" Target="https://ec.europa.eu/energy/en/topics/energy-strategy-and-energy-union/clean-energy-all-europeans" TargetMode="External"/><Relationship Id="rId6" Type="http://schemas.openxmlformats.org/officeDocument/2006/relationships/hyperlink" Target="https://ec.europa.eu/energy/en/topics/technology-and-innovation/strategic-energy-technology-plan" TargetMode="External"/><Relationship Id="rId11" Type="http://schemas.openxmlformats.org/officeDocument/2006/relationships/hyperlink" Target="https://green-x.at/" TargetMode="External"/><Relationship Id="rId5" Type="http://schemas.openxmlformats.org/officeDocument/2006/relationships/hyperlink" Target="https://irena.org/publications/2019/Feb/Innovation-landscape-for-a-renewable-powered-future" TargetMode="External"/><Relationship Id="rId10" Type="http://schemas.openxmlformats.org/officeDocument/2006/relationships/hyperlink" Target="https://ec.europa.eu/energy/sites/ener/files/documents/technical_assistance_in_realisation_of_the_4th_report_on_progress_of_renewable_energy_in_the_eu-final_report.pdf" TargetMode="External"/><Relationship Id="rId4" Type="http://schemas.openxmlformats.org/officeDocument/2006/relationships/hyperlink" Target="http://publications.jrc.ec.europa.eu/repository/handle/JRC105642" TargetMode="External"/><Relationship Id="rId9" Type="http://schemas.openxmlformats.org/officeDocument/2006/relationships/hyperlink" Target="https://ec.europa.eu/energy/en/topics/renewable-energy/progress-reports"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01b05e8-1b4f-451b-82dc-925fd82222d6" xsi:nil="true"/>
    <EC_Collab_Status xmlns="201b05e8-1b4f-451b-82dc-925fd82222d6">Not Started</EC_Collab_Status>
    <EC_Collab_DocumentLanguage xmlns="201b05e8-1b4f-451b-82dc-925fd82222d6">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4F0F68B67CF1945B8B4A078243B88F3" ma:contentTypeVersion="1" ma:contentTypeDescription="Create a new document in this library." ma:contentTypeScope="" ma:versionID="37c2f5fd27b3e91ad37b4e6c7f736fd8">
  <xsd:schema xmlns:xsd="http://www.w3.org/2001/XMLSchema" xmlns:xs="http://www.w3.org/2001/XMLSchema" xmlns:p="http://schemas.microsoft.com/office/2006/metadata/properties" xmlns:ns3="201b05e8-1b4f-451b-82dc-925fd82222d6" targetNamespace="http://schemas.microsoft.com/office/2006/metadata/properties" ma:root="true" ma:fieldsID="16ef9ff56465373dd39a16ec5d63ee94" ns3:_="">
    <xsd:import namespace="201b05e8-1b4f-451b-82dc-925fd82222d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05e8-1b4f-451b-82dc-925fd82222d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F53A68-698E-46B4-9BA1-4254F2386410}">
  <ds:schemaRefs>
    <ds:schemaRef ds:uri="http://purl.org/dc/terms/"/>
    <ds:schemaRef ds:uri="http://schemas.openxmlformats.org/package/2006/metadata/core-properties"/>
    <ds:schemaRef ds:uri="201b05e8-1b4f-451b-82dc-925fd82222d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13D722-B8B6-49F5-8C14-46C143A28125}">
  <ds:schemaRefs>
    <ds:schemaRef ds:uri="http://schemas.microsoft.com/sharepoint/v3/contenttype/forms"/>
  </ds:schemaRefs>
</ds:datastoreItem>
</file>

<file path=customXml/itemProps3.xml><?xml version="1.0" encoding="utf-8"?>
<ds:datastoreItem xmlns:ds="http://schemas.openxmlformats.org/officeDocument/2006/customXml" ds:itemID="{53DE0A63-2D4F-4242-96BD-7AE45F24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05e8-1b4f-451b-82dc-925fd822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29643-D914-40E8-8A1F-73C281BA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5858</Words>
  <Characters>30875</Characters>
  <Application>Microsoft Office Word</Application>
  <DocSecurity>0</DocSecurity>
  <Lines>935</Lines>
  <Paragraphs>573</Paragraphs>
  <ScaleCrop>false</ScaleCrop>
  <HeadingPairs>
    <vt:vector size="2" baseType="variant">
      <vt:variant>
        <vt:lpstr>Title</vt:lpstr>
      </vt:variant>
      <vt:variant>
        <vt:i4>1</vt:i4>
      </vt:variant>
    </vt:vector>
  </HeadingPairs>
  <TitlesOfParts>
    <vt:vector size="1" baseType="lpstr">
      <vt:lpstr>RES progress report</vt:lpstr>
    </vt:vector>
  </TitlesOfParts>
  <Manager/>
  <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progress report</dc:title>
  <dc:creator/>
  <cp:lastModifiedBy>KITRIMI Efstathia (SG)</cp:lastModifiedBy>
  <cp:revision>19</cp:revision>
  <cp:lastPrinted>2019-03-13T15:57:00Z</cp:lastPrinted>
  <dcterms:created xsi:type="dcterms:W3CDTF">2019-03-28T10:38:00Z</dcterms:created>
  <dcterms:modified xsi:type="dcterms:W3CDTF">2019-04-08T08:19:00Z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0x010100258AA79CEB83498886A3A086811232500084F0F68B67CF1945B8B4A078243B88F3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