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74" w:rsidRDefault="00486345" w:rsidP="00486345">
      <w:pPr>
        <w:pStyle w:val="Pagedecouverture"/>
        <w:rPr>
          <w:noProof/>
        </w:rPr>
      </w:pPr>
      <w:bookmarkStart w:id="0" w:name="LW_BM_COVERPAGE"/>
      <w:r>
        <w:rPr>
          <w:noProof/>
        </w:rPr>
        <w:pict>
          <v:shape id="_x0000_i1033" type="#_x0000_t75" alt="9776C5E3-5B6C-45EB-9CE0-25AECA902233" style="width:450.75pt;height:557.25pt">
            <v:imagedata r:id="rId11" o:title=""/>
          </v:shape>
        </w:pict>
      </w:r>
    </w:p>
    <w:bookmarkEnd w:id="0"/>
    <w:p w:rsidR="001B4274" w:rsidRDefault="001B4274">
      <w:pPr>
        <w:rPr>
          <w:noProof/>
        </w:rPr>
        <w:sectPr w:rsidR="001B4274" w:rsidSect="0048634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1B4274" w:rsidRDefault="00486345">
      <w:pPr>
        <w:pStyle w:val="Heading1"/>
        <w:numPr>
          <w:ilvl w:val="0"/>
          <w:numId w:val="0"/>
        </w:numPr>
        <w:spacing w:before="120" w:after="360"/>
        <w:jc w:val="center"/>
        <w:rPr>
          <w:noProof/>
        </w:rPr>
      </w:pPr>
      <w:bookmarkStart w:id="1" w:name="_GoBack"/>
      <w:bookmarkEnd w:id="1"/>
      <w:r>
        <w:rPr>
          <w:noProof/>
        </w:rPr>
        <w:lastRenderedPageBreak/>
        <w:t>PRIORITY ACTIONS ON BETTER ENVIRONMENTAL IMPLEMENTATION</w:t>
      </w:r>
    </w:p>
    <w:p w:rsidR="001B4274" w:rsidRDefault="00486345">
      <w:pPr>
        <w:jc w:val="center"/>
        <w:rPr>
          <w:rFonts w:ascii="Times New Roman" w:hAnsi="Times New Roman" w:cs="Times New Roman"/>
          <w:noProof/>
        </w:rPr>
      </w:pPr>
      <w:r>
        <w:rPr>
          <w:rFonts w:ascii="Times New Roman" w:hAnsi="Times New Roman" w:cs="Times New Roman"/>
          <w:noProof/>
        </w:rPr>
        <w:t xml:space="preserve">The present Annex summarises the priority actions in </w:t>
      </w:r>
      <w:r>
        <w:rPr>
          <w:rFonts w:ascii="Times New Roman" w:hAnsi="Times New Roman" w:cs="Times New Roman"/>
          <w:noProof/>
        </w:rPr>
        <w:t>the 28 EIR country reports</w:t>
      </w:r>
      <w:r>
        <w:rPr>
          <w:rStyle w:val="FootnoteReference"/>
          <w:rFonts w:ascii="Times New Roman" w:hAnsi="Times New Roman" w:cs="Times New Roman"/>
          <w:noProof/>
        </w:rPr>
        <w:footnoteReference w:id="2"/>
      </w:r>
    </w:p>
    <w:tbl>
      <w:tblPr>
        <w:tblStyle w:val="TableGrid"/>
        <w:tblW w:w="9468" w:type="dxa"/>
        <w:tblLayout w:type="fixed"/>
        <w:tblLook w:val="04A0" w:firstRow="1" w:lastRow="0" w:firstColumn="1" w:lastColumn="0" w:noHBand="0" w:noVBand="1"/>
      </w:tblPr>
      <w:tblGrid>
        <w:gridCol w:w="7111"/>
        <w:gridCol w:w="2357"/>
      </w:tblGrid>
      <w:tr w:rsidR="001B4274">
        <w:tc>
          <w:tcPr>
            <w:tcW w:w="7111" w:type="dxa"/>
            <w:shd w:val="clear" w:color="auto" w:fill="auto"/>
            <w:vAlign w:val="center"/>
          </w:tcPr>
          <w:p w:rsidR="001B4274" w:rsidRDefault="00486345">
            <w:pPr>
              <w:pStyle w:val="Text1"/>
              <w:ind w:left="0"/>
              <w:jc w:val="left"/>
              <w:rPr>
                <w:i/>
                <w:noProof/>
                <w:sz w:val="20"/>
              </w:rPr>
            </w:pPr>
            <w:r>
              <w:rPr>
                <w:i/>
                <w:noProof/>
                <w:sz w:val="20"/>
              </w:rPr>
              <w:t>Priority actions</w:t>
            </w:r>
          </w:p>
        </w:tc>
        <w:tc>
          <w:tcPr>
            <w:tcW w:w="2357" w:type="dxa"/>
            <w:shd w:val="clear" w:color="auto" w:fill="auto"/>
            <w:vAlign w:val="center"/>
          </w:tcPr>
          <w:p w:rsidR="001B4274" w:rsidRDefault="00486345">
            <w:pPr>
              <w:pStyle w:val="Text1"/>
              <w:ind w:left="0"/>
              <w:jc w:val="left"/>
              <w:rPr>
                <w:i/>
                <w:noProof/>
                <w:sz w:val="20"/>
              </w:rPr>
            </w:pPr>
            <w:r>
              <w:rPr>
                <w:i/>
                <w:noProof/>
                <w:sz w:val="20"/>
              </w:rPr>
              <w:t xml:space="preserve">Member State(s) </w:t>
            </w:r>
          </w:p>
        </w:tc>
      </w:tr>
      <w:tr w:rsidR="001B4274">
        <w:tc>
          <w:tcPr>
            <w:tcW w:w="9468" w:type="dxa"/>
            <w:gridSpan w:val="2"/>
            <w:shd w:val="clear" w:color="auto" w:fill="C6D9F1" w:themeFill="text2" w:themeFillTint="33"/>
            <w:vAlign w:val="center"/>
          </w:tcPr>
          <w:p w:rsidR="001B4274" w:rsidRDefault="00486345">
            <w:pPr>
              <w:pStyle w:val="Text1"/>
              <w:spacing w:after="0"/>
              <w:ind w:left="0"/>
              <w:rPr>
                <w:noProof/>
                <w:sz w:val="20"/>
              </w:rPr>
            </w:pPr>
            <w:r>
              <w:rPr>
                <w:b/>
                <w:noProof/>
                <w:sz w:val="20"/>
              </w:rPr>
              <w:t>Measures towards a circular economy</w:t>
            </w:r>
          </w:p>
        </w:tc>
      </w:tr>
      <w:tr w:rsidR="001B4274" w:rsidRPr="00486345">
        <w:tc>
          <w:tcPr>
            <w:tcW w:w="7111" w:type="dxa"/>
            <w:shd w:val="clear" w:color="auto" w:fill="auto"/>
            <w:vAlign w:val="center"/>
          </w:tcPr>
          <w:p w:rsidR="001B4274" w:rsidRDefault="00486345">
            <w:pPr>
              <w:pStyle w:val="ListParagraph"/>
              <w:numPr>
                <w:ilvl w:val="0"/>
                <w:numId w:val="3"/>
              </w:numPr>
              <w:rPr>
                <w:noProof/>
                <w:sz w:val="20"/>
              </w:rPr>
            </w:pPr>
            <w:r>
              <w:rPr>
                <w:noProof/>
                <w:sz w:val="20"/>
              </w:rPr>
              <w:t>Strengthen the policy framework to speed up the transition towards the circular economy by all economic sectors, for instance for water and energy savings, waste reduction, the recycling of materials and/or the uptake of the secondary raw materials market.</w:t>
            </w:r>
            <w:r>
              <w:rPr>
                <w:noProof/>
                <w:sz w:val="20"/>
              </w:rPr>
              <w:t xml:space="preserve">  </w:t>
            </w:r>
          </w:p>
        </w:tc>
        <w:tc>
          <w:tcPr>
            <w:tcW w:w="2357" w:type="dxa"/>
            <w:shd w:val="clear" w:color="auto" w:fill="auto"/>
            <w:vAlign w:val="center"/>
          </w:tcPr>
          <w:p w:rsidR="001B4274" w:rsidRDefault="00486345">
            <w:pPr>
              <w:spacing w:after="120"/>
              <w:jc w:val="both"/>
              <w:rPr>
                <w:noProof/>
                <w:lang w:val="es-ES"/>
              </w:rPr>
            </w:pPr>
            <w:r>
              <w:rPr>
                <w:noProof/>
                <w:lang w:val="es-ES"/>
              </w:rPr>
              <w:t>AT, BG, CY, CZ, DE, EL, EE, ES, HR, HU, IE, LV, MT, PL, PT, RO, SK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Adopt circular economy principles that act as incentives for resource efficiency measures and increased recycling;</w:t>
            </w:r>
            <w:r>
              <w:rPr>
                <w:bCs/>
                <w:noProof/>
                <w:sz w:val="20"/>
              </w:rPr>
              <w:t xml:space="preserve"> eco-innovation performance</w:t>
            </w:r>
            <w:r>
              <w:rPr>
                <w:noProof/>
                <w:sz w:val="20"/>
              </w:rPr>
              <w:t>; and investments in green products and serv</w:t>
            </w:r>
            <w:r>
              <w:rPr>
                <w:noProof/>
                <w:sz w:val="20"/>
              </w:rPr>
              <w:t>ices.</w:t>
            </w:r>
          </w:p>
        </w:tc>
        <w:tc>
          <w:tcPr>
            <w:tcW w:w="2357" w:type="dxa"/>
            <w:shd w:val="clear" w:color="auto" w:fill="auto"/>
            <w:vAlign w:val="center"/>
          </w:tcPr>
          <w:p w:rsidR="001B4274" w:rsidRDefault="00486345">
            <w:pPr>
              <w:pStyle w:val="Text1"/>
              <w:ind w:left="0"/>
              <w:rPr>
                <w:noProof/>
                <w:sz w:val="20"/>
              </w:rPr>
            </w:pPr>
            <w:r>
              <w:rPr>
                <w:noProof/>
                <w:sz w:val="20"/>
              </w:rPr>
              <w:t>AT, CY, EL, HU, IT, MT, NL, RO, SK</w:t>
            </w:r>
          </w:p>
        </w:tc>
      </w:tr>
      <w:tr w:rsidR="001B4274">
        <w:tc>
          <w:tcPr>
            <w:tcW w:w="9468" w:type="dxa"/>
            <w:gridSpan w:val="2"/>
            <w:shd w:val="clear" w:color="auto" w:fill="C6D9F1" w:themeFill="text2" w:themeFillTint="33"/>
            <w:vAlign w:val="center"/>
          </w:tcPr>
          <w:p w:rsidR="001B4274" w:rsidRDefault="00486345">
            <w:pPr>
              <w:pStyle w:val="Text1"/>
              <w:spacing w:after="0"/>
              <w:ind w:left="0"/>
              <w:rPr>
                <w:b/>
                <w:noProof/>
                <w:sz w:val="20"/>
              </w:rPr>
            </w:pPr>
            <w:r>
              <w:rPr>
                <w:b/>
                <w:noProof/>
                <w:sz w:val="20"/>
              </w:rPr>
              <w:t xml:space="preserve">Waste management </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Introduce new policies, including economic instruments, to implement further the waste hierarchy, i.e. promote prevention, and make reuse and recycling more economically attractive; and/or </w:t>
            </w:r>
            <w:r>
              <w:rPr>
                <w:noProof/>
                <w:sz w:val="20"/>
              </w:rPr>
              <w:t>implement the policies which are already in place.</w:t>
            </w:r>
          </w:p>
        </w:tc>
        <w:tc>
          <w:tcPr>
            <w:tcW w:w="2357" w:type="dxa"/>
            <w:shd w:val="clear" w:color="auto" w:fill="auto"/>
            <w:vAlign w:val="center"/>
          </w:tcPr>
          <w:p w:rsidR="001B4274" w:rsidRPr="00486345" w:rsidRDefault="00486345">
            <w:pPr>
              <w:pStyle w:val="Text1"/>
              <w:ind w:left="0"/>
              <w:rPr>
                <w:noProof/>
                <w:sz w:val="20"/>
              </w:rPr>
            </w:pPr>
            <w:r w:rsidRPr="00486345">
              <w:rPr>
                <w:noProof/>
                <w:sz w:val="20"/>
              </w:rPr>
              <w:t>AT, BG, CY, DE, DK, EE, FI, IE, IT, LT, LU, LV, NL, PL, PT, RO, SE, SI, UK</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Improve the functioning of Extended Producer Responsibility Systems, in line with the general minimum requirements established in</w:t>
            </w:r>
            <w:r>
              <w:rPr>
                <w:noProof/>
                <w:sz w:val="20"/>
              </w:rPr>
              <w:t xml:space="preserve"> the Waste Framework Directive.</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AT, CY, CZ, EE, EL, ES, HR, HU, IT, LT, LV, MT, PL, RO, SI, SK, UK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Shift reusable and recyclable waste away from incineration by gradually phasing out subsidies for incineration or by introducing an incineration tax. Channe</w:t>
            </w:r>
            <w:r>
              <w:rPr>
                <w:noProof/>
                <w:sz w:val="20"/>
              </w:rPr>
              <w:t>l those revenues towards measures to improve waste management in line with the waste hierarchy.</w:t>
            </w:r>
          </w:p>
        </w:tc>
        <w:tc>
          <w:tcPr>
            <w:tcW w:w="2357" w:type="dxa"/>
            <w:shd w:val="clear" w:color="auto" w:fill="auto"/>
            <w:vAlign w:val="center"/>
          </w:tcPr>
          <w:p w:rsidR="001B4274" w:rsidRDefault="00486345">
            <w:pPr>
              <w:pStyle w:val="Text1"/>
              <w:ind w:left="0"/>
              <w:rPr>
                <w:noProof/>
                <w:sz w:val="20"/>
                <w:lang w:val="da-DK"/>
              </w:rPr>
            </w:pPr>
            <w:r>
              <w:rPr>
                <w:noProof/>
                <w:sz w:val="20"/>
                <w:lang w:val="da-DK"/>
              </w:rPr>
              <w:t>AT, BE, CZ, DE, DK, EE, FI, IE, LT, LU, NL, PL, PT, SE</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Introduce and/or gradually increase landfill taxes to phase out landfilling of recyclable and recoverabl</w:t>
            </w:r>
            <w:r>
              <w:rPr>
                <w:noProof/>
                <w:sz w:val="20"/>
              </w:rPr>
              <w:t>e waste. Harmonise regional landfill taxes. Channel the revenue towards measures to improve waste management in line with the waste hierarchy.</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CY, CZ, EL, ES, HR, HU, IT, LT, LV, MT, RO, SI, SK, UK</w:t>
            </w:r>
          </w:p>
        </w:tc>
      </w:tr>
      <w:tr w:rsidR="001B4274">
        <w:tc>
          <w:tcPr>
            <w:tcW w:w="7111" w:type="dxa"/>
            <w:shd w:val="clear" w:color="auto" w:fill="auto"/>
            <w:vAlign w:val="center"/>
          </w:tcPr>
          <w:p w:rsidR="001B4274" w:rsidRDefault="00486345">
            <w:pPr>
              <w:pStyle w:val="ListParagraph"/>
              <w:numPr>
                <w:ilvl w:val="0"/>
                <w:numId w:val="2"/>
              </w:numPr>
              <w:rPr>
                <w:noProof/>
                <w:sz w:val="20"/>
              </w:rPr>
            </w:pPr>
            <w:r>
              <w:rPr>
                <w:noProof/>
                <w:sz w:val="20"/>
              </w:rPr>
              <w:t xml:space="preserve">Focus on implementation of the the separate collection </w:t>
            </w:r>
            <w:r>
              <w:rPr>
                <w:noProof/>
                <w:sz w:val="20"/>
              </w:rPr>
              <w:t>obligation to increase recycling rates, including collection of bio-waste. Develop and implement minimum service standards and/or support programmes for municipalities.</w:t>
            </w:r>
          </w:p>
        </w:tc>
        <w:tc>
          <w:tcPr>
            <w:tcW w:w="2357" w:type="dxa"/>
            <w:shd w:val="clear" w:color="auto" w:fill="auto"/>
            <w:vAlign w:val="center"/>
          </w:tcPr>
          <w:p w:rsidR="001B4274" w:rsidRPr="00486345" w:rsidRDefault="00486345">
            <w:pPr>
              <w:spacing w:after="120"/>
              <w:jc w:val="both"/>
              <w:rPr>
                <w:noProof/>
              </w:rPr>
            </w:pPr>
            <w:r w:rsidRPr="00486345">
              <w:rPr>
                <w:noProof/>
              </w:rPr>
              <w:t>BG, CY, CZ, EE, EL, ES, FI, FR, HR, HU, IE, IT, LT, LV, MT, PL, PT, RO, SI, SK, UK</w:t>
            </w:r>
          </w:p>
        </w:tc>
      </w:tr>
      <w:tr w:rsidR="001B4274">
        <w:tc>
          <w:tcPr>
            <w:tcW w:w="7111" w:type="dxa"/>
            <w:shd w:val="clear" w:color="auto" w:fill="auto"/>
            <w:vAlign w:val="center"/>
          </w:tcPr>
          <w:p w:rsidR="001B4274" w:rsidRDefault="00486345">
            <w:pPr>
              <w:pStyle w:val="ListParagraph"/>
              <w:numPr>
                <w:ilvl w:val="0"/>
                <w:numId w:val="2"/>
              </w:numPr>
              <w:rPr>
                <w:noProof/>
                <w:sz w:val="20"/>
              </w:rPr>
            </w:pPr>
            <w:r>
              <w:rPr>
                <w:noProof/>
                <w:sz w:val="20"/>
              </w:rPr>
              <w:t>Com</w:t>
            </w:r>
            <w:r>
              <w:rPr>
                <w:noProof/>
                <w:sz w:val="20"/>
              </w:rPr>
              <w:t>plete and/or update the waste management plan(s) and/or waste prevention programme(s).</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ES, FR</w:t>
            </w:r>
          </w:p>
        </w:tc>
      </w:tr>
      <w:tr w:rsidR="001B4274" w:rsidRPr="00486345">
        <w:tc>
          <w:tcPr>
            <w:tcW w:w="7111" w:type="dxa"/>
            <w:shd w:val="clear" w:color="auto" w:fill="auto"/>
            <w:vAlign w:val="center"/>
          </w:tcPr>
          <w:p w:rsidR="001B4274" w:rsidRDefault="00486345">
            <w:pPr>
              <w:pStyle w:val="ListParagraph"/>
              <w:numPr>
                <w:ilvl w:val="0"/>
                <w:numId w:val="2"/>
              </w:numPr>
              <w:rPr>
                <w:noProof/>
                <w:sz w:val="20"/>
              </w:rPr>
            </w:pPr>
            <w:r>
              <w:rPr>
                <w:noProof/>
                <w:sz w:val="20"/>
              </w:rPr>
              <w:t xml:space="preserve">Close and rehabilitate non-compliant landfills as a matter of priority. </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BG, CY, EL, ES, IT, PL, RO, SI, SK</w:t>
            </w:r>
          </w:p>
        </w:tc>
      </w:tr>
      <w:tr w:rsidR="001B4274" w:rsidRPr="00486345">
        <w:tc>
          <w:tcPr>
            <w:tcW w:w="7111" w:type="dxa"/>
            <w:shd w:val="clear" w:color="auto" w:fill="auto"/>
            <w:vAlign w:val="center"/>
          </w:tcPr>
          <w:p w:rsidR="001B4274" w:rsidRDefault="00486345">
            <w:pPr>
              <w:pStyle w:val="ListParagraph"/>
              <w:numPr>
                <w:ilvl w:val="0"/>
                <w:numId w:val="2"/>
              </w:numPr>
              <w:rPr>
                <w:noProof/>
                <w:sz w:val="20"/>
              </w:rPr>
            </w:pPr>
            <w:r>
              <w:rPr>
                <w:noProof/>
                <w:sz w:val="20"/>
              </w:rPr>
              <w:t xml:space="preserve">Avoid building excessive infrastructure capacity to </w:t>
            </w:r>
            <w:r>
              <w:rPr>
                <w:noProof/>
                <w:sz w:val="20"/>
              </w:rPr>
              <w:t>treat residual waste, such as mechanical biological treatment plants, incinerators and landfills</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CZ, EL, LT, PL, SK</w:t>
            </w:r>
          </w:p>
        </w:tc>
      </w:tr>
      <w:tr w:rsidR="001B4274">
        <w:tc>
          <w:tcPr>
            <w:tcW w:w="7111" w:type="dxa"/>
            <w:shd w:val="clear" w:color="auto" w:fill="auto"/>
            <w:vAlign w:val="center"/>
          </w:tcPr>
          <w:p w:rsidR="001B4274" w:rsidRDefault="00486345">
            <w:pPr>
              <w:pStyle w:val="ListParagraph"/>
              <w:numPr>
                <w:ilvl w:val="0"/>
                <w:numId w:val="2"/>
              </w:numPr>
              <w:rPr>
                <w:noProof/>
                <w:sz w:val="20"/>
              </w:rPr>
            </w:pPr>
            <w:r>
              <w:rPr>
                <w:noProof/>
                <w:sz w:val="20"/>
              </w:rPr>
              <w:t>Ensure waste statistics are compatible with Eurostat guidelines. Provide timely waste management data and improve its consistency.</w:t>
            </w:r>
          </w:p>
        </w:tc>
        <w:tc>
          <w:tcPr>
            <w:tcW w:w="2357" w:type="dxa"/>
            <w:shd w:val="clear" w:color="auto" w:fill="auto"/>
            <w:vAlign w:val="center"/>
          </w:tcPr>
          <w:p w:rsidR="001B4274" w:rsidRDefault="00486345">
            <w:pPr>
              <w:pStyle w:val="Text1"/>
              <w:ind w:left="0"/>
              <w:rPr>
                <w:noProof/>
                <w:sz w:val="20"/>
              </w:rPr>
            </w:pPr>
            <w:r>
              <w:rPr>
                <w:noProof/>
                <w:sz w:val="20"/>
              </w:rPr>
              <w:t xml:space="preserve">CZ, IE, </w:t>
            </w:r>
            <w:r>
              <w:rPr>
                <w:noProof/>
                <w:sz w:val="20"/>
              </w:rPr>
              <w:t>SI</w:t>
            </w:r>
          </w:p>
        </w:tc>
      </w:tr>
      <w:tr w:rsidR="001B4274">
        <w:tc>
          <w:tcPr>
            <w:tcW w:w="9468" w:type="dxa"/>
            <w:gridSpan w:val="2"/>
            <w:shd w:val="clear" w:color="auto" w:fill="C6D9F1" w:themeFill="text2" w:themeFillTint="33"/>
            <w:vAlign w:val="center"/>
          </w:tcPr>
          <w:p w:rsidR="001B4274" w:rsidRDefault="00486345">
            <w:pPr>
              <w:pStyle w:val="Text1"/>
              <w:pageBreakBefore/>
              <w:spacing w:after="0"/>
              <w:ind w:left="0"/>
              <w:rPr>
                <w:b/>
                <w:noProof/>
                <w:sz w:val="20"/>
              </w:rPr>
            </w:pPr>
            <w:bookmarkStart w:id="2" w:name="_Toc433296160"/>
            <w:bookmarkStart w:id="3" w:name="_Toc439678149"/>
            <w:r>
              <w:rPr>
                <w:b/>
                <w:noProof/>
                <w:sz w:val="20"/>
              </w:rPr>
              <w:t>Nature and biodiversity</w:t>
            </w:r>
            <w:bookmarkEnd w:id="2"/>
            <w:bookmarkEnd w:id="3"/>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Complete the Natura 2000 site designation process, including in the marine part, and/or put in place clearly defined conservation objectives and the necessary conservation measures for all Natura 2000 sites, ideally in the </w:t>
            </w:r>
            <w:r>
              <w:rPr>
                <w:noProof/>
                <w:sz w:val="20"/>
              </w:rPr>
              <w:t>framework of site management plans or equivalent instruments.</w:t>
            </w:r>
          </w:p>
        </w:tc>
        <w:tc>
          <w:tcPr>
            <w:tcW w:w="2357" w:type="dxa"/>
            <w:shd w:val="clear" w:color="auto" w:fill="auto"/>
            <w:vAlign w:val="center"/>
          </w:tcPr>
          <w:p w:rsidR="001B4274" w:rsidRDefault="00486345">
            <w:pPr>
              <w:pStyle w:val="Text1"/>
              <w:ind w:left="0"/>
              <w:rPr>
                <w:noProof/>
                <w:sz w:val="20"/>
              </w:rPr>
            </w:pPr>
            <w:r>
              <w:rPr>
                <w:noProof/>
                <w:sz w:val="20"/>
              </w:rPr>
              <w:t>AT, BE, BG, CY, CZ, DE, DK, EE, EL, ES, FI, HR, HU, IE, IT, LT, LV, MT, NL, PL, PT, RO, SE, SI, SK, UK</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Ensure that Natura 2000 management plans are being effectively implemented with sufficient administrative capacity and financing. </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 xml:space="preserve">BG, EE, ES, EL, FR, HR, HU, IE, IT, LT, LU, MT, RO, SI, SK </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Develop and promote smart and streamlined implementation approac</w:t>
            </w:r>
            <w:r>
              <w:rPr>
                <w:noProof/>
                <w:sz w:val="20"/>
              </w:rPr>
              <w:t xml:space="preserve">hes, in particular for appropriate assessment procedures and species permitting procedures, ensuring the necessary knowledge and data availability and strengthen communication with stakeholders. </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BG, CY, EE, EL, HU, IT, LT, PT, RO, SI</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Ensure the appropria</w:t>
            </w:r>
            <w:r>
              <w:rPr>
                <w:noProof/>
                <w:sz w:val="20"/>
              </w:rPr>
              <w:t>te enforcement of hunting and/or trapping bans for protected bird species.</w:t>
            </w:r>
          </w:p>
        </w:tc>
        <w:tc>
          <w:tcPr>
            <w:tcW w:w="2357" w:type="dxa"/>
            <w:shd w:val="clear" w:color="auto" w:fill="auto"/>
            <w:vAlign w:val="center"/>
          </w:tcPr>
          <w:p w:rsidR="001B4274" w:rsidRDefault="00486345">
            <w:pPr>
              <w:pStyle w:val="Text1"/>
              <w:ind w:left="0"/>
              <w:rPr>
                <w:noProof/>
                <w:sz w:val="20"/>
              </w:rPr>
            </w:pPr>
            <w:r>
              <w:rPr>
                <w:noProof/>
                <w:sz w:val="20"/>
              </w:rPr>
              <w:t>CY, ES, IT, MT</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Better integrate biodiversity concerns into other policies (in particular in agriculture, but also in fisheries, urban and infrastructure planning and sustainable to</w:t>
            </w:r>
            <w:r>
              <w:rPr>
                <w:noProof/>
                <w:sz w:val="20"/>
              </w:rPr>
              <w:t>urism) and promote better communication between actors. Where relevant, avoid further habitat fragmentation and take measures to restore connectivity.</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CZ, DE, DK, EL, ES, FI, FR, HR, LU, NL, PT, SK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Improve the incentives for foresters and farmers to </w:t>
            </w:r>
            <w:r>
              <w:rPr>
                <w:noProof/>
                <w:sz w:val="20"/>
              </w:rPr>
              <w:t>better protect forest and grassland habitat. Ensure sustainable forest management and promote the efficient use of biomass.</w:t>
            </w:r>
          </w:p>
        </w:tc>
        <w:tc>
          <w:tcPr>
            <w:tcW w:w="2357" w:type="dxa"/>
            <w:shd w:val="clear" w:color="auto" w:fill="auto"/>
            <w:vAlign w:val="center"/>
          </w:tcPr>
          <w:p w:rsidR="001B4274" w:rsidRDefault="00486345">
            <w:pPr>
              <w:pStyle w:val="Text1"/>
              <w:ind w:left="0"/>
              <w:rPr>
                <w:noProof/>
                <w:sz w:val="20"/>
                <w:lang w:val="fr-BE"/>
              </w:rPr>
            </w:pPr>
            <w:r>
              <w:rPr>
                <w:noProof/>
                <w:sz w:val="20"/>
                <w:lang w:val="fr-BE"/>
              </w:rPr>
              <w:t>FI, LT, LV, PL, SE, SK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Continue to support the ongoing work on a sustainable partnership for biodiversity protection, sustainable d</w:t>
            </w:r>
            <w:r>
              <w:rPr>
                <w:noProof/>
                <w:sz w:val="20"/>
              </w:rPr>
              <w:t>evelopment and climate change adaptation and mitigation measures in some of the Outermost Regions and the Overseas Countries and Territories.</w:t>
            </w:r>
          </w:p>
        </w:tc>
        <w:tc>
          <w:tcPr>
            <w:tcW w:w="2357" w:type="dxa"/>
            <w:shd w:val="clear" w:color="auto" w:fill="auto"/>
            <w:vAlign w:val="center"/>
          </w:tcPr>
          <w:p w:rsidR="001B4274" w:rsidRDefault="00486345">
            <w:pPr>
              <w:pStyle w:val="Text1"/>
              <w:ind w:left="0"/>
              <w:rPr>
                <w:noProof/>
                <w:sz w:val="20"/>
              </w:rPr>
            </w:pPr>
            <w:r>
              <w:rPr>
                <w:noProof/>
                <w:sz w:val="20"/>
              </w:rPr>
              <w:t>FR, UK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Continue supporting the mapping and assessment of ecosystems and their services, evaluation and developmen</w:t>
            </w:r>
            <w:r>
              <w:rPr>
                <w:noProof/>
                <w:sz w:val="20"/>
              </w:rPr>
              <w:t>t of natural capital accounting systems.</w:t>
            </w:r>
          </w:p>
        </w:tc>
        <w:tc>
          <w:tcPr>
            <w:tcW w:w="2357" w:type="dxa"/>
            <w:shd w:val="clear" w:color="auto" w:fill="auto"/>
            <w:vAlign w:val="center"/>
          </w:tcPr>
          <w:p w:rsidR="001B4274" w:rsidRDefault="00486345">
            <w:pPr>
              <w:pStyle w:val="Text1"/>
              <w:ind w:left="0"/>
              <w:rPr>
                <w:noProof/>
                <w:sz w:val="20"/>
              </w:rPr>
            </w:pPr>
            <w:r>
              <w:rPr>
                <w:noProof/>
                <w:sz w:val="20"/>
              </w:rPr>
              <w:t>AT, BE, CZ, DK, EE, HU, PT, SE, SK</w:t>
            </w:r>
          </w:p>
        </w:tc>
      </w:tr>
      <w:tr w:rsidR="001B4274">
        <w:tc>
          <w:tcPr>
            <w:tcW w:w="9468" w:type="dxa"/>
            <w:gridSpan w:val="2"/>
            <w:shd w:val="clear" w:color="auto" w:fill="B8CCE4" w:themeFill="accent1" w:themeFillTint="66"/>
            <w:vAlign w:val="center"/>
          </w:tcPr>
          <w:p w:rsidR="001B4274" w:rsidRDefault="00486345">
            <w:pPr>
              <w:pStyle w:val="Text1"/>
              <w:spacing w:after="0"/>
              <w:ind w:left="0"/>
              <w:rPr>
                <w:b/>
                <w:noProof/>
                <w:sz w:val="20"/>
              </w:rPr>
            </w:pPr>
            <w:r>
              <w:rPr>
                <w:b/>
                <w:noProof/>
                <w:sz w:val="20"/>
              </w:rPr>
              <w:t>Invasive alien species</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Adopt national legislation to comply with obligations required by the IAS Regulation and notify the Commission in this regard. Provide adequate data. </w:t>
            </w:r>
          </w:p>
        </w:tc>
        <w:tc>
          <w:tcPr>
            <w:tcW w:w="2357" w:type="dxa"/>
            <w:shd w:val="clear" w:color="auto" w:fill="auto"/>
            <w:vAlign w:val="center"/>
          </w:tcPr>
          <w:p w:rsidR="001B4274" w:rsidRDefault="00486345">
            <w:pPr>
              <w:pStyle w:val="Text1"/>
              <w:ind w:left="0"/>
              <w:rPr>
                <w:noProof/>
                <w:sz w:val="20"/>
                <w:lang w:val="da-DK"/>
              </w:rPr>
            </w:pPr>
            <w:r>
              <w:rPr>
                <w:noProof/>
                <w:sz w:val="20"/>
                <w:lang w:val="da-DK"/>
              </w:rPr>
              <w:t xml:space="preserve">AT, </w:t>
            </w:r>
            <w:r>
              <w:rPr>
                <w:noProof/>
                <w:sz w:val="20"/>
                <w:lang w:val="da-DK"/>
              </w:rPr>
              <w:t>BE, CZ, EL, IE, PT, RO, SE, SK, UK</w:t>
            </w:r>
          </w:p>
        </w:tc>
      </w:tr>
      <w:tr w:rsidR="001B4274" w:rsidRPr="00486345">
        <w:trPr>
          <w:trHeight w:val="978"/>
        </w:trPr>
        <w:tc>
          <w:tcPr>
            <w:tcW w:w="7111" w:type="dxa"/>
            <w:shd w:val="clear" w:color="auto" w:fill="auto"/>
            <w:vAlign w:val="center"/>
          </w:tcPr>
          <w:p w:rsidR="001B4274" w:rsidRDefault="00486345">
            <w:pPr>
              <w:pStyle w:val="Text1"/>
              <w:numPr>
                <w:ilvl w:val="0"/>
                <w:numId w:val="2"/>
              </w:numPr>
              <w:rPr>
                <w:noProof/>
                <w:sz w:val="20"/>
              </w:rPr>
            </w:pPr>
            <w:r>
              <w:rPr>
                <w:noProof/>
                <w:sz w:val="20"/>
              </w:rPr>
              <w:t>Notify the list of invasive alien species and/or the planned eradication measures in the country. Introduce measures when they do not exist. Where applicable, investigate the apparent lack of data and seek ways of improv</w:t>
            </w:r>
            <w:r>
              <w:rPr>
                <w:noProof/>
                <w:sz w:val="20"/>
              </w:rPr>
              <w:t>ing the surveillance system.</w:t>
            </w:r>
          </w:p>
        </w:tc>
        <w:tc>
          <w:tcPr>
            <w:tcW w:w="2357" w:type="dxa"/>
            <w:shd w:val="clear" w:color="auto" w:fill="auto"/>
            <w:vAlign w:val="center"/>
          </w:tcPr>
          <w:p w:rsidR="001B4274" w:rsidRDefault="00486345">
            <w:pPr>
              <w:pStyle w:val="Text1"/>
              <w:spacing w:after="0"/>
              <w:ind w:left="0"/>
              <w:rPr>
                <w:noProof/>
                <w:sz w:val="20"/>
                <w:lang w:val="es-ES"/>
              </w:rPr>
            </w:pPr>
            <w:r>
              <w:rPr>
                <w:noProof/>
                <w:sz w:val="20"/>
                <w:lang w:val="es-ES"/>
              </w:rPr>
              <w:t>CZ, DE, DK, EL, ES, FR, HU, PT</w:t>
            </w:r>
          </w:p>
        </w:tc>
      </w:tr>
      <w:tr w:rsidR="001B4274">
        <w:trPr>
          <w:cantSplit/>
        </w:trPr>
        <w:tc>
          <w:tcPr>
            <w:tcW w:w="9468" w:type="dxa"/>
            <w:gridSpan w:val="2"/>
            <w:shd w:val="clear" w:color="auto" w:fill="C6D9F1" w:themeFill="text2" w:themeFillTint="33"/>
            <w:vAlign w:val="center"/>
          </w:tcPr>
          <w:p w:rsidR="001B4274" w:rsidRDefault="00486345">
            <w:pPr>
              <w:pStyle w:val="Text1"/>
              <w:keepLines/>
              <w:spacing w:after="0"/>
              <w:ind w:left="0"/>
              <w:rPr>
                <w:b/>
                <w:noProof/>
                <w:sz w:val="20"/>
              </w:rPr>
            </w:pPr>
            <w:r>
              <w:rPr>
                <w:b/>
                <w:noProof/>
                <w:sz w:val="20"/>
              </w:rPr>
              <w:t>Marine protection</w:t>
            </w:r>
            <w:r>
              <w:rPr>
                <w:rStyle w:val="FootnoteReference"/>
                <w:b/>
                <w:noProof/>
                <w:sz w:val="20"/>
              </w:rPr>
              <w:footnoteReference w:id="3"/>
            </w:r>
          </w:p>
        </w:tc>
      </w:tr>
      <w:tr w:rsidR="001B4274" w:rsidRPr="00486345">
        <w:tc>
          <w:tcPr>
            <w:tcW w:w="7111" w:type="dxa"/>
            <w:vAlign w:val="center"/>
          </w:tcPr>
          <w:p w:rsidR="001B4274" w:rsidRDefault="00486345">
            <w:pPr>
              <w:pStyle w:val="ListParagraph"/>
              <w:keepLines/>
              <w:widowControl w:val="0"/>
              <w:numPr>
                <w:ilvl w:val="0"/>
                <w:numId w:val="2"/>
              </w:numPr>
              <w:rPr>
                <w:noProof/>
                <w:sz w:val="20"/>
              </w:rPr>
            </w:pPr>
            <w:r>
              <w:rPr>
                <w:noProof/>
                <w:sz w:val="20"/>
              </w:rPr>
              <w:t>Ensure timely reporting of the different elements under the Marine Strategy Framework Directive to be part of future Commission assessments.</w:t>
            </w:r>
          </w:p>
        </w:tc>
        <w:tc>
          <w:tcPr>
            <w:tcW w:w="2357" w:type="dxa"/>
            <w:shd w:val="clear" w:color="auto" w:fill="auto"/>
            <w:vAlign w:val="center"/>
          </w:tcPr>
          <w:p w:rsidR="001B4274" w:rsidRDefault="00486345">
            <w:pPr>
              <w:pStyle w:val="Text1"/>
              <w:keepLines/>
              <w:ind w:left="0"/>
              <w:rPr>
                <w:noProof/>
                <w:sz w:val="20"/>
                <w:lang w:val="es-ES"/>
              </w:rPr>
            </w:pPr>
            <w:r>
              <w:rPr>
                <w:noProof/>
                <w:sz w:val="20"/>
                <w:lang w:val="es-ES"/>
              </w:rPr>
              <w:t>DK, EE, EL, HR, LT, RO, SI</w:t>
            </w:r>
          </w:p>
        </w:tc>
      </w:tr>
      <w:tr w:rsidR="001B4274">
        <w:trPr>
          <w:cantSplit/>
        </w:trPr>
        <w:tc>
          <w:tcPr>
            <w:tcW w:w="7111" w:type="dxa"/>
            <w:vAlign w:val="center"/>
          </w:tcPr>
          <w:p w:rsidR="001B4274" w:rsidRDefault="00486345">
            <w:pPr>
              <w:pStyle w:val="ListParagraph"/>
              <w:keepLines/>
              <w:widowControl w:val="0"/>
              <w:numPr>
                <w:ilvl w:val="0"/>
                <w:numId w:val="2"/>
              </w:numPr>
              <w:rPr>
                <w:noProof/>
                <w:sz w:val="20"/>
              </w:rPr>
            </w:pPr>
            <w:r>
              <w:rPr>
                <w:noProof/>
                <w:sz w:val="20"/>
              </w:rPr>
              <w:t>Define</w:t>
            </w:r>
            <w:r>
              <w:rPr>
                <w:noProof/>
                <w:sz w:val="20"/>
              </w:rPr>
              <w:t xml:space="preserve"> good environmental status (GES) and/or determine the timelines for achieving GES. Set targets when these do not exist.</w:t>
            </w:r>
          </w:p>
        </w:tc>
        <w:tc>
          <w:tcPr>
            <w:tcW w:w="2357" w:type="dxa"/>
            <w:shd w:val="clear" w:color="auto" w:fill="auto"/>
            <w:vAlign w:val="center"/>
          </w:tcPr>
          <w:p w:rsidR="001B4274" w:rsidRDefault="00486345">
            <w:pPr>
              <w:pStyle w:val="Text1"/>
              <w:keepLines/>
              <w:ind w:left="0"/>
              <w:rPr>
                <w:noProof/>
                <w:sz w:val="20"/>
                <w:lang w:val="fr-BE"/>
              </w:rPr>
            </w:pPr>
            <w:r>
              <w:rPr>
                <w:noProof/>
                <w:sz w:val="20"/>
                <w:lang w:val="fr-BE"/>
              </w:rPr>
              <w:t>BG, DE, ES, FI, IE, IT, LV, MT, NL, PL, PT, SE, UK</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Provide more information about measures to achieve GES, establish more measures with</w:t>
            </w:r>
            <w:r>
              <w:rPr>
                <w:noProof/>
                <w:sz w:val="20"/>
              </w:rPr>
              <w:t xml:space="preserve"> a direct impact on pressures and quantify the result in terms of expected reduction of pressure.</w:t>
            </w:r>
          </w:p>
        </w:tc>
        <w:tc>
          <w:tcPr>
            <w:tcW w:w="2357" w:type="dxa"/>
            <w:shd w:val="clear" w:color="auto" w:fill="auto"/>
            <w:vAlign w:val="center"/>
          </w:tcPr>
          <w:p w:rsidR="001B4274" w:rsidRDefault="00486345">
            <w:pPr>
              <w:pStyle w:val="Text1"/>
              <w:ind w:left="0"/>
              <w:rPr>
                <w:noProof/>
                <w:sz w:val="20"/>
              </w:rPr>
            </w:pPr>
            <w:r>
              <w:rPr>
                <w:noProof/>
                <w:sz w:val="20"/>
              </w:rPr>
              <w:t>BE, BG, CY, DE, ES, FR, IE, IT, LV, MT, NL, PL, PT, SE, UK</w:t>
            </w:r>
          </w:p>
        </w:tc>
      </w:tr>
      <w:tr w:rsidR="001B4274">
        <w:tc>
          <w:tcPr>
            <w:tcW w:w="7111" w:type="dxa"/>
            <w:vAlign w:val="center"/>
          </w:tcPr>
          <w:p w:rsidR="001B4274" w:rsidRDefault="00486345">
            <w:pPr>
              <w:pStyle w:val="ListParagraph"/>
              <w:numPr>
                <w:ilvl w:val="0"/>
                <w:numId w:val="2"/>
              </w:numPr>
              <w:rPr>
                <w:noProof/>
                <w:sz w:val="20"/>
              </w:rPr>
            </w:pPr>
            <w:r>
              <w:rPr>
                <w:noProof/>
                <w:sz w:val="20"/>
              </w:rPr>
              <w:t>Ensure regional cooperation with Member States sharing the same marine (sub)region to address pred</w:t>
            </w:r>
            <w:r>
              <w:rPr>
                <w:noProof/>
                <w:sz w:val="20"/>
              </w:rPr>
              <w:t>ominant pressures.</w:t>
            </w:r>
          </w:p>
        </w:tc>
        <w:tc>
          <w:tcPr>
            <w:tcW w:w="2357" w:type="dxa"/>
            <w:shd w:val="clear" w:color="auto" w:fill="auto"/>
            <w:vAlign w:val="center"/>
          </w:tcPr>
          <w:p w:rsidR="001B4274" w:rsidRDefault="00486345">
            <w:pPr>
              <w:spacing w:after="120"/>
              <w:jc w:val="both"/>
              <w:rPr>
                <w:noProof/>
                <w:lang w:val="es-ES"/>
              </w:rPr>
            </w:pPr>
            <w:r>
              <w:rPr>
                <w:noProof/>
                <w:lang w:val="es-ES"/>
              </w:rPr>
              <w:t>BE, BG, CY, DE, ES, FI, IE, IT, LV, PT, SE, UK</w:t>
            </w:r>
          </w:p>
        </w:tc>
      </w:tr>
    </w:tbl>
    <w:p w:rsidR="001B4274" w:rsidRDefault="001B4274">
      <w:pPr>
        <w:pStyle w:val="ListParagraph"/>
        <w:widowControl w:val="0"/>
        <w:numPr>
          <w:ilvl w:val="0"/>
          <w:numId w:val="2"/>
        </w:numPr>
        <w:rPr>
          <w:noProof/>
          <w:sz w:val="20"/>
        </w:rPr>
        <w:sectPr w:rsidR="001B4274">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851" w:left="1417" w:header="709" w:footer="709" w:gutter="0"/>
          <w:pgNumType w:start="1"/>
          <w:cols w:space="720"/>
          <w:titlePg/>
          <w:docGrid w:linePitch="360"/>
        </w:sectPr>
      </w:pPr>
    </w:p>
    <w:tbl>
      <w:tblPr>
        <w:tblStyle w:val="TableGrid"/>
        <w:tblW w:w="9468" w:type="dxa"/>
        <w:tblLayout w:type="fixed"/>
        <w:tblLook w:val="04A0" w:firstRow="1" w:lastRow="0" w:firstColumn="1" w:lastColumn="0" w:noHBand="0" w:noVBand="1"/>
      </w:tblPr>
      <w:tblGrid>
        <w:gridCol w:w="7111"/>
        <w:gridCol w:w="2357"/>
      </w:tblGrid>
      <w:tr w:rsidR="001B4274">
        <w:tc>
          <w:tcPr>
            <w:tcW w:w="7111" w:type="dxa"/>
            <w:vAlign w:val="center"/>
          </w:tcPr>
          <w:p w:rsidR="001B4274" w:rsidRDefault="00486345">
            <w:pPr>
              <w:pStyle w:val="ListParagraph"/>
              <w:widowControl w:val="0"/>
              <w:numPr>
                <w:ilvl w:val="0"/>
                <w:numId w:val="2"/>
              </w:numPr>
              <w:rPr>
                <w:noProof/>
                <w:sz w:val="20"/>
              </w:rPr>
            </w:pPr>
            <w:r>
              <w:rPr>
                <w:noProof/>
                <w:sz w:val="20"/>
              </w:rPr>
              <w:t xml:space="preserve">Ensure that the Member State's monitoring programme is implemented without delay, and </w:t>
            </w:r>
            <w:r>
              <w:rPr>
                <w:rFonts w:eastAsia="Times New Roman"/>
                <w:noProof/>
                <w:sz w:val="20"/>
              </w:rPr>
              <w:t>is reported</w:t>
            </w:r>
            <w:r>
              <w:rPr>
                <w:rFonts w:eastAsia="Times New Roman"/>
                <w:noProof/>
                <w:sz w:val="20"/>
              </w:rPr>
              <w:t xml:space="preserve"> by the set deadline</w:t>
            </w:r>
          </w:p>
        </w:tc>
        <w:tc>
          <w:tcPr>
            <w:tcW w:w="2357" w:type="dxa"/>
            <w:shd w:val="clear" w:color="auto" w:fill="auto"/>
            <w:vAlign w:val="center"/>
          </w:tcPr>
          <w:p w:rsidR="001B4274" w:rsidRDefault="00486345">
            <w:pPr>
              <w:pStyle w:val="Text1"/>
              <w:ind w:left="0"/>
              <w:rPr>
                <w:noProof/>
                <w:sz w:val="20"/>
              </w:rPr>
            </w:pPr>
            <w:r>
              <w:rPr>
                <w:noProof/>
                <w:sz w:val="20"/>
              </w:rPr>
              <w:t>BG, CY, ES, FR, IE, IT, LV, MT, PL, UK</w:t>
            </w:r>
          </w:p>
        </w:tc>
      </w:tr>
      <w:tr w:rsidR="001B4274">
        <w:tc>
          <w:tcPr>
            <w:tcW w:w="9468" w:type="dxa"/>
            <w:gridSpan w:val="2"/>
            <w:shd w:val="clear" w:color="auto" w:fill="C6D9F1" w:themeFill="text2" w:themeFillTint="33"/>
            <w:vAlign w:val="center"/>
          </w:tcPr>
          <w:p w:rsidR="001B4274" w:rsidRDefault="00486345">
            <w:pPr>
              <w:pStyle w:val="Text1"/>
              <w:spacing w:after="0"/>
              <w:ind w:left="0"/>
              <w:rPr>
                <w:noProof/>
                <w:sz w:val="20"/>
              </w:rPr>
            </w:pPr>
            <w:bookmarkStart w:id="4" w:name="_Toc433296166"/>
            <w:bookmarkStart w:id="5" w:name="_Toc439678155"/>
            <w:r>
              <w:rPr>
                <w:b/>
                <w:noProof/>
                <w:sz w:val="20"/>
              </w:rPr>
              <w:t>Air quality</w:t>
            </w:r>
            <w:bookmarkEnd w:id="4"/>
            <w:bookmarkEnd w:id="5"/>
          </w:p>
        </w:tc>
      </w:tr>
      <w:tr w:rsidR="001B4274">
        <w:tc>
          <w:tcPr>
            <w:tcW w:w="7111" w:type="dxa"/>
            <w:tcBorders>
              <w:right w:val="single" w:sz="4" w:space="0" w:color="auto"/>
            </w:tcBorders>
            <w:vAlign w:val="center"/>
          </w:tcPr>
          <w:p w:rsidR="001B4274" w:rsidRDefault="00486345">
            <w:pPr>
              <w:pStyle w:val="ListParagraph"/>
              <w:numPr>
                <w:ilvl w:val="0"/>
                <w:numId w:val="2"/>
              </w:numPr>
              <w:rPr>
                <w:rFonts w:eastAsia="Times New Roman"/>
                <w:noProof/>
                <w:sz w:val="20"/>
              </w:rPr>
            </w:pPr>
            <w:r>
              <w:rPr>
                <w:rFonts w:eastAsia="Times New Roman"/>
                <w:noProof/>
                <w:sz w:val="20"/>
              </w:rPr>
              <w:t>In developing adequate national air pollution control programmes (NAPCP), take actions towards reducing the main emission sources; and meet all air quality standards.</w:t>
            </w:r>
          </w:p>
        </w:tc>
        <w:tc>
          <w:tcPr>
            <w:tcW w:w="2357" w:type="dxa"/>
            <w:tcBorders>
              <w:left w:val="single" w:sz="4" w:space="0" w:color="auto"/>
            </w:tcBorders>
            <w:shd w:val="clear" w:color="auto" w:fill="auto"/>
            <w:vAlign w:val="center"/>
          </w:tcPr>
          <w:p w:rsidR="001B4274" w:rsidRDefault="00486345">
            <w:pPr>
              <w:spacing w:after="120"/>
              <w:ind w:left="720" w:hanging="720"/>
              <w:jc w:val="both"/>
              <w:rPr>
                <w:noProof/>
              </w:rPr>
            </w:pPr>
            <w:r>
              <w:rPr>
                <w:noProof/>
              </w:rPr>
              <w:t xml:space="preserve">All Member </w:t>
            </w:r>
            <w:r>
              <w:rPr>
                <w:noProof/>
              </w:rPr>
              <w:t>States</w:t>
            </w:r>
          </w:p>
        </w:tc>
      </w:tr>
      <w:tr w:rsidR="001B4274" w:rsidRPr="00486345">
        <w:tc>
          <w:tcPr>
            <w:tcW w:w="7111" w:type="dxa"/>
            <w:tcBorders>
              <w:right w:val="single" w:sz="4" w:space="0" w:color="auto"/>
            </w:tcBorders>
            <w:vAlign w:val="center"/>
          </w:tcPr>
          <w:p w:rsidR="001B4274" w:rsidRDefault="00486345">
            <w:pPr>
              <w:pStyle w:val="ListParagraph"/>
              <w:numPr>
                <w:ilvl w:val="0"/>
                <w:numId w:val="2"/>
              </w:numPr>
              <w:rPr>
                <w:rFonts w:eastAsia="Times New Roman"/>
                <w:noProof/>
                <w:sz w:val="20"/>
              </w:rPr>
            </w:pPr>
            <w:r>
              <w:rPr>
                <w:noProof/>
                <w:sz w:val="20"/>
              </w:rPr>
              <w:t>Accelerate reductions in emissions and concentrations of particulate matter (PM</w:t>
            </w:r>
            <w:r>
              <w:rPr>
                <w:noProof/>
                <w:sz w:val="20"/>
                <w:vertAlign w:val="subscript"/>
              </w:rPr>
              <w:t>2.5</w:t>
            </w:r>
            <w:r>
              <w:rPr>
                <w:noProof/>
                <w:sz w:val="20"/>
              </w:rPr>
              <w:t xml:space="preserve"> and PM</w:t>
            </w:r>
            <w:r>
              <w:rPr>
                <w:noProof/>
                <w:sz w:val="20"/>
                <w:vertAlign w:val="subscript"/>
              </w:rPr>
              <w:t>10</w:t>
            </w:r>
            <w:r>
              <w:rPr>
                <w:noProof/>
                <w:sz w:val="20"/>
              </w:rPr>
              <w:t xml:space="preserve">) by reducing emissions from energy production and from heat generation using solid fuels. Promote efficient and clean district heating and energy efficient </w:t>
            </w:r>
            <w:r>
              <w:rPr>
                <w:noProof/>
                <w:sz w:val="20"/>
              </w:rPr>
              <w:t>built environment.</w:t>
            </w:r>
          </w:p>
        </w:tc>
        <w:tc>
          <w:tcPr>
            <w:tcW w:w="2357" w:type="dxa"/>
            <w:tcBorders>
              <w:left w:val="single" w:sz="4" w:space="0" w:color="auto"/>
            </w:tcBorders>
            <w:shd w:val="clear" w:color="auto" w:fill="auto"/>
            <w:vAlign w:val="center"/>
          </w:tcPr>
          <w:p w:rsidR="001B4274" w:rsidRDefault="00486345">
            <w:pPr>
              <w:spacing w:after="120"/>
              <w:jc w:val="both"/>
              <w:rPr>
                <w:noProof/>
                <w:lang w:val="es-ES"/>
              </w:rPr>
            </w:pPr>
            <w:r>
              <w:rPr>
                <w:noProof/>
                <w:lang w:val="es-ES"/>
              </w:rPr>
              <w:t xml:space="preserve">AT, BG, CZ, DE, EL, ES, FR, HR, HU, IT, PL, RO, SE, SI, SK </w:t>
            </w:r>
          </w:p>
        </w:tc>
      </w:tr>
      <w:tr w:rsidR="001B4274" w:rsidRPr="00486345">
        <w:tc>
          <w:tcPr>
            <w:tcW w:w="7111" w:type="dxa"/>
            <w:tcBorders>
              <w:right w:val="single" w:sz="4" w:space="0" w:color="auto"/>
            </w:tcBorders>
            <w:vAlign w:val="center"/>
          </w:tcPr>
          <w:p w:rsidR="001B4274" w:rsidRDefault="00486345">
            <w:pPr>
              <w:pStyle w:val="ListParagraph"/>
              <w:numPr>
                <w:ilvl w:val="0"/>
                <w:numId w:val="2"/>
              </w:numPr>
              <w:rPr>
                <w:noProof/>
                <w:sz w:val="20"/>
              </w:rPr>
            </w:pPr>
            <w:r>
              <w:rPr>
                <w:noProof/>
                <w:sz w:val="20"/>
              </w:rPr>
              <w:t>Reduce the use of coal for domestic heating in order to limit emissions of air pollutants, for instance by building on the ‘Coal regions in transition’ initiative.</w:t>
            </w:r>
          </w:p>
        </w:tc>
        <w:tc>
          <w:tcPr>
            <w:tcW w:w="2357" w:type="dxa"/>
            <w:tcBorders>
              <w:left w:val="single" w:sz="4" w:space="0" w:color="auto"/>
            </w:tcBorders>
            <w:shd w:val="clear" w:color="auto" w:fill="auto"/>
            <w:vAlign w:val="center"/>
          </w:tcPr>
          <w:p w:rsidR="001B4274" w:rsidRDefault="00486345">
            <w:pPr>
              <w:spacing w:after="120"/>
              <w:jc w:val="both"/>
              <w:rPr>
                <w:noProof/>
                <w:lang w:val="es-ES"/>
              </w:rPr>
            </w:pPr>
            <w:r>
              <w:rPr>
                <w:noProof/>
                <w:lang w:val="es-ES"/>
              </w:rPr>
              <w:t xml:space="preserve">BG, CZ, EL, </w:t>
            </w:r>
            <w:r>
              <w:rPr>
                <w:noProof/>
                <w:lang w:val="es-ES"/>
              </w:rPr>
              <w:t>HU, PL, RO, SK</w:t>
            </w:r>
          </w:p>
        </w:tc>
      </w:tr>
      <w:tr w:rsidR="001B4274">
        <w:tc>
          <w:tcPr>
            <w:tcW w:w="7111" w:type="dxa"/>
            <w:vAlign w:val="center"/>
          </w:tcPr>
          <w:p w:rsidR="001B4274" w:rsidRDefault="00486345">
            <w:pPr>
              <w:pStyle w:val="ListParagraph"/>
              <w:numPr>
                <w:ilvl w:val="0"/>
                <w:numId w:val="2"/>
              </w:numPr>
              <w:rPr>
                <w:noProof/>
                <w:sz w:val="20"/>
              </w:rPr>
            </w:pPr>
            <w:r>
              <w:rPr>
                <w:noProof/>
                <w:sz w:val="20"/>
              </w:rPr>
              <w:t>Speed up reductions in emissions of nitrogen oxide (NO</w:t>
            </w:r>
            <w:r>
              <w:rPr>
                <w:noProof/>
                <w:sz w:val="20"/>
                <w:vertAlign w:val="subscript"/>
              </w:rPr>
              <w:t>x</w:t>
            </w:r>
            <w:r>
              <w:rPr>
                <w:noProof/>
                <w:sz w:val="20"/>
              </w:rPr>
              <w:t>) and nitrogen dioxide (NO</w:t>
            </w:r>
            <w:r>
              <w:rPr>
                <w:noProof/>
                <w:sz w:val="20"/>
                <w:vertAlign w:val="subscript"/>
              </w:rPr>
              <w:t>2</w:t>
            </w:r>
            <w:r>
              <w:rPr>
                <w:noProof/>
                <w:sz w:val="20"/>
              </w:rPr>
              <w:t>) concentrations by further reducing transport emissions, in particular in urban areas. This may also require proportionate and targeted restrictions on vehic</w:t>
            </w:r>
            <w:r>
              <w:rPr>
                <w:noProof/>
                <w:sz w:val="20"/>
              </w:rPr>
              <w:t>le access to urban areas and/or fiscal incentives.</w:t>
            </w:r>
          </w:p>
        </w:tc>
        <w:tc>
          <w:tcPr>
            <w:tcW w:w="2357" w:type="dxa"/>
            <w:shd w:val="clear" w:color="auto" w:fill="auto"/>
            <w:vAlign w:val="center"/>
          </w:tcPr>
          <w:p w:rsidR="001B4274" w:rsidRDefault="00486345">
            <w:pPr>
              <w:spacing w:after="120"/>
              <w:jc w:val="both"/>
              <w:rPr>
                <w:noProof/>
              </w:rPr>
            </w:pPr>
            <w:r>
              <w:rPr>
                <w:noProof/>
              </w:rPr>
              <w:t xml:space="preserve">AT, BE, BG, CZ, DE, </w:t>
            </w:r>
            <w:r>
              <w:rPr>
                <w:iCs/>
                <w:noProof/>
              </w:rPr>
              <w:t>EL,</w:t>
            </w:r>
            <w:r>
              <w:rPr>
                <w:noProof/>
              </w:rPr>
              <w:t xml:space="preserve"> ES, FR, HR, HU, IE, IT, LU, NL, PL, PT, RO, </w:t>
            </w:r>
            <w:r>
              <w:rPr>
                <w:iCs/>
                <w:noProof/>
              </w:rPr>
              <w:t xml:space="preserve">UK </w:t>
            </w:r>
          </w:p>
        </w:tc>
      </w:tr>
      <w:tr w:rsidR="001B4274">
        <w:tc>
          <w:tcPr>
            <w:tcW w:w="7111" w:type="dxa"/>
            <w:vAlign w:val="center"/>
          </w:tcPr>
          <w:p w:rsidR="001B4274" w:rsidRDefault="00486345">
            <w:pPr>
              <w:pStyle w:val="ListParagraph"/>
              <w:numPr>
                <w:ilvl w:val="0"/>
                <w:numId w:val="2"/>
              </w:numPr>
              <w:rPr>
                <w:noProof/>
                <w:sz w:val="20"/>
              </w:rPr>
            </w:pPr>
            <w:r>
              <w:rPr>
                <w:noProof/>
                <w:sz w:val="20"/>
              </w:rPr>
              <w:t>Reduce ammonia (NH</w:t>
            </w:r>
            <w:r>
              <w:rPr>
                <w:noProof/>
                <w:sz w:val="20"/>
                <w:vertAlign w:val="subscript"/>
              </w:rPr>
              <w:t>3</w:t>
            </w:r>
            <w:r>
              <w:rPr>
                <w:noProof/>
                <w:sz w:val="20"/>
              </w:rPr>
              <w:t>) emissions, for example by introducing or expanding the use of low-emission agricultural techniques.</w:t>
            </w:r>
          </w:p>
        </w:tc>
        <w:tc>
          <w:tcPr>
            <w:tcW w:w="2357" w:type="dxa"/>
            <w:shd w:val="clear" w:color="auto" w:fill="auto"/>
            <w:vAlign w:val="center"/>
          </w:tcPr>
          <w:p w:rsidR="001B4274" w:rsidRDefault="00486345">
            <w:pPr>
              <w:spacing w:after="120"/>
              <w:jc w:val="both"/>
              <w:rPr>
                <w:noProof/>
                <w:lang w:val="da-DK"/>
              </w:rPr>
            </w:pPr>
            <w:r>
              <w:rPr>
                <w:noProof/>
                <w:lang w:val="da-DK"/>
              </w:rPr>
              <w:t>AT, DE, DK,</w:t>
            </w:r>
            <w:r>
              <w:rPr>
                <w:noProof/>
                <w:lang w:val="da-DK"/>
              </w:rPr>
              <w:t xml:space="preserve"> ES, HR, IE </w:t>
            </w:r>
          </w:p>
        </w:tc>
      </w:tr>
      <w:tr w:rsidR="001B4274">
        <w:tc>
          <w:tcPr>
            <w:tcW w:w="7111" w:type="dxa"/>
            <w:vAlign w:val="center"/>
          </w:tcPr>
          <w:p w:rsidR="001B4274" w:rsidRDefault="00486345">
            <w:pPr>
              <w:pStyle w:val="ListParagraph"/>
              <w:numPr>
                <w:ilvl w:val="0"/>
                <w:numId w:val="2"/>
              </w:numPr>
              <w:tabs>
                <w:tab w:val="left" w:pos="1392"/>
              </w:tabs>
              <w:rPr>
                <w:noProof/>
                <w:sz w:val="20"/>
              </w:rPr>
            </w:pPr>
            <w:r>
              <w:rPr>
                <w:noProof/>
                <w:sz w:val="20"/>
              </w:rPr>
              <w:t>Reduce emissions of Non-methane volatile organic compounds, NMVOCs (where applicable, to comply with currently applicable national emission ceilings).</w:t>
            </w:r>
          </w:p>
        </w:tc>
        <w:tc>
          <w:tcPr>
            <w:tcW w:w="2357" w:type="dxa"/>
            <w:shd w:val="clear" w:color="auto" w:fill="auto"/>
            <w:vAlign w:val="center"/>
          </w:tcPr>
          <w:p w:rsidR="001B4274" w:rsidRDefault="00486345">
            <w:pPr>
              <w:spacing w:after="120"/>
              <w:jc w:val="both"/>
              <w:rPr>
                <w:noProof/>
              </w:rPr>
            </w:pPr>
            <w:r>
              <w:rPr>
                <w:noProof/>
              </w:rPr>
              <w:t>DE, HU, IE, LU</w:t>
            </w:r>
          </w:p>
        </w:tc>
      </w:tr>
      <w:tr w:rsidR="001B4274">
        <w:tc>
          <w:tcPr>
            <w:tcW w:w="7111" w:type="dxa"/>
            <w:vAlign w:val="center"/>
          </w:tcPr>
          <w:p w:rsidR="001B4274" w:rsidRDefault="00486345">
            <w:pPr>
              <w:pStyle w:val="ListParagraph"/>
              <w:keepNext/>
              <w:keepLines/>
              <w:numPr>
                <w:ilvl w:val="0"/>
                <w:numId w:val="2"/>
              </w:numPr>
              <w:tabs>
                <w:tab w:val="left" w:pos="4744"/>
              </w:tabs>
              <w:rPr>
                <w:noProof/>
                <w:sz w:val="20"/>
              </w:rPr>
            </w:pPr>
            <w:r>
              <w:rPr>
                <w:noProof/>
                <w:sz w:val="20"/>
              </w:rPr>
              <w:t xml:space="preserve">Upgrade and improve the air quality monitoring network, and ensure timely </w:t>
            </w:r>
            <w:r>
              <w:rPr>
                <w:noProof/>
                <w:sz w:val="20"/>
              </w:rPr>
              <w:t>reporting of air quality data.</w:t>
            </w:r>
          </w:p>
        </w:tc>
        <w:tc>
          <w:tcPr>
            <w:tcW w:w="2357" w:type="dxa"/>
            <w:shd w:val="clear" w:color="auto" w:fill="auto"/>
            <w:vAlign w:val="center"/>
          </w:tcPr>
          <w:p w:rsidR="001B4274" w:rsidRDefault="00486345">
            <w:pPr>
              <w:keepNext/>
              <w:keepLines/>
              <w:spacing w:after="120"/>
              <w:jc w:val="both"/>
              <w:rPr>
                <w:noProof/>
              </w:rPr>
            </w:pPr>
            <w:r>
              <w:rPr>
                <w:noProof/>
              </w:rPr>
              <w:t>BE, BG, EL, IT, LU, RO, SI, SK</w:t>
            </w:r>
          </w:p>
        </w:tc>
      </w:tr>
      <w:tr w:rsidR="001B4274">
        <w:tc>
          <w:tcPr>
            <w:tcW w:w="9468" w:type="dxa"/>
            <w:gridSpan w:val="2"/>
            <w:shd w:val="clear" w:color="auto" w:fill="C6D9F1" w:themeFill="text2" w:themeFillTint="33"/>
            <w:vAlign w:val="center"/>
          </w:tcPr>
          <w:p w:rsidR="001B4274" w:rsidRDefault="00486345">
            <w:pPr>
              <w:pStyle w:val="Text1"/>
              <w:keepLines/>
              <w:spacing w:after="0"/>
              <w:ind w:left="0"/>
              <w:rPr>
                <w:noProof/>
                <w:lang w:val="es-ES"/>
              </w:rPr>
            </w:pPr>
            <w:r>
              <w:rPr>
                <w:b/>
                <w:noProof/>
                <w:sz w:val="20"/>
              </w:rPr>
              <w:t>Industrial emissions</w:t>
            </w:r>
          </w:p>
        </w:tc>
      </w:tr>
      <w:tr w:rsidR="001B4274">
        <w:tc>
          <w:tcPr>
            <w:tcW w:w="7111" w:type="dxa"/>
            <w:shd w:val="clear" w:color="auto" w:fill="auto"/>
            <w:vAlign w:val="center"/>
          </w:tcPr>
          <w:p w:rsidR="001B4274" w:rsidRDefault="00486345">
            <w:pPr>
              <w:pStyle w:val="ListParagraph"/>
              <w:keepLines/>
              <w:numPr>
                <w:ilvl w:val="0"/>
                <w:numId w:val="2"/>
              </w:numPr>
              <w:tabs>
                <w:tab w:val="left" w:pos="4744"/>
              </w:tabs>
              <w:rPr>
                <w:noProof/>
                <w:sz w:val="20"/>
              </w:rPr>
            </w:pPr>
            <w:r>
              <w:rPr>
                <w:noProof/>
                <w:sz w:val="20"/>
              </w:rPr>
              <w:t xml:space="preserve">Review permits and strengthen control and/or enforcement to comply with newly adopted BAT conclusions. </w:t>
            </w:r>
          </w:p>
        </w:tc>
        <w:tc>
          <w:tcPr>
            <w:tcW w:w="2357" w:type="dxa"/>
            <w:shd w:val="clear" w:color="auto" w:fill="auto"/>
            <w:vAlign w:val="center"/>
          </w:tcPr>
          <w:p w:rsidR="001B4274" w:rsidRDefault="00486345">
            <w:pPr>
              <w:keepLines/>
              <w:spacing w:after="120"/>
              <w:jc w:val="both"/>
              <w:rPr>
                <w:noProof/>
              </w:rPr>
            </w:pPr>
            <w:r>
              <w:rPr>
                <w:noProof/>
              </w:rPr>
              <w:t>All Member States</w:t>
            </w:r>
          </w:p>
        </w:tc>
      </w:tr>
      <w:tr w:rsidR="001B4274" w:rsidRPr="00486345">
        <w:trPr>
          <w:trHeight w:val="902"/>
        </w:trPr>
        <w:tc>
          <w:tcPr>
            <w:tcW w:w="7111" w:type="dxa"/>
            <w:shd w:val="clear" w:color="auto" w:fill="auto"/>
            <w:vAlign w:val="center"/>
          </w:tcPr>
          <w:p w:rsidR="001B4274" w:rsidRDefault="00486345">
            <w:pPr>
              <w:pStyle w:val="ListParagraph"/>
              <w:keepLines/>
              <w:numPr>
                <w:ilvl w:val="0"/>
                <w:numId w:val="2"/>
              </w:numPr>
              <w:tabs>
                <w:tab w:val="left" w:pos="4744"/>
              </w:tabs>
              <w:rPr>
                <w:noProof/>
                <w:sz w:val="20"/>
              </w:rPr>
            </w:pPr>
            <w:r>
              <w:rPr>
                <w:noProof/>
                <w:sz w:val="20"/>
              </w:rPr>
              <w:t xml:space="preserve">Address air and/or water pollution linked to </w:t>
            </w:r>
            <w:r>
              <w:rPr>
                <w:noProof/>
                <w:sz w:val="20"/>
              </w:rPr>
              <w:t>emissions from installations in one or more of the following sectors: power, intensive rearing of poultry and pigs, waste treatment activities, iron and steel plants.</w:t>
            </w:r>
          </w:p>
        </w:tc>
        <w:tc>
          <w:tcPr>
            <w:tcW w:w="2357" w:type="dxa"/>
            <w:shd w:val="clear" w:color="auto" w:fill="auto"/>
            <w:vAlign w:val="center"/>
          </w:tcPr>
          <w:p w:rsidR="001B4274" w:rsidRDefault="00486345">
            <w:pPr>
              <w:keepLines/>
              <w:spacing w:after="120"/>
              <w:jc w:val="both"/>
              <w:rPr>
                <w:noProof/>
                <w:lang w:val="es-ES"/>
              </w:rPr>
            </w:pPr>
            <w:r>
              <w:rPr>
                <w:noProof/>
                <w:lang w:val="es-ES"/>
              </w:rPr>
              <w:t>BG, CY, CZ, DE, EE, EL, ES, FI, HR, HU, IE, IT, LU, LV, NL, PT, RO, SK, UK</w:t>
            </w:r>
          </w:p>
        </w:tc>
      </w:tr>
      <w:tr w:rsidR="001B4274">
        <w:trPr>
          <w:cantSplit/>
        </w:trPr>
        <w:tc>
          <w:tcPr>
            <w:tcW w:w="9468" w:type="dxa"/>
            <w:gridSpan w:val="2"/>
            <w:shd w:val="clear" w:color="auto" w:fill="C6D9F1" w:themeFill="text2" w:themeFillTint="33"/>
            <w:vAlign w:val="center"/>
          </w:tcPr>
          <w:p w:rsidR="001B4274" w:rsidRDefault="00486345">
            <w:pPr>
              <w:pStyle w:val="Text1"/>
              <w:spacing w:after="0"/>
              <w:ind w:left="0"/>
              <w:rPr>
                <w:noProof/>
                <w:sz w:val="20"/>
              </w:rPr>
            </w:pPr>
            <w:r>
              <w:rPr>
                <w:b/>
                <w:noProof/>
                <w:sz w:val="20"/>
              </w:rPr>
              <w:t>Noise</w:t>
            </w:r>
          </w:p>
        </w:tc>
      </w:tr>
      <w:tr w:rsidR="001B4274" w:rsidRPr="00486345">
        <w:trPr>
          <w:cantSplit/>
          <w:trHeight w:val="402"/>
        </w:trPr>
        <w:tc>
          <w:tcPr>
            <w:tcW w:w="7111" w:type="dxa"/>
            <w:vAlign w:val="center"/>
          </w:tcPr>
          <w:p w:rsidR="001B4274" w:rsidRDefault="00486345">
            <w:pPr>
              <w:pStyle w:val="Text1"/>
              <w:numPr>
                <w:ilvl w:val="0"/>
                <w:numId w:val="2"/>
              </w:numPr>
              <w:rPr>
                <w:noProof/>
                <w:sz w:val="20"/>
              </w:rPr>
            </w:pPr>
            <w:r>
              <w:rPr>
                <w:noProof/>
                <w:sz w:val="20"/>
              </w:rPr>
              <w:t>Complete missing noise action plans.</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BE, CY, CZ, DE, EL, ES, FR, IT, PL, PT, RO, SE, SK</w:t>
            </w:r>
          </w:p>
        </w:tc>
      </w:tr>
      <w:tr w:rsidR="001B4274">
        <w:trPr>
          <w:cantSplit/>
          <w:trHeight w:val="287"/>
        </w:trPr>
        <w:tc>
          <w:tcPr>
            <w:tcW w:w="7111" w:type="dxa"/>
            <w:vAlign w:val="center"/>
          </w:tcPr>
          <w:p w:rsidR="001B4274" w:rsidRDefault="00486345">
            <w:pPr>
              <w:pStyle w:val="Text1"/>
              <w:numPr>
                <w:ilvl w:val="0"/>
                <w:numId w:val="2"/>
              </w:numPr>
              <w:rPr>
                <w:noProof/>
                <w:sz w:val="20"/>
              </w:rPr>
            </w:pPr>
            <w:r>
              <w:rPr>
                <w:noProof/>
                <w:sz w:val="20"/>
              </w:rPr>
              <w:t>Complete missing noise maps.</w:t>
            </w:r>
          </w:p>
        </w:tc>
        <w:tc>
          <w:tcPr>
            <w:tcW w:w="2357" w:type="dxa"/>
            <w:shd w:val="clear" w:color="auto" w:fill="auto"/>
            <w:vAlign w:val="center"/>
          </w:tcPr>
          <w:p w:rsidR="001B4274" w:rsidRDefault="00486345">
            <w:pPr>
              <w:pStyle w:val="Text1"/>
              <w:ind w:left="0"/>
              <w:rPr>
                <w:noProof/>
                <w:sz w:val="20"/>
              </w:rPr>
            </w:pPr>
            <w:r>
              <w:rPr>
                <w:noProof/>
                <w:sz w:val="20"/>
              </w:rPr>
              <w:t>BE, EL, ES, IT, PT, RO, SK</w:t>
            </w:r>
          </w:p>
        </w:tc>
      </w:tr>
      <w:tr w:rsidR="001B4274">
        <w:tc>
          <w:tcPr>
            <w:tcW w:w="9468" w:type="dxa"/>
            <w:gridSpan w:val="2"/>
            <w:shd w:val="clear" w:color="auto" w:fill="C6D9F1" w:themeFill="text2" w:themeFillTint="33"/>
            <w:vAlign w:val="center"/>
          </w:tcPr>
          <w:p w:rsidR="001B4274" w:rsidRDefault="00486345">
            <w:pPr>
              <w:pStyle w:val="Text1"/>
              <w:spacing w:after="0"/>
              <w:ind w:left="0"/>
              <w:rPr>
                <w:b/>
                <w:noProof/>
                <w:sz w:val="20"/>
              </w:rPr>
            </w:pPr>
            <w:r>
              <w:rPr>
                <w:b/>
                <w:noProof/>
                <w:sz w:val="20"/>
              </w:rPr>
              <w:t xml:space="preserve">Water quality and management </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Improve monitoring and assessment of all relevant quality elements in all water categories in accordance with the Water Framework Directive. </w:t>
            </w:r>
          </w:p>
        </w:tc>
        <w:tc>
          <w:tcPr>
            <w:tcW w:w="2357" w:type="dxa"/>
            <w:shd w:val="clear" w:color="auto" w:fill="auto"/>
            <w:vAlign w:val="center"/>
          </w:tcPr>
          <w:p w:rsidR="001B4274" w:rsidRPr="00486345" w:rsidRDefault="00486345">
            <w:pPr>
              <w:pStyle w:val="Text1"/>
              <w:ind w:left="0"/>
              <w:rPr>
                <w:noProof/>
                <w:sz w:val="20"/>
              </w:rPr>
            </w:pPr>
            <w:r w:rsidRPr="00486345">
              <w:rPr>
                <w:noProof/>
                <w:sz w:val="20"/>
              </w:rPr>
              <w:t>BG, CY, CZ, DE,DK, EE, FI, HR, HU, LV, MT, PL, PT, RO, SE, SI, UK</w:t>
            </w:r>
          </w:p>
        </w:tc>
      </w:tr>
      <w:tr w:rsidR="001B4274" w:rsidRPr="00486345">
        <w:tc>
          <w:tcPr>
            <w:tcW w:w="7111" w:type="dxa"/>
            <w:vAlign w:val="center"/>
          </w:tcPr>
          <w:p w:rsidR="001B4274" w:rsidRDefault="00486345">
            <w:pPr>
              <w:pStyle w:val="Text1"/>
              <w:numPr>
                <w:ilvl w:val="0"/>
                <w:numId w:val="2"/>
              </w:numPr>
              <w:rPr>
                <w:noProof/>
                <w:sz w:val="20"/>
              </w:rPr>
            </w:pPr>
            <w:r>
              <w:rPr>
                <w:noProof/>
                <w:sz w:val="20"/>
              </w:rPr>
              <w:t xml:space="preserve">Ensure timely adoption and/or reporting of the </w:t>
            </w:r>
            <w:r>
              <w:rPr>
                <w:noProof/>
                <w:sz w:val="20"/>
              </w:rPr>
              <w:t>river basin management plans in accordance with the Water Framework Directive.</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AT, ES, EL, IE, LT</w:t>
            </w:r>
          </w:p>
        </w:tc>
      </w:tr>
      <w:tr w:rsidR="001B4274">
        <w:tc>
          <w:tcPr>
            <w:tcW w:w="7111" w:type="dxa"/>
            <w:vAlign w:val="center"/>
          </w:tcPr>
          <w:p w:rsidR="001B4274" w:rsidRDefault="00486345">
            <w:pPr>
              <w:pStyle w:val="Text1"/>
              <w:numPr>
                <w:ilvl w:val="0"/>
                <w:numId w:val="2"/>
              </w:numPr>
              <w:rPr>
                <w:noProof/>
                <w:sz w:val="20"/>
              </w:rPr>
            </w:pPr>
            <w:r>
              <w:rPr>
                <w:noProof/>
                <w:sz w:val="20"/>
              </w:rPr>
              <w:t>Ensure timely adoption of the flood risk management plans in accordance with the Floods Directive.</w:t>
            </w:r>
          </w:p>
        </w:tc>
        <w:tc>
          <w:tcPr>
            <w:tcW w:w="2357" w:type="dxa"/>
            <w:shd w:val="clear" w:color="auto" w:fill="auto"/>
            <w:vAlign w:val="center"/>
          </w:tcPr>
          <w:p w:rsidR="001B4274" w:rsidRDefault="00486345">
            <w:pPr>
              <w:pStyle w:val="Text1"/>
              <w:ind w:left="0"/>
              <w:rPr>
                <w:noProof/>
                <w:sz w:val="20"/>
                <w:lang w:val="es-ES"/>
              </w:rPr>
            </w:pPr>
            <w:r>
              <w:rPr>
                <w:noProof/>
                <w:sz w:val="20"/>
              </w:rPr>
              <w:t>ES, EL, IE</w:t>
            </w:r>
          </w:p>
        </w:tc>
      </w:tr>
      <w:tr w:rsidR="001B4274">
        <w:tc>
          <w:tcPr>
            <w:tcW w:w="7111" w:type="dxa"/>
            <w:vAlign w:val="center"/>
          </w:tcPr>
          <w:p w:rsidR="001B4274" w:rsidRDefault="00486345">
            <w:pPr>
              <w:pStyle w:val="Text1"/>
              <w:numPr>
                <w:ilvl w:val="0"/>
                <w:numId w:val="2"/>
              </w:numPr>
              <w:rPr>
                <w:noProof/>
                <w:sz w:val="20"/>
              </w:rPr>
            </w:pPr>
            <w:r>
              <w:rPr>
                <w:noProof/>
                <w:sz w:val="20"/>
              </w:rPr>
              <w:t xml:space="preserve">Ensure that water pollution from agriculture, among other sectors, is effectively addressed under the Nitrates and/or Water Framework Directives. </w:t>
            </w:r>
          </w:p>
        </w:tc>
        <w:tc>
          <w:tcPr>
            <w:tcW w:w="2357" w:type="dxa"/>
            <w:shd w:val="clear" w:color="auto" w:fill="auto"/>
            <w:vAlign w:val="center"/>
          </w:tcPr>
          <w:p w:rsidR="001B4274" w:rsidRDefault="00486345">
            <w:pPr>
              <w:pStyle w:val="Text1"/>
              <w:ind w:left="0"/>
              <w:rPr>
                <w:noProof/>
                <w:sz w:val="20"/>
              </w:rPr>
            </w:pPr>
            <w:r>
              <w:rPr>
                <w:noProof/>
                <w:sz w:val="20"/>
              </w:rPr>
              <w:t xml:space="preserve">AT, BE, CY, CZ, DE, DK, EE, EL, ES, FI, FR, IT, LT, MT, NL, PL, PT, SE, SI, SK, UK </w:t>
            </w:r>
          </w:p>
        </w:tc>
      </w:tr>
      <w:tr w:rsidR="001B4274">
        <w:tc>
          <w:tcPr>
            <w:tcW w:w="7111" w:type="dxa"/>
            <w:vAlign w:val="center"/>
          </w:tcPr>
          <w:p w:rsidR="001B4274" w:rsidRDefault="00486345">
            <w:pPr>
              <w:pStyle w:val="Text1"/>
              <w:numPr>
                <w:ilvl w:val="0"/>
                <w:numId w:val="2"/>
              </w:numPr>
              <w:rPr>
                <w:noProof/>
                <w:sz w:val="20"/>
              </w:rPr>
            </w:pPr>
            <w:r>
              <w:rPr>
                <w:noProof/>
                <w:sz w:val="20"/>
              </w:rPr>
              <w:t>Take further measures to</w:t>
            </w:r>
            <w:r>
              <w:rPr>
                <w:noProof/>
                <w:sz w:val="20"/>
              </w:rPr>
              <w:t xml:space="preserve"> address chemical pollution (developing a more substance-specific approach/ensure the programmes of measures is based on reliable assessment of the pressures).</w:t>
            </w:r>
          </w:p>
        </w:tc>
        <w:tc>
          <w:tcPr>
            <w:tcW w:w="2357" w:type="dxa"/>
            <w:shd w:val="clear" w:color="auto" w:fill="auto"/>
            <w:vAlign w:val="center"/>
          </w:tcPr>
          <w:p w:rsidR="001B4274" w:rsidRDefault="00486345">
            <w:pPr>
              <w:pStyle w:val="Text1"/>
              <w:ind w:left="0"/>
              <w:rPr>
                <w:noProof/>
                <w:sz w:val="20"/>
              </w:rPr>
            </w:pPr>
            <w:r>
              <w:rPr>
                <w:noProof/>
                <w:sz w:val="20"/>
              </w:rPr>
              <w:t>BE, NL</w:t>
            </w:r>
          </w:p>
        </w:tc>
      </w:tr>
      <w:tr w:rsidR="001B4274">
        <w:trPr>
          <w:trHeight w:val="761"/>
        </w:trPr>
        <w:tc>
          <w:tcPr>
            <w:tcW w:w="7111" w:type="dxa"/>
            <w:shd w:val="clear" w:color="auto" w:fill="auto"/>
            <w:vAlign w:val="center"/>
          </w:tcPr>
          <w:p w:rsidR="001B4274" w:rsidRDefault="00486345">
            <w:pPr>
              <w:pStyle w:val="Text1"/>
              <w:numPr>
                <w:ilvl w:val="0"/>
                <w:numId w:val="2"/>
              </w:numPr>
              <w:rPr>
                <w:noProof/>
                <w:sz w:val="20"/>
              </w:rPr>
            </w:pPr>
            <w:r>
              <w:rPr>
                <w:noProof/>
                <w:sz w:val="20"/>
              </w:rPr>
              <w:t>Take further measures to ensure good quantitative status/ecological flows in acordance w</w:t>
            </w:r>
            <w:r>
              <w:rPr>
                <w:noProof/>
                <w:sz w:val="20"/>
              </w:rPr>
              <w:t>ith the Water Framework Directive (incl. ensuring abstractions are subject to effective permits, metering and controls).</w:t>
            </w:r>
          </w:p>
        </w:tc>
        <w:tc>
          <w:tcPr>
            <w:tcW w:w="2357" w:type="dxa"/>
            <w:shd w:val="clear" w:color="auto" w:fill="auto"/>
            <w:vAlign w:val="center"/>
          </w:tcPr>
          <w:p w:rsidR="001B4274" w:rsidRDefault="00486345">
            <w:pPr>
              <w:pStyle w:val="Text1"/>
              <w:ind w:left="0"/>
              <w:rPr>
                <w:noProof/>
                <w:sz w:val="20"/>
              </w:rPr>
            </w:pPr>
            <w:r>
              <w:rPr>
                <w:noProof/>
                <w:sz w:val="20"/>
              </w:rPr>
              <w:t xml:space="preserve">CY, ES, HU, IT, MT, PL, PT </w:t>
            </w:r>
          </w:p>
        </w:tc>
      </w:tr>
      <w:tr w:rsidR="001B4274">
        <w:trPr>
          <w:trHeight w:val="360"/>
        </w:trPr>
        <w:tc>
          <w:tcPr>
            <w:tcW w:w="7111" w:type="dxa"/>
            <w:shd w:val="clear" w:color="auto" w:fill="auto"/>
            <w:vAlign w:val="center"/>
          </w:tcPr>
          <w:p w:rsidR="001B4274" w:rsidRDefault="00486345">
            <w:pPr>
              <w:pStyle w:val="Text1"/>
              <w:numPr>
                <w:ilvl w:val="0"/>
                <w:numId w:val="2"/>
              </w:numPr>
              <w:rPr>
                <w:noProof/>
                <w:sz w:val="20"/>
              </w:rPr>
            </w:pPr>
            <w:r>
              <w:rPr>
                <w:noProof/>
                <w:sz w:val="20"/>
              </w:rPr>
              <w:t>Take steps in order to ensure the implementation of measures to address hydromorphological pressures.</w:t>
            </w:r>
          </w:p>
        </w:tc>
        <w:tc>
          <w:tcPr>
            <w:tcW w:w="2357" w:type="dxa"/>
            <w:shd w:val="clear" w:color="auto" w:fill="auto"/>
            <w:vAlign w:val="center"/>
          </w:tcPr>
          <w:p w:rsidR="001B4274" w:rsidRDefault="00486345">
            <w:pPr>
              <w:pStyle w:val="Text1"/>
              <w:ind w:left="0"/>
              <w:rPr>
                <w:noProof/>
                <w:sz w:val="20"/>
              </w:rPr>
            </w:pPr>
            <w:r>
              <w:rPr>
                <w:noProof/>
                <w:sz w:val="20"/>
              </w:rPr>
              <w:t>SI</w:t>
            </w:r>
          </w:p>
        </w:tc>
      </w:tr>
      <w:tr w:rsidR="001B4274">
        <w:trPr>
          <w:trHeight w:val="180"/>
        </w:trPr>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harmonise different regional approaches, in particular for the definition of the significance of pressures in relation to the Water Framework Directive. </w:t>
            </w:r>
          </w:p>
        </w:tc>
        <w:tc>
          <w:tcPr>
            <w:tcW w:w="2357" w:type="dxa"/>
            <w:shd w:val="clear" w:color="auto" w:fill="auto"/>
            <w:vAlign w:val="center"/>
          </w:tcPr>
          <w:p w:rsidR="001B4274" w:rsidRDefault="00486345">
            <w:pPr>
              <w:pStyle w:val="Text1"/>
              <w:ind w:left="0"/>
              <w:rPr>
                <w:noProof/>
                <w:sz w:val="20"/>
              </w:rPr>
            </w:pPr>
            <w:r>
              <w:rPr>
                <w:noProof/>
                <w:sz w:val="20"/>
              </w:rPr>
              <w:t>IT</w:t>
            </w:r>
          </w:p>
        </w:tc>
      </w:tr>
      <w:tr w:rsidR="001B4274">
        <w:trPr>
          <w:trHeight w:val="662"/>
        </w:trPr>
        <w:tc>
          <w:tcPr>
            <w:tcW w:w="7111" w:type="dxa"/>
            <w:shd w:val="clear" w:color="auto" w:fill="auto"/>
            <w:vAlign w:val="center"/>
          </w:tcPr>
          <w:p w:rsidR="001B4274" w:rsidRDefault="00486345">
            <w:pPr>
              <w:pStyle w:val="Text1"/>
              <w:numPr>
                <w:ilvl w:val="0"/>
                <w:numId w:val="2"/>
              </w:numPr>
              <w:rPr>
                <w:noProof/>
                <w:sz w:val="20"/>
              </w:rPr>
            </w:pPr>
            <w:r>
              <w:rPr>
                <w:noProof/>
                <w:sz w:val="20"/>
              </w:rPr>
              <w:t>Ensure that projects, which potentially can affect the status of water bodies, are t</w:t>
            </w:r>
            <w:r>
              <w:rPr>
                <w:noProof/>
                <w:sz w:val="20"/>
              </w:rPr>
              <w:t xml:space="preserve">horoughly assessed and justified in line with the requirements the Water Framework Directive (Article 4(7)). </w:t>
            </w:r>
          </w:p>
        </w:tc>
        <w:tc>
          <w:tcPr>
            <w:tcW w:w="2357" w:type="dxa"/>
            <w:shd w:val="clear" w:color="auto" w:fill="auto"/>
            <w:vAlign w:val="center"/>
          </w:tcPr>
          <w:p w:rsidR="001B4274" w:rsidRDefault="00486345">
            <w:pPr>
              <w:pStyle w:val="Text1"/>
              <w:ind w:left="0"/>
              <w:rPr>
                <w:noProof/>
                <w:sz w:val="20"/>
                <w:lang w:val="fr-BE"/>
              </w:rPr>
            </w:pPr>
            <w:r>
              <w:rPr>
                <w:noProof/>
                <w:sz w:val="20"/>
                <w:lang w:val="fr-BE"/>
              </w:rPr>
              <w:t>BG, LU, PL, PT, RO, SE, SK</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reinforce the aspect of public participation and the active involvement of stakeholders (river basin </w:t>
            </w:r>
            <w:r>
              <w:rPr>
                <w:noProof/>
                <w:sz w:val="20"/>
              </w:rPr>
              <w:t>management plans/flood risk management plans).</w:t>
            </w:r>
          </w:p>
        </w:tc>
        <w:tc>
          <w:tcPr>
            <w:tcW w:w="2357" w:type="dxa"/>
            <w:shd w:val="clear" w:color="auto" w:fill="auto"/>
            <w:vAlign w:val="center"/>
          </w:tcPr>
          <w:p w:rsidR="001B4274" w:rsidRDefault="00486345">
            <w:pPr>
              <w:pStyle w:val="Text1"/>
              <w:ind w:left="0"/>
              <w:rPr>
                <w:noProof/>
                <w:sz w:val="20"/>
                <w:lang w:val="es-ES"/>
              </w:rPr>
            </w:pPr>
            <w:r>
              <w:rPr>
                <w:noProof/>
                <w:sz w:val="20"/>
              </w:rPr>
              <w:t>NL, SI, SK, UK</w:t>
            </w:r>
          </w:p>
        </w:tc>
      </w:tr>
      <w:tr w:rsidR="001B4274" w:rsidRPr="00486345">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clarify the method for prioritising measures, including the use of cost/benefit analysis in relation to the flood risk management plans. </w:t>
            </w:r>
          </w:p>
        </w:tc>
        <w:tc>
          <w:tcPr>
            <w:tcW w:w="2357" w:type="dxa"/>
            <w:shd w:val="clear" w:color="auto" w:fill="auto"/>
            <w:vAlign w:val="center"/>
          </w:tcPr>
          <w:p w:rsidR="001B4274" w:rsidRPr="00486345" w:rsidRDefault="00486345">
            <w:pPr>
              <w:pStyle w:val="Text1"/>
              <w:ind w:left="0"/>
              <w:rPr>
                <w:noProof/>
                <w:sz w:val="20"/>
                <w:lang w:val="es-ES_tradnl"/>
              </w:rPr>
            </w:pPr>
            <w:r w:rsidRPr="00486345">
              <w:rPr>
                <w:noProof/>
                <w:sz w:val="20"/>
                <w:lang w:val="es-ES_tradnl"/>
              </w:rPr>
              <w:t xml:space="preserve">AT, BE, BG, CZ, DE, EE, </w:t>
            </w:r>
            <w:r w:rsidRPr="00486345">
              <w:rPr>
                <w:noProof/>
                <w:sz w:val="20"/>
                <w:lang w:val="es-ES_tradnl"/>
              </w:rPr>
              <w:t>ES, HR, HU, LU, L</w:t>
            </w:r>
            <w:r w:rsidRPr="00486345">
              <w:rPr>
                <w:noProof/>
                <w:sz w:val="20"/>
                <w:lang w:val="es-ES_tradnl"/>
              </w:rPr>
              <w:t>V, MT</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systematically consider implementing nature-based solutions to support the reduction of flood risks. </w:t>
            </w:r>
          </w:p>
        </w:tc>
        <w:tc>
          <w:tcPr>
            <w:tcW w:w="2357" w:type="dxa"/>
            <w:shd w:val="clear" w:color="auto" w:fill="auto"/>
            <w:vAlign w:val="center"/>
          </w:tcPr>
          <w:p w:rsidR="001B4274" w:rsidRDefault="00486345">
            <w:pPr>
              <w:pStyle w:val="Text1"/>
              <w:ind w:left="0"/>
              <w:rPr>
                <w:noProof/>
                <w:sz w:val="20"/>
              </w:rPr>
            </w:pPr>
            <w:r>
              <w:rPr>
                <w:noProof/>
                <w:sz w:val="20"/>
              </w:rPr>
              <w:t>CY</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reinforce climate change considerations in the flood risk management plans including coordination with the national climate change adaptation strategy. </w:t>
            </w:r>
            <w:r>
              <w:rPr>
                <w:rFonts w:eastAsiaTheme="minorEastAsia"/>
                <w:noProof/>
                <w:szCs w:val="24"/>
                <w:lang w:eastAsia="ar-SA"/>
              </w:rPr>
              <w:t xml:space="preserve"> </w:t>
            </w:r>
          </w:p>
        </w:tc>
        <w:tc>
          <w:tcPr>
            <w:tcW w:w="2357" w:type="dxa"/>
            <w:shd w:val="clear" w:color="auto" w:fill="auto"/>
            <w:vAlign w:val="center"/>
          </w:tcPr>
          <w:p w:rsidR="001B4274" w:rsidRDefault="00486345">
            <w:pPr>
              <w:pStyle w:val="Text1"/>
              <w:ind w:left="0"/>
              <w:rPr>
                <w:noProof/>
                <w:sz w:val="20"/>
              </w:rPr>
            </w:pPr>
            <w:r>
              <w:rPr>
                <w:noProof/>
                <w:sz w:val="20"/>
              </w:rPr>
              <w:t xml:space="preserve">FI, IT, LV </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improve the integration of the flood risk management cycle’s </w:t>
            </w:r>
            <w:r>
              <w:rPr>
                <w:noProof/>
                <w:sz w:val="20"/>
              </w:rPr>
              <w:t>successive steps into the flood risk management plan.</w:t>
            </w:r>
          </w:p>
        </w:tc>
        <w:tc>
          <w:tcPr>
            <w:tcW w:w="2357" w:type="dxa"/>
            <w:shd w:val="clear" w:color="auto" w:fill="auto"/>
            <w:vAlign w:val="center"/>
          </w:tcPr>
          <w:p w:rsidR="001B4274" w:rsidRDefault="00486345">
            <w:pPr>
              <w:pStyle w:val="Text1"/>
              <w:ind w:left="0"/>
              <w:rPr>
                <w:noProof/>
                <w:sz w:val="20"/>
                <w:lang w:val="da-DK"/>
              </w:rPr>
            </w:pPr>
            <w:r>
              <w:rPr>
                <w:noProof/>
                <w:sz w:val="20"/>
                <w:lang w:val="da-DK"/>
              </w:rPr>
              <w:t>DK, FR, PL, PT, RO</w:t>
            </w:r>
          </w:p>
        </w:tc>
      </w:tr>
      <w:tr w:rsidR="001B4274">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reinforce coordination between flood risk management plans and the river basin management plans. </w:t>
            </w:r>
          </w:p>
        </w:tc>
        <w:tc>
          <w:tcPr>
            <w:tcW w:w="2357" w:type="dxa"/>
            <w:shd w:val="clear" w:color="auto" w:fill="auto"/>
            <w:vAlign w:val="center"/>
          </w:tcPr>
          <w:p w:rsidR="001B4274" w:rsidRDefault="00486345">
            <w:pPr>
              <w:pStyle w:val="Text1"/>
              <w:ind w:left="0"/>
              <w:rPr>
                <w:noProof/>
                <w:sz w:val="20"/>
              </w:rPr>
            </w:pPr>
            <w:r>
              <w:rPr>
                <w:noProof/>
                <w:sz w:val="20"/>
              </w:rPr>
              <w:t>SE</w:t>
            </w:r>
          </w:p>
        </w:tc>
      </w:tr>
      <w:tr w:rsidR="001B4274">
        <w:trPr>
          <w:trHeight w:val="180"/>
        </w:trPr>
        <w:tc>
          <w:tcPr>
            <w:tcW w:w="7111" w:type="dxa"/>
            <w:shd w:val="clear" w:color="auto" w:fill="auto"/>
            <w:vAlign w:val="center"/>
          </w:tcPr>
          <w:p w:rsidR="001B4274" w:rsidRDefault="00486345">
            <w:pPr>
              <w:pStyle w:val="Text1"/>
              <w:numPr>
                <w:ilvl w:val="0"/>
                <w:numId w:val="2"/>
              </w:numPr>
              <w:rPr>
                <w:noProof/>
                <w:sz w:val="20"/>
              </w:rPr>
            </w:pPr>
            <w:r>
              <w:rPr>
                <w:noProof/>
                <w:sz w:val="20"/>
              </w:rPr>
              <w:t xml:space="preserve">Take steps to clarify the legal status of the flood risk </w:t>
            </w:r>
            <w:r>
              <w:rPr>
                <w:noProof/>
                <w:sz w:val="20"/>
              </w:rPr>
              <w:t>management plan.</w:t>
            </w:r>
          </w:p>
        </w:tc>
        <w:tc>
          <w:tcPr>
            <w:tcW w:w="2357" w:type="dxa"/>
            <w:shd w:val="clear" w:color="auto" w:fill="auto"/>
            <w:vAlign w:val="center"/>
          </w:tcPr>
          <w:p w:rsidR="001B4274" w:rsidRDefault="00486345">
            <w:pPr>
              <w:pStyle w:val="Text1"/>
              <w:ind w:left="0"/>
              <w:rPr>
                <w:noProof/>
                <w:sz w:val="20"/>
              </w:rPr>
            </w:pPr>
            <w:r>
              <w:rPr>
                <w:noProof/>
                <w:sz w:val="20"/>
              </w:rPr>
              <w:t>LT</w:t>
            </w:r>
          </w:p>
        </w:tc>
      </w:tr>
      <w:tr w:rsidR="001B4274">
        <w:trPr>
          <w:trHeight w:val="180"/>
        </w:trPr>
        <w:tc>
          <w:tcPr>
            <w:tcW w:w="7111" w:type="dxa"/>
            <w:shd w:val="clear" w:color="auto" w:fill="auto"/>
            <w:vAlign w:val="center"/>
          </w:tcPr>
          <w:p w:rsidR="001B4274" w:rsidRDefault="00486345">
            <w:pPr>
              <w:pStyle w:val="Text1"/>
              <w:numPr>
                <w:ilvl w:val="0"/>
                <w:numId w:val="2"/>
              </w:numPr>
              <w:rPr>
                <w:noProof/>
                <w:sz w:val="20"/>
              </w:rPr>
            </w:pPr>
            <w:r>
              <w:rPr>
                <w:noProof/>
                <w:sz w:val="20"/>
              </w:rPr>
              <w:t>Urgently complete implementation of the Urban Waste Water Treatment (UWWT) Directive for all agglomerations. Continue to prioritise the investments for UWWT plants, including through an efficient use of EU funds where available.</w:t>
            </w:r>
          </w:p>
        </w:tc>
        <w:tc>
          <w:tcPr>
            <w:tcW w:w="2357" w:type="dxa"/>
            <w:shd w:val="clear" w:color="auto" w:fill="auto"/>
            <w:vAlign w:val="center"/>
          </w:tcPr>
          <w:p w:rsidR="001B4274" w:rsidRPr="00486345" w:rsidRDefault="00486345">
            <w:pPr>
              <w:pStyle w:val="Text1"/>
              <w:ind w:left="0"/>
              <w:rPr>
                <w:noProof/>
                <w:sz w:val="20"/>
              </w:rPr>
            </w:pPr>
            <w:r w:rsidRPr="00486345">
              <w:rPr>
                <w:noProof/>
                <w:sz w:val="20"/>
              </w:rPr>
              <w:t>BG, CY</w:t>
            </w:r>
            <w:r w:rsidRPr="00486345">
              <w:rPr>
                <w:noProof/>
                <w:sz w:val="20"/>
              </w:rPr>
              <w:t>, EL, ES, FR, HR, HU, IE, IT, LT, LU, LV, MT, PL, PT, RO, SI, SK</w:t>
            </w:r>
          </w:p>
        </w:tc>
      </w:tr>
      <w:tr w:rsidR="001B4274">
        <w:trPr>
          <w:cantSplit/>
        </w:trPr>
        <w:tc>
          <w:tcPr>
            <w:tcW w:w="9468" w:type="dxa"/>
            <w:gridSpan w:val="2"/>
            <w:shd w:val="clear" w:color="auto" w:fill="C6D9F1" w:themeFill="text2" w:themeFillTint="33"/>
            <w:vAlign w:val="center"/>
          </w:tcPr>
          <w:p w:rsidR="001B4274" w:rsidRDefault="00486345">
            <w:pPr>
              <w:pStyle w:val="Text1"/>
              <w:keepLines/>
              <w:spacing w:after="0"/>
              <w:ind w:left="0"/>
              <w:rPr>
                <w:b/>
                <w:noProof/>
                <w:sz w:val="20"/>
              </w:rPr>
            </w:pPr>
            <w:r>
              <w:rPr>
                <w:b/>
                <w:noProof/>
                <w:sz w:val="20"/>
              </w:rPr>
              <w:t>Environmental funding and investments</w:t>
            </w:r>
          </w:p>
        </w:tc>
      </w:tr>
      <w:tr w:rsidR="001B4274" w:rsidRPr="00486345">
        <w:trPr>
          <w:cantSplit/>
        </w:trPr>
        <w:tc>
          <w:tcPr>
            <w:tcW w:w="7111" w:type="dxa"/>
            <w:vAlign w:val="center"/>
          </w:tcPr>
          <w:p w:rsidR="001B4274" w:rsidRDefault="00486345">
            <w:pPr>
              <w:pStyle w:val="Text1"/>
              <w:keepLines/>
              <w:numPr>
                <w:ilvl w:val="0"/>
                <w:numId w:val="2"/>
              </w:numPr>
              <w:rPr>
                <w:noProof/>
                <w:sz w:val="20"/>
              </w:rPr>
            </w:pPr>
            <w:r>
              <w:rPr>
                <w:noProof/>
                <w:sz w:val="20"/>
              </w:rPr>
              <w:t xml:space="preserve">Ensure adequate funding, including by mobilising investments and using EU funds, to tackle the main environmental challenges affecting the country. </w:t>
            </w:r>
          </w:p>
        </w:tc>
        <w:tc>
          <w:tcPr>
            <w:tcW w:w="2357" w:type="dxa"/>
            <w:vAlign w:val="center"/>
          </w:tcPr>
          <w:p w:rsidR="001B4274" w:rsidRDefault="00486345">
            <w:pPr>
              <w:pStyle w:val="Text1"/>
              <w:ind w:left="0"/>
              <w:rPr>
                <w:noProof/>
                <w:sz w:val="20"/>
                <w:lang w:val="es-ES"/>
              </w:rPr>
            </w:pPr>
            <w:r>
              <w:rPr>
                <w:noProof/>
                <w:sz w:val="20"/>
                <w:lang w:val="es-ES"/>
              </w:rPr>
              <w:t>AT, BG, DE, EL, ES, FI, FR, HU, IT, LU, NL, PT, RO, SE, SI, UK</w:t>
            </w:r>
          </w:p>
        </w:tc>
      </w:tr>
      <w:tr w:rsidR="001B4274" w:rsidRPr="00486345">
        <w:trPr>
          <w:cantSplit/>
        </w:trPr>
        <w:tc>
          <w:tcPr>
            <w:tcW w:w="7111" w:type="dxa"/>
            <w:vAlign w:val="center"/>
          </w:tcPr>
          <w:p w:rsidR="001B4274" w:rsidRDefault="00486345">
            <w:pPr>
              <w:pStyle w:val="Text1"/>
              <w:keepLines/>
              <w:numPr>
                <w:ilvl w:val="0"/>
                <w:numId w:val="2"/>
              </w:numPr>
              <w:rPr>
                <w:noProof/>
                <w:sz w:val="20"/>
              </w:rPr>
            </w:pPr>
            <w:r>
              <w:rPr>
                <w:noProof/>
                <w:sz w:val="20"/>
              </w:rPr>
              <w:t>Improve the capacity to use EU funds for the environment effectively, including to prepare for the next financing period 2021-2027.</w:t>
            </w:r>
          </w:p>
        </w:tc>
        <w:tc>
          <w:tcPr>
            <w:tcW w:w="2357" w:type="dxa"/>
            <w:vAlign w:val="center"/>
          </w:tcPr>
          <w:p w:rsidR="001B4274" w:rsidRDefault="00486345">
            <w:pPr>
              <w:pStyle w:val="Text1"/>
              <w:ind w:left="0"/>
              <w:rPr>
                <w:noProof/>
                <w:sz w:val="20"/>
                <w:lang w:val="es-ES"/>
              </w:rPr>
            </w:pPr>
            <w:r>
              <w:rPr>
                <w:noProof/>
                <w:sz w:val="20"/>
                <w:lang w:val="es-ES"/>
              </w:rPr>
              <w:t>CZ, EE, EL, HR, LT, LV, PL, RO, SK</w:t>
            </w:r>
          </w:p>
        </w:tc>
      </w:tr>
      <w:tr w:rsidR="001B4274">
        <w:tc>
          <w:tcPr>
            <w:tcW w:w="9468" w:type="dxa"/>
            <w:gridSpan w:val="2"/>
            <w:shd w:val="clear" w:color="auto" w:fill="C6D9F1" w:themeFill="text2" w:themeFillTint="33"/>
            <w:vAlign w:val="center"/>
          </w:tcPr>
          <w:p w:rsidR="001B4274" w:rsidRDefault="00486345">
            <w:pPr>
              <w:pStyle w:val="Text1"/>
              <w:spacing w:after="0"/>
              <w:ind w:left="0"/>
              <w:rPr>
                <w:noProof/>
                <w:sz w:val="20"/>
              </w:rPr>
            </w:pPr>
            <w:r>
              <w:rPr>
                <w:b/>
                <w:noProof/>
                <w:sz w:val="20"/>
              </w:rPr>
              <w:t>Information, public part</w:t>
            </w:r>
            <w:r>
              <w:rPr>
                <w:b/>
                <w:noProof/>
                <w:sz w:val="20"/>
              </w:rPr>
              <w:t>icipation and access to justice</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 xml:space="preserve">Improve access to spatial data and services by making stronger linkages between the country INSPIRE portals , identify and document all spatial datasets required to implement environmental law, and make the data and documentation at least accessible </w:t>
            </w:r>
            <w:r>
              <w:rPr>
                <w:i/>
                <w:noProof/>
                <w:sz w:val="20"/>
              </w:rPr>
              <w:t>'as is</w:t>
            </w:r>
            <w:r>
              <w:rPr>
                <w:i/>
                <w:noProof/>
                <w:sz w:val="20"/>
              </w:rPr>
              <w:t>'</w:t>
            </w:r>
            <w:r>
              <w:rPr>
                <w:noProof/>
                <w:sz w:val="20"/>
              </w:rPr>
              <w:t xml:space="preserve"> to other public authorities and the public through the digital services envisaged in the INSPIRE Directive.</w:t>
            </w:r>
          </w:p>
        </w:tc>
        <w:tc>
          <w:tcPr>
            <w:tcW w:w="2357" w:type="dxa"/>
            <w:shd w:val="clear" w:color="auto" w:fill="auto"/>
            <w:vAlign w:val="center"/>
          </w:tcPr>
          <w:p w:rsidR="001B4274" w:rsidRDefault="00486345">
            <w:pPr>
              <w:spacing w:after="120"/>
              <w:jc w:val="both"/>
              <w:rPr>
                <w:noProof/>
              </w:rPr>
            </w:pPr>
            <w:r>
              <w:rPr>
                <w:noProof/>
              </w:rPr>
              <w:t>All Member States</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Facilitate public participation in the implementation of EU environmental legislation.</w:t>
            </w:r>
          </w:p>
        </w:tc>
        <w:tc>
          <w:tcPr>
            <w:tcW w:w="2357" w:type="dxa"/>
            <w:shd w:val="clear" w:color="auto" w:fill="auto"/>
            <w:vAlign w:val="center"/>
          </w:tcPr>
          <w:p w:rsidR="001B4274" w:rsidRDefault="00486345">
            <w:pPr>
              <w:spacing w:after="120"/>
              <w:jc w:val="both"/>
              <w:rPr>
                <w:noProof/>
                <w:lang w:val="it-IT"/>
              </w:rPr>
            </w:pPr>
            <w:r>
              <w:rPr>
                <w:noProof/>
                <w:lang w:val="it-IT"/>
              </w:rPr>
              <w:t>BE, CZ, HU, LT, PL, RO, SI</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 xml:space="preserve">Ensure that there is legal standing for environmental NGOs to bring legal challenges on environmental issues, where relevant without facing prohibitive costs. </w:t>
            </w:r>
          </w:p>
        </w:tc>
        <w:tc>
          <w:tcPr>
            <w:tcW w:w="2357" w:type="dxa"/>
            <w:shd w:val="clear" w:color="auto" w:fill="auto"/>
            <w:vAlign w:val="center"/>
          </w:tcPr>
          <w:p w:rsidR="001B4274" w:rsidRDefault="00486345">
            <w:pPr>
              <w:spacing w:after="120"/>
              <w:jc w:val="both"/>
              <w:rPr>
                <w:noProof/>
              </w:rPr>
            </w:pPr>
            <w:r>
              <w:rPr>
                <w:noProof/>
              </w:rPr>
              <w:t>BG, CY, FI, HR, HU, IE, LT, LU, MT, PL, RO</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Better inform the public about their access to justi</w:t>
            </w:r>
            <w:r>
              <w:rPr>
                <w:noProof/>
                <w:sz w:val="20"/>
              </w:rPr>
              <w:t>ce rights.</w:t>
            </w:r>
          </w:p>
        </w:tc>
        <w:tc>
          <w:tcPr>
            <w:tcW w:w="2357" w:type="dxa"/>
            <w:shd w:val="clear" w:color="auto" w:fill="auto"/>
            <w:vAlign w:val="center"/>
          </w:tcPr>
          <w:p w:rsidR="001B4274" w:rsidRDefault="00486345">
            <w:pPr>
              <w:spacing w:after="120"/>
              <w:jc w:val="both"/>
              <w:rPr>
                <w:noProof/>
              </w:rPr>
            </w:pPr>
            <w:r>
              <w:rPr>
                <w:noProof/>
              </w:rPr>
              <w:t>AT, BE, CY, EE, EL, ES, FI, FR, HR, IE, IT, LU, LV, MT, NL, PT, RO, SE, SK, UK</w:t>
            </w:r>
          </w:p>
        </w:tc>
      </w:tr>
      <w:tr w:rsidR="001B4274">
        <w:tc>
          <w:tcPr>
            <w:tcW w:w="9468" w:type="dxa"/>
            <w:gridSpan w:val="2"/>
            <w:shd w:val="clear" w:color="auto" w:fill="C6D9F1" w:themeFill="text2" w:themeFillTint="33"/>
            <w:vAlign w:val="center"/>
          </w:tcPr>
          <w:p w:rsidR="001B4274" w:rsidRDefault="00486345">
            <w:pPr>
              <w:pStyle w:val="Text1"/>
              <w:spacing w:after="0"/>
              <w:ind w:left="0"/>
              <w:rPr>
                <w:noProof/>
                <w:sz w:val="20"/>
              </w:rPr>
            </w:pPr>
            <w:r>
              <w:rPr>
                <w:b/>
                <w:noProof/>
                <w:sz w:val="20"/>
              </w:rPr>
              <w:t>Compliance assurance</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Better inform the public about compliance promotion, monitoring and enforcement.</w:t>
            </w:r>
          </w:p>
        </w:tc>
        <w:tc>
          <w:tcPr>
            <w:tcW w:w="2357" w:type="dxa"/>
            <w:shd w:val="clear" w:color="auto" w:fill="auto"/>
            <w:vAlign w:val="center"/>
          </w:tcPr>
          <w:p w:rsidR="001B4274" w:rsidRDefault="00486345">
            <w:pPr>
              <w:spacing w:after="120"/>
              <w:jc w:val="both"/>
              <w:rPr>
                <w:noProof/>
              </w:rPr>
            </w:pPr>
            <w:r>
              <w:rPr>
                <w:noProof/>
              </w:rPr>
              <w:t>All Member States</w:t>
            </w:r>
          </w:p>
        </w:tc>
      </w:tr>
      <w:tr w:rsidR="001B4274">
        <w:tc>
          <w:tcPr>
            <w:tcW w:w="7111" w:type="dxa"/>
            <w:vAlign w:val="center"/>
          </w:tcPr>
          <w:p w:rsidR="001B4274" w:rsidRDefault="00486345">
            <w:pPr>
              <w:pStyle w:val="ListParagraph"/>
              <w:widowControl w:val="0"/>
              <w:numPr>
                <w:ilvl w:val="0"/>
                <w:numId w:val="2"/>
              </w:numPr>
              <w:rPr>
                <w:noProof/>
                <w:sz w:val="20"/>
              </w:rPr>
            </w:pPr>
            <w:r>
              <w:rPr>
                <w:noProof/>
                <w:sz w:val="20"/>
              </w:rPr>
              <w:t xml:space="preserve">Ensure more information on how </w:t>
            </w:r>
            <w:r>
              <w:rPr>
                <w:noProof/>
                <w:sz w:val="20"/>
              </w:rPr>
              <w:t>professionals dealing with environmental crime work together.</w:t>
            </w:r>
          </w:p>
        </w:tc>
        <w:tc>
          <w:tcPr>
            <w:tcW w:w="2357" w:type="dxa"/>
            <w:vAlign w:val="center"/>
          </w:tcPr>
          <w:p w:rsidR="001B4274" w:rsidRDefault="00486345">
            <w:pPr>
              <w:spacing w:after="120"/>
              <w:jc w:val="both"/>
              <w:rPr>
                <w:noProof/>
                <w:lang w:val="da-DK"/>
              </w:rPr>
            </w:pPr>
            <w:r>
              <w:rPr>
                <w:noProof/>
                <w:lang w:val="da-DK"/>
              </w:rPr>
              <w:t>AT, BE, BG, DK, EL, HR, HU, IE, LT, LU, LV, MT, NL, PL, SE, SI, SK, UK</w:t>
            </w:r>
          </w:p>
        </w:tc>
      </w:tr>
      <w:tr w:rsidR="001B4274">
        <w:tc>
          <w:tcPr>
            <w:tcW w:w="7111" w:type="dxa"/>
            <w:vAlign w:val="center"/>
          </w:tcPr>
          <w:p w:rsidR="001B4274" w:rsidRDefault="00486345">
            <w:pPr>
              <w:pStyle w:val="ListParagraph"/>
              <w:numPr>
                <w:ilvl w:val="0"/>
                <w:numId w:val="2"/>
              </w:numPr>
              <w:rPr>
                <w:noProof/>
                <w:sz w:val="20"/>
              </w:rPr>
            </w:pPr>
            <w:r>
              <w:rPr>
                <w:noProof/>
                <w:sz w:val="20"/>
              </w:rPr>
              <w:t xml:space="preserve">Improve financial security for Environmental Liability Directive (ELD) liabilities and/or ELD guidance, and/or the collection and publication of information on environmental damage. </w:t>
            </w:r>
          </w:p>
        </w:tc>
        <w:tc>
          <w:tcPr>
            <w:tcW w:w="2357" w:type="dxa"/>
            <w:shd w:val="clear" w:color="auto" w:fill="auto"/>
            <w:vAlign w:val="center"/>
          </w:tcPr>
          <w:p w:rsidR="001B4274" w:rsidRDefault="00486345">
            <w:pPr>
              <w:spacing w:after="120"/>
              <w:jc w:val="both"/>
              <w:rPr>
                <w:noProof/>
              </w:rPr>
            </w:pPr>
            <w:r>
              <w:rPr>
                <w:noProof/>
              </w:rPr>
              <w:t>AT, BE, BG, CY, CZ, DE, DK, EE, EL, FI, FR, HR, HU, IE, IT, LT, LU, LV, M</w:t>
            </w:r>
            <w:r>
              <w:rPr>
                <w:noProof/>
              </w:rPr>
              <w:t>T, NL, PL, RO, SE, SI, SK, UK</w:t>
            </w:r>
          </w:p>
        </w:tc>
      </w:tr>
      <w:tr w:rsidR="001B4274">
        <w:trPr>
          <w:trHeight w:val="1115"/>
        </w:trPr>
        <w:tc>
          <w:tcPr>
            <w:tcW w:w="7111" w:type="dxa"/>
            <w:shd w:val="clear" w:color="auto" w:fill="auto"/>
            <w:vAlign w:val="center"/>
          </w:tcPr>
          <w:p w:rsidR="001B4274" w:rsidRDefault="00486345">
            <w:pPr>
              <w:pStyle w:val="ListParagraph"/>
              <w:numPr>
                <w:ilvl w:val="0"/>
                <w:numId w:val="2"/>
              </w:numPr>
              <w:rPr>
                <w:noProof/>
                <w:sz w:val="20"/>
              </w:rPr>
            </w:pPr>
            <w:r>
              <w:rPr>
                <w:noProof/>
                <w:sz w:val="20"/>
              </w:rPr>
              <w:t>Publish information on the outcome of enforcement action and on the follow-up to detected cross-compliance breaches on nitrates and nature.</w:t>
            </w:r>
          </w:p>
        </w:tc>
        <w:tc>
          <w:tcPr>
            <w:tcW w:w="2357" w:type="dxa"/>
            <w:shd w:val="clear" w:color="auto" w:fill="auto"/>
            <w:vAlign w:val="center"/>
          </w:tcPr>
          <w:p w:rsidR="001B4274" w:rsidRDefault="00486345">
            <w:pPr>
              <w:pStyle w:val="Text1"/>
              <w:ind w:left="0"/>
              <w:rPr>
                <w:noProof/>
                <w:sz w:val="20"/>
              </w:rPr>
            </w:pPr>
            <w:r>
              <w:rPr>
                <w:noProof/>
                <w:sz w:val="20"/>
              </w:rPr>
              <w:t>AT, BE, BG, CY, DE, DK, EE, EL, ES, FI, FR, HR, IE, IT, LT, LU, LV, MT, NL, PL, PT, R</w:t>
            </w:r>
            <w:r>
              <w:rPr>
                <w:noProof/>
                <w:sz w:val="20"/>
              </w:rPr>
              <w:t>O, SE, SK, SI, UK</w:t>
            </w:r>
          </w:p>
        </w:tc>
      </w:tr>
      <w:tr w:rsidR="001B4274">
        <w:tc>
          <w:tcPr>
            <w:tcW w:w="9468" w:type="dxa"/>
            <w:gridSpan w:val="2"/>
            <w:shd w:val="clear" w:color="auto" w:fill="C6D9F1" w:themeFill="text2" w:themeFillTint="33"/>
            <w:vAlign w:val="center"/>
          </w:tcPr>
          <w:p w:rsidR="001B4274" w:rsidRDefault="00486345">
            <w:pPr>
              <w:pStyle w:val="Text1"/>
              <w:spacing w:after="0"/>
              <w:ind w:left="0"/>
              <w:rPr>
                <w:b/>
                <w:noProof/>
                <w:sz w:val="20"/>
              </w:rPr>
            </w:pPr>
            <w:r>
              <w:rPr>
                <w:b/>
                <w:noProof/>
                <w:sz w:val="20"/>
              </w:rPr>
              <w:t>Effectiveness of environmental administrations</w:t>
            </w:r>
          </w:p>
        </w:tc>
      </w:tr>
      <w:tr w:rsidR="001B4274">
        <w:tc>
          <w:tcPr>
            <w:tcW w:w="7111" w:type="dxa"/>
            <w:vAlign w:val="center"/>
          </w:tcPr>
          <w:p w:rsidR="001B4274" w:rsidRDefault="00486345">
            <w:pPr>
              <w:pStyle w:val="ListParagraph"/>
              <w:numPr>
                <w:ilvl w:val="0"/>
                <w:numId w:val="2"/>
              </w:numPr>
              <w:rPr>
                <w:noProof/>
                <w:sz w:val="20"/>
              </w:rPr>
            </w:pPr>
            <w:r>
              <w:rPr>
                <w:noProof/>
                <w:sz w:val="20"/>
              </w:rPr>
              <w:t>Further improve the overall environmental governance (such as transparency, citizen engagement, compliance and enforcement as well as administrative capacity and coordination).</w:t>
            </w:r>
          </w:p>
        </w:tc>
        <w:tc>
          <w:tcPr>
            <w:tcW w:w="2357" w:type="dxa"/>
            <w:shd w:val="clear" w:color="auto" w:fill="auto"/>
            <w:vAlign w:val="center"/>
          </w:tcPr>
          <w:p w:rsidR="001B4274" w:rsidRDefault="00486345">
            <w:pPr>
              <w:pStyle w:val="Text1"/>
              <w:ind w:left="0"/>
              <w:rPr>
                <w:noProof/>
                <w:sz w:val="20"/>
                <w:lang w:val="es-ES"/>
              </w:rPr>
            </w:pPr>
            <w:r>
              <w:rPr>
                <w:noProof/>
                <w:sz w:val="20"/>
                <w:lang w:val="es-ES"/>
              </w:rPr>
              <w:t xml:space="preserve">All Member </w:t>
            </w:r>
            <w:r>
              <w:rPr>
                <w:noProof/>
                <w:sz w:val="20"/>
                <w:lang w:val="es-ES"/>
              </w:rPr>
              <w:t>States</w:t>
            </w:r>
          </w:p>
        </w:tc>
      </w:tr>
      <w:tr w:rsidR="001B4274">
        <w:tc>
          <w:tcPr>
            <w:tcW w:w="7111" w:type="dxa"/>
            <w:vAlign w:val="center"/>
          </w:tcPr>
          <w:p w:rsidR="001B4274" w:rsidRDefault="00486345">
            <w:pPr>
              <w:pStyle w:val="ListParagraph"/>
              <w:numPr>
                <w:ilvl w:val="0"/>
                <w:numId w:val="2"/>
              </w:numPr>
              <w:rPr>
                <w:noProof/>
                <w:sz w:val="20"/>
              </w:rPr>
            </w:pPr>
            <w:r>
              <w:rPr>
                <w:noProof/>
                <w:sz w:val="20"/>
              </w:rPr>
              <w:t>Complete transposition of the revised Environmental Impact Assessment (EIA) Directive.</w:t>
            </w:r>
          </w:p>
        </w:tc>
        <w:tc>
          <w:tcPr>
            <w:tcW w:w="2357" w:type="dxa"/>
            <w:shd w:val="clear" w:color="auto" w:fill="auto"/>
            <w:vAlign w:val="center"/>
          </w:tcPr>
          <w:p w:rsidR="001B4274" w:rsidRDefault="00486345">
            <w:pPr>
              <w:pStyle w:val="Text1"/>
              <w:ind w:left="0"/>
              <w:rPr>
                <w:noProof/>
                <w:sz w:val="20"/>
              </w:rPr>
            </w:pPr>
            <w:r>
              <w:rPr>
                <w:noProof/>
                <w:sz w:val="20"/>
              </w:rPr>
              <w:t>DE, LT</w:t>
            </w:r>
          </w:p>
        </w:tc>
      </w:tr>
      <w:tr w:rsidR="001B4274">
        <w:tc>
          <w:tcPr>
            <w:tcW w:w="7111" w:type="dxa"/>
            <w:vAlign w:val="center"/>
          </w:tcPr>
          <w:p w:rsidR="001B4274" w:rsidRDefault="00486345">
            <w:pPr>
              <w:pStyle w:val="ListParagraph"/>
              <w:numPr>
                <w:ilvl w:val="0"/>
                <w:numId w:val="2"/>
              </w:numPr>
              <w:rPr>
                <w:noProof/>
                <w:sz w:val="20"/>
              </w:rPr>
            </w:pPr>
            <w:r>
              <w:rPr>
                <w:noProof/>
                <w:sz w:val="20"/>
              </w:rPr>
              <w:t xml:space="preserve">Address the fragmentation at regional and local levels by developing better coordination mechanisms for the environment. </w:t>
            </w:r>
          </w:p>
        </w:tc>
        <w:tc>
          <w:tcPr>
            <w:tcW w:w="2357" w:type="dxa"/>
            <w:shd w:val="clear" w:color="auto" w:fill="auto"/>
            <w:vAlign w:val="center"/>
          </w:tcPr>
          <w:p w:rsidR="001B4274" w:rsidRDefault="00486345">
            <w:pPr>
              <w:pStyle w:val="Text1"/>
              <w:ind w:left="0"/>
              <w:rPr>
                <w:noProof/>
                <w:sz w:val="20"/>
              </w:rPr>
            </w:pPr>
            <w:r>
              <w:rPr>
                <w:noProof/>
                <w:sz w:val="20"/>
              </w:rPr>
              <w:t>EL, ES, IT</w:t>
            </w:r>
          </w:p>
        </w:tc>
      </w:tr>
      <w:tr w:rsidR="001B4274">
        <w:tc>
          <w:tcPr>
            <w:tcW w:w="7111" w:type="dxa"/>
            <w:vAlign w:val="center"/>
          </w:tcPr>
          <w:p w:rsidR="001B4274" w:rsidRDefault="00486345">
            <w:pPr>
              <w:pStyle w:val="ListParagraph"/>
              <w:numPr>
                <w:ilvl w:val="0"/>
                <w:numId w:val="2"/>
              </w:numPr>
              <w:rPr>
                <w:noProof/>
                <w:sz w:val="20"/>
              </w:rPr>
            </w:pPr>
            <w:r>
              <w:rPr>
                <w:noProof/>
                <w:sz w:val="20"/>
              </w:rPr>
              <w:t>Continue making eff</w:t>
            </w:r>
            <w:r>
              <w:rPr>
                <w:noProof/>
                <w:sz w:val="20"/>
              </w:rPr>
              <w:t xml:space="preserve">orts to streamline environmental assessment procedures. </w:t>
            </w:r>
          </w:p>
        </w:tc>
        <w:tc>
          <w:tcPr>
            <w:tcW w:w="2357" w:type="dxa"/>
            <w:shd w:val="clear" w:color="auto" w:fill="auto"/>
            <w:vAlign w:val="center"/>
          </w:tcPr>
          <w:p w:rsidR="001B4274" w:rsidRDefault="00486345">
            <w:pPr>
              <w:pStyle w:val="Text1"/>
              <w:ind w:left="0"/>
              <w:rPr>
                <w:noProof/>
                <w:sz w:val="20"/>
              </w:rPr>
            </w:pPr>
            <w:r>
              <w:rPr>
                <w:noProof/>
                <w:sz w:val="20"/>
              </w:rPr>
              <w:t>BE, CZ, HR</w:t>
            </w:r>
          </w:p>
        </w:tc>
      </w:tr>
      <w:tr w:rsidR="001B4274">
        <w:tc>
          <w:tcPr>
            <w:tcW w:w="9468" w:type="dxa"/>
            <w:gridSpan w:val="2"/>
            <w:shd w:val="clear" w:color="auto" w:fill="C6D9F1" w:themeFill="text2" w:themeFillTint="33"/>
            <w:vAlign w:val="center"/>
          </w:tcPr>
          <w:p w:rsidR="001B4274" w:rsidRDefault="00486345">
            <w:pPr>
              <w:pStyle w:val="Text1"/>
              <w:spacing w:after="0"/>
              <w:ind w:left="0"/>
              <w:rPr>
                <w:b/>
                <w:noProof/>
                <w:sz w:val="20"/>
              </w:rPr>
            </w:pPr>
            <w:r>
              <w:rPr>
                <w:b/>
                <w:noProof/>
                <w:sz w:val="20"/>
              </w:rPr>
              <w:t>International agreements</w:t>
            </w:r>
          </w:p>
        </w:tc>
      </w:tr>
      <w:tr w:rsidR="001B4274">
        <w:tc>
          <w:tcPr>
            <w:tcW w:w="7111" w:type="dxa"/>
            <w:vAlign w:val="center"/>
          </w:tcPr>
          <w:p w:rsidR="001B4274" w:rsidRDefault="00486345">
            <w:pPr>
              <w:pStyle w:val="Text1"/>
              <w:numPr>
                <w:ilvl w:val="0"/>
                <w:numId w:val="2"/>
              </w:numPr>
              <w:rPr>
                <w:noProof/>
                <w:sz w:val="20"/>
              </w:rPr>
            </w:pPr>
            <w:r>
              <w:rPr>
                <w:noProof/>
                <w:sz w:val="20"/>
              </w:rPr>
              <w:t>Become parties to relevant multilateral environmental agreements by signing and ratifying the remaining ones.</w:t>
            </w:r>
          </w:p>
        </w:tc>
        <w:tc>
          <w:tcPr>
            <w:tcW w:w="2357" w:type="dxa"/>
            <w:vAlign w:val="center"/>
          </w:tcPr>
          <w:p w:rsidR="001B4274" w:rsidRDefault="00486345">
            <w:pPr>
              <w:pStyle w:val="Text1"/>
              <w:ind w:left="0"/>
              <w:rPr>
                <w:noProof/>
                <w:sz w:val="20"/>
              </w:rPr>
            </w:pPr>
            <w:r>
              <w:rPr>
                <w:noProof/>
                <w:sz w:val="20"/>
              </w:rPr>
              <w:t>AT, BE, CY, CZ, EL, ES, FR, IE, IT, LT, LV, MT, PL,</w:t>
            </w:r>
            <w:r>
              <w:rPr>
                <w:noProof/>
                <w:sz w:val="20"/>
              </w:rPr>
              <w:t xml:space="preserve"> PT, RO, SI, SK</w:t>
            </w:r>
          </w:p>
        </w:tc>
      </w:tr>
    </w:tbl>
    <w:p w:rsidR="001B4274" w:rsidRDefault="001B4274">
      <w:pPr>
        <w:jc w:val="both"/>
        <w:rPr>
          <w:noProof/>
        </w:rPr>
      </w:pPr>
    </w:p>
    <w:sectPr w:rsidR="001B4274">
      <w:headerReference w:type="even" r:id="rId24"/>
      <w:headerReference w:type="default" r:id="rId25"/>
      <w:footerReference w:type="even" r:id="rId26"/>
      <w:footerReference w:type="default" r:id="rId27"/>
      <w:headerReference w:type="first" r:id="rId28"/>
      <w:footerReference w:type="first" r:id="rId29"/>
      <w:pgSz w:w="11906" w:h="16838"/>
      <w:pgMar w:top="1134" w:right="1417" w:bottom="851"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74" w:rsidRDefault="00486345">
      <w:pPr>
        <w:spacing w:after="0" w:line="240" w:lineRule="auto"/>
      </w:pPr>
      <w:r>
        <w:separator/>
      </w:r>
    </w:p>
  </w:endnote>
  <w:endnote w:type="continuationSeparator" w:id="0">
    <w:p w:rsidR="001B4274" w:rsidRDefault="00486345">
      <w:pPr>
        <w:spacing w:after="0" w:line="240" w:lineRule="auto"/>
      </w:pPr>
      <w:r>
        <w:continuationSeparator/>
      </w:r>
    </w:p>
  </w:endnote>
  <w:endnote w:type="continuationNotice" w:id="1">
    <w:p w:rsidR="001B4274" w:rsidRDefault="001B4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FooterCoverPage"/>
      <w:rPr>
        <w:rFonts w:ascii="Arial" w:hAnsi="Arial" w:cs="Arial"/>
        <w:b/>
        <w:sz w:val="48"/>
      </w:rPr>
    </w:pPr>
    <w:r w:rsidRPr="00486345">
      <w:rPr>
        <w:rFonts w:ascii="Arial" w:hAnsi="Arial" w:cs="Arial"/>
        <w:b/>
        <w:sz w:val="48"/>
      </w:rPr>
      <w:t>EN</w:t>
    </w:r>
    <w:r w:rsidRPr="00486345">
      <w:rPr>
        <w:rFonts w:ascii="Arial" w:hAnsi="Arial" w:cs="Arial"/>
        <w:b/>
        <w:sz w:val="48"/>
      </w:rPr>
      <w:tab/>
    </w:r>
    <w:r w:rsidRPr="00486345">
      <w:rPr>
        <w:rFonts w:ascii="Arial" w:hAnsi="Arial" w:cs="Arial"/>
        <w:b/>
        <w:sz w:val="48"/>
      </w:rPr>
      <w:tab/>
    </w:r>
    <w:r w:rsidRPr="00486345">
      <w:tab/>
    </w:r>
    <w:r w:rsidRPr="0048634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74408"/>
      <w:docPartObj>
        <w:docPartGallery w:val="Page Numbers (Bottom of Page)"/>
        <w:docPartUnique/>
      </w:docPartObj>
    </w:sdtPr>
    <w:sdtEndPr>
      <w:rPr>
        <w:noProof/>
      </w:rPr>
    </w:sdtEndPr>
    <w:sdtContent>
      <w:p w:rsidR="001B4274" w:rsidRDefault="00486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2966"/>
      <w:docPartObj>
        <w:docPartGallery w:val="Page Numbers (Bottom of Page)"/>
        <w:docPartUnique/>
      </w:docPartObj>
    </w:sdtPr>
    <w:sdtEndPr>
      <w:rPr>
        <w:noProof/>
      </w:rPr>
    </w:sdtEndPr>
    <w:sdtContent>
      <w:p w:rsidR="001B4274" w:rsidRDefault="004863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49879"/>
      <w:docPartObj>
        <w:docPartGallery w:val="Page Numbers (Bottom of Page)"/>
        <w:docPartUnique/>
      </w:docPartObj>
    </w:sdtPr>
    <w:sdtEndPr>
      <w:rPr>
        <w:noProof/>
      </w:rPr>
    </w:sdtEndPr>
    <w:sdtContent>
      <w:p w:rsidR="001B4274" w:rsidRDefault="0048634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8988"/>
      <w:docPartObj>
        <w:docPartGallery w:val="Page Numbers (Bottom of Page)"/>
        <w:docPartUnique/>
      </w:docPartObj>
    </w:sdtPr>
    <w:sdtEndPr>
      <w:rPr>
        <w:noProof/>
      </w:rPr>
    </w:sdtEndPr>
    <w:sdtContent>
      <w:p w:rsidR="001B4274" w:rsidRDefault="0048634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74" w:rsidRDefault="00486345">
      <w:pPr>
        <w:spacing w:after="0" w:line="240" w:lineRule="auto"/>
      </w:pPr>
      <w:r>
        <w:separator/>
      </w:r>
    </w:p>
  </w:footnote>
  <w:footnote w:type="continuationSeparator" w:id="0">
    <w:p w:rsidR="001B4274" w:rsidRDefault="00486345">
      <w:pPr>
        <w:spacing w:after="0" w:line="240" w:lineRule="auto"/>
      </w:pPr>
      <w:r>
        <w:continuationSeparator/>
      </w:r>
    </w:p>
  </w:footnote>
  <w:footnote w:type="continuationNotice" w:id="1">
    <w:p w:rsidR="001B4274" w:rsidRDefault="001B4274">
      <w:pPr>
        <w:spacing w:after="0" w:line="240" w:lineRule="auto"/>
      </w:pPr>
    </w:p>
  </w:footnote>
  <w:footnote w:id="2">
    <w:p w:rsidR="001B4274" w:rsidRDefault="00486345">
      <w:pPr>
        <w:pStyle w:val="FootnoteText"/>
        <w:tabs>
          <w:tab w:val="left" w:pos="2552"/>
        </w:tabs>
        <w:jc w:val="left"/>
        <w:rPr>
          <w:sz w:val="16"/>
          <w:szCs w:val="16"/>
          <w:lang w:eastAsia="en-GB"/>
        </w:rPr>
      </w:pPr>
      <w:r>
        <w:rPr>
          <w:rStyle w:val="FootnoteReference"/>
        </w:rPr>
        <w:footnoteRef/>
      </w:r>
      <w:r>
        <w:t xml:space="preserve"> </w:t>
      </w:r>
      <w:r>
        <w:rPr>
          <w:sz w:val="16"/>
        </w:rPr>
        <w:tab/>
      </w:r>
      <w:r>
        <w:rPr>
          <w:sz w:val="16"/>
          <w:szCs w:val="16"/>
        </w:rPr>
        <w:t>The priority actions have been included in each country report in the light of the information available to the European Commission, to ensure equal treatment of all Member States. To enable comparability, all priority actions have been grouped in this Ann</w:t>
      </w:r>
      <w:r>
        <w:rPr>
          <w:sz w:val="16"/>
          <w:szCs w:val="16"/>
        </w:rPr>
        <w:t xml:space="preserve">ex by clusters of Member States that received similar recommendations. For this reason, the wording in the Annex may be less specific than in the country reports. </w:t>
      </w:r>
    </w:p>
  </w:footnote>
  <w:footnote w:id="3">
    <w:p w:rsidR="001B4274" w:rsidRDefault="00486345">
      <w:pPr>
        <w:pStyle w:val="FootnoteText"/>
        <w:jc w:val="left"/>
      </w:pPr>
      <w:r>
        <w:rPr>
          <w:rStyle w:val="FootnoteReference"/>
          <w:sz w:val="16"/>
        </w:rPr>
        <w:footnoteRef/>
      </w:r>
      <w:r>
        <w:rPr>
          <w:sz w:val="16"/>
        </w:rPr>
        <w:t xml:space="preserve"> </w:t>
      </w:r>
      <w:r>
        <w:rPr>
          <w:sz w:val="16"/>
        </w:rPr>
        <w:tab/>
        <w:t>Several Member States were late in reporting their measures to comply with the Marine Str</w:t>
      </w:r>
      <w:r>
        <w:rPr>
          <w:sz w:val="16"/>
        </w:rPr>
        <w:t xml:space="preserve">ategy Framework Directive. For these countries, only the first priority action applies, because data is insufficient to assess progress since 2017 and outline new challenges.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45" w:rsidRPr="00486345" w:rsidRDefault="00486345" w:rsidP="0048634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74" w:rsidRDefault="001B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in;height:810pt;visibility:visible;mso-wrap-style:square" o:bullet="t">
        <v:imagedata r:id="rId1" o:title="" croptop="42983f" cropbottom="21645f" cropleft="54648f" cropright="10334f"/>
      </v:shape>
    </w:pict>
  </w:numPicBullet>
  <w:abstractNum w:abstractNumId="0" w15:restartNumberingAfterBreak="0">
    <w:nsid w:val="02E6737D"/>
    <w:multiLevelType w:val="hybridMultilevel"/>
    <w:tmpl w:val="349E1EDA"/>
    <w:lvl w:ilvl="0" w:tplc="E8BADA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04E20BC9"/>
    <w:multiLevelType w:val="hybridMultilevel"/>
    <w:tmpl w:val="19345C86"/>
    <w:lvl w:ilvl="0" w:tplc="0EB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909C5"/>
    <w:multiLevelType w:val="hybridMultilevel"/>
    <w:tmpl w:val="956A9F1E"/>
    <w:lvl w:ilvl="0" w:tplc="D8BE8D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61607"/>
    <w:multiLevelType w:val="hybridMultilevel"/>
    <w:tmpl w:val="34EA3B38"/>
    <w:lvl w:ilvl="0" w:tplc="52A4E736">
      <w:start w:val="1"/>
      <w:numFmt w:val="bullet"/>
      <w:pStyle w:val="SuggA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84FFD"/>
    <w:multiLevelType w:val="hybridMultilevel"/>
    <w:tmpl w:val="D29A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4A3347"/>
    <w:multiLevelType w:val="hybridMultilevel"/>
    <w:tmpl w:val="AAEEFE7E"/>
    <w:lvl w:ilvl="0" w:tplc="AEBE3B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3047D"/>
    <w:multiLevelType w:val="hybridMultilevel"/>
    <w:tmpl w:val="86D03B10"/>
    <w:lvl w:ilvl="0" w:tplc="2ABA7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3461292"/>
    <w:multiLevelType w:val="hybridMultilevel"/>
    <w:tmpl w:val="AFE0C6AA"/>
    <w:lvl w:ilvl="0" w:tplc="EAD0B41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E14F91"/>
    <w:multiLevelType w:val="hybridMultilevel"/>
    <w:tmpl w:val="5EAEC9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C31F5"/>
    <w:multiLevelType w:val="hybridMultilevel"/>
    <w:tmpl w:val="2A046A92"/>
    <w:lvl w:ilvl="0" w:tplc="DFA6A5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1692A"/>
    <w:multiLevelType w:val="hybridMultilevel"/>
    <w:tmpl w:val="E522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D7940"/>
    <w:multiLevelType w:val="hybridMultilevel"/>
    <w:tmpl w:val="A28C8044"/>
    <w:lvl w:ilvl="0" w:tplc="CF3A71A8">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5"/>
  </w:num>
  <w:num w:numId="4">
    <w:abstractNumId w:val="10"/>
  </w:num>
  <w:num w:numId="5">
    <w:abstractNumId w:val="1"/>
  </w:num>
  <w:num w:numId="6">
    <w:abstractNumId w:val="21"/>
  </w:num>
  <w:num w:numId="7">
    <w:abstractNumId w:val="6"/>
  </w:num>
  <w:num w:numId="8">
    <w:abstractNumId w:val="6"/>
  </w:num>
  <w:num w:numId="9">
    <w:abstractNumId w:val="16"/>
  </w:num>
  <w:num w:numId="10">
    <w:abstractNumId w:val="6"/>
  </w:num>
  <w:num w:numId="11">
    <w:abstractNumId w:val="22"/>
  </w:num>
  <w:num w:numId="12">
    <w:abstractNumId w:val="3"/>
  </w:num>
  <w:num w:numId="13">
    <w:abstractNumId w:val="6"/>
  </w:num>
  <w:num w:numId="14">
    <w:abstractNumId w:val="13"/>
  </w:num>
  <w:num w:numId="15">
    <w:abstractNumId w:val="17"/>
  </w:num>
  <w:num w:numId="16">
    <w:abstractNumId w:val="9"/>
  </w:num>
  <w:num w:numId="17">
    <w:abstractNumId w:val="18"/>
  </w:num>
  <w:num w:numId="18">
    <w:abstractNumId w:val="7"/>
  </w:num>
  <w:num w:numId="19">
    <w:abstractNumId w:val="19"/>
  </w:num>
  <w:num w:numId="20">
    <w:abstractNumId w:val="4"/>
  </w:num>
  <w:num w:numId="21">
    <w:abstractNumId w:val="0"/>
  </w:num>
  <w:num w:numId="22">
    <w:abstractNumId w:val="8"/>
  </w:num>
  <w:num w:numId="23">
    <w:abstractNumId w:val="11"/>
  </w:num>
  <w:num w:numId="24">
    <w:abstractNumId w:val="15"/>
  </w:num>
  <w:num w:numId="25">
    <w:abstractNumId w:val="14"/>
  </w:num>
  <w:num w:numId="26">
    <w:abstractNumId w:val="12"/>
  </w:num>
  <w:num w:numId="27">
    <w:abstractNumId w:val="24"/>
  </w:num>
  <w:num w:numId="28">
    <w:abstractNumId w:val="2"/>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nb-NO"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da-DK" w:vendorID="64" w:dllVersion="131078" w:nlCheck="1" w:checkStyle="0"/>
  <w:activeWritingStyle w:appName="MSWord" w:lang="en-US" w:vendorID="64" w:dllVersion="131078" w:nlCheck="1" w:checkStyle="1"/>
  <w:activeWritingStyle w:appName="MSWord" w:lang="es-ES_tradnl" w:vendorID="64" w:dllVersion="131078" w:nlCheck="1" w:checkStyle="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776C5E3-5B6C-45EB-9CE0-25AECA902233"/>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4.2019"/>
    <w:docVar w:name="LW_EMISSION_ISODATE" w:val="2019-04-0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nvironmental Implementation Review 2019: _x000b_A Europe that protects its citizens and enhances their quality of life_x000b_"/>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THE COMMUNICATION FROM THE COMMISSION TO THE EUROPEAN PARLIAMENT, THE COUNCIL, THE EUROPEAN ECONOMIC AND SOCIAL COMMITTEE AND THE COMMITTEE OF THE REGIONS "/>
  </w:docVars>
  <w:rsids>
    <w:rsidRoot w:val="001B4274"/>
    <w:rsid w:val="001B4274"/>
    <w:rsid w:val="004863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1A4E-E49E-4670-9492-AAFF6451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aliases w:val="Heading 2_sj,List Paragraph1,Bullet List Paragraph"/>
    <w:basedOn w:val="Normal"/>
    <w:link w:val="ListParagraphChar"/>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A"/>
    <w:uiPriority w:val="1"/>
    <w:qFormat/>
    <w:pPr>
      <w:numPr>
        <w:numId w:val="6"/>
      </w:numPr>
      <w:spacing w:after="0" w:line="240" w:lineRule="auto"/>
      <w:ind w:left="170" w:hanging="170"/>
      <w:jc w:val="both"/>
    </w:pPr>
    <w:rPr>
      <w:rFonts w:ascii="Calibri" w:eastAsia="Calibri" w:hAnsi="Calibri" w:cs="Times New Roman"/>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ggActions">
    <w:name w:val="SuggActions"/>
    <w:basedOn w:val="ListParagraph"/>
    <w:link w:val="SuggActionsChar"/>
    <w:autoRedefine/>
    <w:qFormat/>
    <w:pPr>
      <w:widowControl w:val="0"/>
      <w:numPr>
        <w:numId w:val="7"/>
      </w:numPr>
      <w:suppressAutoHyphens w:val="0"/>
      <w:autoSpaceDN/>
      <w:spacing w:after="0"/>
      <w:textAlignment w:val="auto"/>
    </w:pPr>
    <w:rPr>
      <w:rFonts w:asciiTheme="minorHAnsi" w:hAnsiTheme="minorHAnsi" w:cstheme="minorBidi"/>
      <w:noProof/>
      <w:sz w:val="20"/>
      <w:szCs w:val="20"/>
      <w:lang w:eastAsia="en-GB"/>
    </w:rPr>
  </w:style>
  <w:style w:type="character" w:customStyle="1" w:styleId="SuggActionsChar">
    <w:name w:val="SuggActions Char"/>
    <w:basedOn w:val="DefaultParagraphFont"/>
    <w:link w:val="SuggActions"/>
    <w:rPr>
      <w:rFonts w:eastAsia="Calibri"/>
      <w:noProof/>
      <w:sz w:val="20"/>
      <w:szCs w:val="20"/>
      <w:lang w:eastAsia="en-GB"/>
    </w:rPr>
  </w:style>
  <w:style w:type="character" w:customStyle="1" w:styleId="ListParagraphChar">
    <w:name w:val="List Paragraph Char"/>
    <w:aliases w:val="Heading 2_sj Char,List Paragraph1 Char,Bullet List Paragraph Char"/>
    <w:link w:val="ListParagraph"/>
    <w:uiPriority w:val="34"/>
    <w:locked/>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6784">
      <w:bodyDiv w:val="1"/>
      <w:marLeft w:val="0"/>
      <w:marRight w:val="0"/>
      <w:marTop w:val="0"/>
      <w:marBottom w:val="0"/>
      <w:divBdr>
        <w:top w:val="none" w:sz="0" w:space="0" w:color="auto"/>
        <w:left w:val="none" w:sz="0" w:space="0" w:color="auto"/>
        <w:bottom w:val="none" w:sz="0" w:space="0" w:color="auto"/>
        <w:right w:val="none" w:sz="0" w:space="0" w:color="auto"/>
      </w:divBdr>
    </w:div>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553341951">
      <w:bodyDiv w:val="1"/>
      <w:marLeft w:val="0"/>
      <w:marRight w:val="0"/>
      <w:marTop w:val="0"/>
      <w:marBottom w:val="0"/>
      <w:divBdr>
        <w:top w:val="none" w:sz="0" w:space="0" w:color="auto"/>
        <w:left w:val="none" w:sz="0" w:space="0" w:color="auto"/>
        <w:bottom w:val="none" w:sz="0" w:space="0" w:color="auto"/>
        <w:right w:val="none" w:sz="0" w:space="0" w:color="auto"/>
      </w:divBdr>
    </w:div>
    <w:div w:id="1795060304">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 w:id="2103793265">
      <w:bodyDiv w:val="1"/>
      <w:marLeft w:val="0"/>
      <w:marRight w:val="0"/>
      <w:marTop w:val="0"/>
      <w:marBottom w:val="0"/>
      <w:divBdr>
        <w:top w:val="none" w:sz="0" w:space="0" w:color="auto"/>
        <w:left w:val="none" w:sz="0" w:space="0" w:color="auto"/>
        <w:bottom w:val="none" w:sz="0" w:space="0" w:color="auto"/>
        <w:right w:val="none" w:sz="0" w:space="0" w:color="auto"/>
      </w:divBdr>
      <w:divsChild>
        <w:div w:id="1170949558">
          <w:marLeft w:val="0"/>
          <w:marRight w:val="0"/>
          <w:marTop w:val="0"/>
          <w:marBottom w:val="0"/>
          <w:divBdr>
            <w:top w:val="none" w:sz="0" w:space="0" w:color="auto"/>
            <w:left w:val="none" w:sz="0" w:space="0" w:color="auto"/>
            <w:bottom w:val="none" w:sz="0" w:space="0" w:color="auto"/>
            <w:right w:val="none" w:sz="0" w:space="0" w:color="auto"/>
          </w:divBdr>
        </w:div>
        <w:div w:id="25837807">
          <w:marLeft w:val="0"/>
          <w:marRight w:val="0"/>
          <w:marTop w:val="0"/>
          <w:marBottom w:val="0"/>
          <w:divBdr>
            <w:top w:val="none" w:sz="0" w:space="0" w:color="auto"/>
            <w:left w:val="none" w:sz="0" w:space="0" w:color="auto"/>
            <w:bottom w:val="none" w:sz="0" w:space="0" w:color="auto"/>
            <w:right w:val="none" w:sz="0" w:space="0" w:color="auto"/>
          </w:divBdr>
        </w:div>
        <w:div w:id="65077605">
          <w:marLeft w:val="0"/>
          <w:marRight w:val="0"/>
          <w:marTop w:val="0"/>
          <w:marBottom w:val="0"/>
          <w:divBdr>
            <w:top w:val="none" w:sz="0" w:space="0" w:color="auto"/>
            <w:left w:val="none" w:sz="0" w:space="0" w:color="auto"/>
            <w:bottom w:val="none" w:sz="0" w:space="0" w:color="auto"/>
            <w:right w:val="none" w:sz="0" w:space="0" w:color="auto"/>
          </w:divBdr>
          <w:divsChild>
            <w:div w:id="650988474">
              <w:marLeft w:val="0"/>
              <w:marRight w:val="0"/>
              <w:marTop w:val="0"/>
              <w:marBottom w:val="0"/>
              <w:divBdr>
                <w:top w:val="none" w:sz="0" w:space="0" w:color="auto"/>
                <w:left w:val="none" w:sz="0" w:space="0" w:color="auto"/>
                <w:bottom w:val="none" w:sz="0" w:space="0" w:color="auto"/>
                <w:right w:val="none" w:sz="0" w:space="0" w:color="auto"/>
              </w:divBdr>
            </w:div>
            <w:div w:id="855267574">
              <w:marLeft w:val="0"/>
              <w:marRight w:val="0"/>
              <w:marTop w:val="0"/>
              <w:marBottom w:val="0"/>
              <w:divBdr>
                <w:top w:val="none" w:sz="0" w:space="0" w:color="auto"/>
                <w:left w:val="none" w:sz="0" w:space="0" w:color="auto"/>
                <w:bottom w:val="none" w:sz="0" w:space="0" w:color="auto"/>
                <w:right w:val="none" w:sz="0" w:space="0" w:color="auto"/>
              </w:divBdr>
            </w:div>
            <w:div w:id="2109351880">
              <w:marLeft w:val="0"/>
              <w:marRight w:val="0"/>
              <w:marTop w:val="0"/>
              <w:marBottom w:val="0"/>
              <w:divBdr>
                <w:top w:val="none" w:sz="0" w:space="0" w:color="auto"/>
                <w:left w:val="none" w:sz="0" w:space="0" w:color="auto"/>
                <w:bottom w:val="none" w:sz="0" w:space="0" w:color="auto"/>
                <w:right w:val="none" w:sz="0" w:space="0" w:color="auto"/>
              </w:divBdr>
            </w:div>
            <w:div w:id="1023242132">
              <w:marLeft w:val="0"/>
              <w:marRight w:val="0"/>
              <w:marTop w:val="0"/>
              <w:marBottom w:val="0"/>
              <w:divBdr>
                <w:top w:val="none" w:sz="0" w:space="0" w:color="auto"/>
                <w:left w:val="none" w:sz="0" w:space="0" w:color="auto"/>
                <w:bottom w:val="none" w:sz="0" w:space="0" w:color="auto"/>
                <w:right w:val="none" w:sz="0" w:space="0" w:color="auto"/>
              </w:divBdr>
            </w:div>
            <w:div w:id="578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9AAF-45E9-48C6-AAFF-51F5B367CD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8B671F-52B5-4A57-8188-E23ED74EA8B4}">
  <ds:schemaRefs>
    <ds:schemaRef ds:uri="http://schemas.microsoft.com/sharepoint/v3/contenttype/forms"/>
  </ds:schemaRefs>
</ds:datastoreItem>
</file>

<file path=customXml/itemProps3.xml><?xml version="1.0" encoding="utf-8"?>
<ds:datastoreItem xmlns:ds="http://schemas.openxmlformats.org/officeDocument/2006/customXml" ds:itemID="{9FB28ED5-D2FD-4BE5-9E09-6AC5D854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2267E0-5A6B-4927-8CE8-8E35E69A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11984</Characters>
  <Application>Microsoft Office Word</Application>
  <DocSecurity>0</DocSecurity>
  <Lines>352</Lines>
  <Paragraphs>184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CODESCU Ion (ENV)</dc:creator>
  <cp:lastModifiedBy>LAGES CARVALHO Patrick (SG)</cp:lastModifiedBy>
  <cp:revision>11</cp:revision>
  <cp:lastPrinted>2019-01-23T10:05:00Z</cp:lastPrinted>
  <dcterms:created xsi:type="dcterms:W3CDTF">2019-02-13T09:53:00Z</dcterms:created>
  <dcterms:modified xsi:type="dcterms:W3CDTF">2019-03-25T10:53:00Z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ontentTypeId">
    <vt:lpwstr>0x01010078E97EA221F96E4B9233A8505060E8B9</vt:lpwstr>
  </property>
  <property fmtid="{D5CDD505-2E9C-101B-9397-08002B2CF9AE}" pid="8" name="Offisync_UpdateToken">
    <vt:lpwstr>13</vt:lpwstr>
  </property>
  <property fmtid="{D5CDD505-2E9C-101B-9397-08002B2CF9AE}" pid="9" name="Offisync_UniqueId">
    <vt:lpwstr>181497</vt:lpwstr>
  </property>
  <property fmtid="{D5CDD505-2E9C-101B-9397-08002B2CF9AE}" pid="10" name="Jive_VersionGuid">
    <vt:lpwstr>f1562e83-4210-4c4a-b4c2-f5df04ff6de0</vt:lpwstr>
  </property>
  <property fmtid="{D5CDD505-2E9C-101B-9397-08002B2CF9AE}" pid="11" name="Offisync_ProviderInitializationData">
    <vt:lpwstr>https://connected.cnect.cec.eu.int</vt:lpwstr>
  </property>
  <property fmtid="{D5CDD505-2E9C-101B-9397-08002B2CF9AE}" pid="12" name="Jive_LatestUserAccountName">
    <vt:lpwstr>dalgaka</vt:lpwstr>
  </property>
  <property fmtid="{D5CDD505-2E9C-101B-9397-08002B2CF9AE}" pid="13" name="Offisync_ServerID">
    <vt:lpwstr>0d3b22a6-6203-4efc-8e8e-b5279256493b</vt:lpwstr>
  </property>
  <property fmtid="{D5CDD505-2E9C-101B-9397-08002B2CF9AE}" pid="14" name="Level of sensitivity">
    <vt:lpwstr>Standard treatment</vt:lpwstr>
  </property>
  <property fmtid="{D5CDD505-2E9C-101B-9397-08002B2CF9AE}" pid="15" name="Last edited using">
    <vt:lpwstr>LW 6.0.1, Build 20180503</vt:lpwstr>
  </property>
  <property fmtid="{D5CDD505-2E9C-101B-9397-08002B2CF9AE}" pid="16" name="Unique annex">
    <vt:lpwstr>1</vt:lpwstr>
  </property>
  <property fmtid="{D5CDD505-2E9C-101B-9397-08002B2CF9AE}" pid="17" name="Created using">
    <vt:lpwstr>LW 6.0.1, Build 20180503</vt:lpwstr>
  </property>
</Properties>
</file>