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91BFBE0-FDF9-4991-980E-E075708CB5CC" style="width:450.75pt;height:484.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5"/>
        </w:numPr>
        <w:spacing w:line="240" w:lineRule="auto"/>
        <w:rPr>
          <w:b/>
          <w:bCs/>
          <w:noProof/>
          <w:sz w:val="28"/>
          <w:szCs w:val="28"/>
        </w:rPr>
      </w:pPr>
      <w:bookmarkStart w:id="1" w:name="_GoBack"/>
      <w:bookmarkEnd w:id="1"/>
      <w:r>
        <w:rPr>
          <w:b/>
          <w:noProof/>
          <w:sz w:val="28"/>
        </w:rPr>
        <w:lastRenderedPageBreak/>
        <w:t>Пропуските в изпълнението на политиките в областта на околната среда струват на европейските граждани около 55 милиарда евро на година</w:t>
      </w:r>
    </w:p>
    <w:p>
      <w:pPr>
        <w:rPr>
          <w:rFonts w:cs="Times New Roman"/>
          <w:noProof/>
        </w:rPr>
      </w:pPr>
      <w:r>
        <w:rPr>
          <w:noProof/>
        </w:rPr>
        <w:t xml:space="preserve">Прилагането на политиката и правото на ЕС в областта на околната среда е от съществено значение за осигуряването на доброто състояние на околната среда. Преодоляването на различията между приетите решения и постигнатите резултати има ключова роля за гарантиране на добри екологични резултати за гражданите, както и за запазване на еднакви условия на конкуренция за икономическите оператори и създаване на възможности за социални и технологични иновации и икономическо развитие. В ново проучване от 2011 г. се изчислява, че общите разходи за обществото от пропуските в настоящото изпълнение на политиките в областта на околната среда възлизат на </w:t>
      </w:r>
      <w:r>
        <w:rPr>
          <w:noProof/>
          <w:color w:val="000000" w:themeColor="text1"/>
        </w:rPr>
        <w:t>около 55 милиарда евро</w:t>
      </w:r>
      <w:r>
        <w:rPr>
          <w:noProof/>
        </w:rPr>
        <w:t xml:space="preserve"> на година</w:t>
      </w:r>
      <w:r>
        <w:rPr>
          <w:noProof/>
          <w:vertAlign w:val="superscript"/>
        </w:rPr>
        <w:footnoteReference w:id="2"/>
      </w:r>
      <w:r>
        <w:rPr>
          <w:noProof/>
        </w:rPr>
        <w:t xml:space="preserve">. </w:t>
      </w:r>
    </w:p>
    <w:p>
      <w:pPr>
        <w:rPr>
          <w:rFonts w:cs="Times New Roman"/>
          <w:noProof/>
        </w:rPr>
      </w:pPr>
      <w:r>
        <w:rPr>
          <w:noProof/>
        </w:rPr>
        <w:t xml:space="preserve">Прегледът на изпълнението на политиките в областта на околната среда има за цел да се подобри изпълнението на тези политики и на съответното законодателство на ЕС, като се идентифицират причините за пропуските в изпълнението и се отстранят системните пречки за интегрирането на екологичните аспекти в различните сектори на политиката. В прегледа се представят основните предизвикателства пред всяка държава членка, както и съществуващите добри практики и примери за високи постижения. </w:t>
      </w:r>
    </w:p>
    <w:p>
      <w:pPr>
        <w:rPr>
          <w:rFonts w:cs="Times New Roman"/>
          <w:noProof/>
        </w:rPr>
      </w:pPr>
      <w:r>
        <w:rPr>
          <w:noProof/>
        </w:rPr>
        <w:t>Първият пакет за преглед на изпълнението на политиките в областта на околната среда беше приет през февруари 2017 г.</w:t>
      </w:r>
      <w:r>
        <w:rPr>
          <w:noProof/>
          <w:vertAlign w:val="superscript"/>
        </w:rPr>
        <w:footnoteReference w:id="3"/>
      </w:r>
      <w:r>
        <w:rPr>
          <w:noProof/>
        </w:rPr>
        <w:t>. След приемането му редица държави членки организираха национални диалози за преглед на изпълнението на тези политики по приоритетните теми, определени в докладите за съответните държави. В много случаи в тези диалози участваха както регионалните и местните органи, така и основните заинтересовани страни. Бяха организирани и диалози, съобразени с отделните сектори. Малко след приемането на първия пакет беше стартиран инструментът за партньорство TAIEX-EIR с цел улесняване на взаимното обучение между държавите членки, регионите и общините по отношение на подобряване на практиките им за изпълнение</w:t>
      </w:r>
      <w:r>
        <w:rPr>
          <w:noProof/>
          <w:vertAlign w:val="superscript"/>
        </w:rPr>
        <w:footnoteReference w:id="4"/>
      </w:r>
      <w:r>
        <w:rPr>
          <w:noProof/>
        </w:rPr>
        <w:t xml:space="preserve">. </w:t>
      </w:r>
    </w:p>
    <w:p>
      <w:pPr>
        <w:rPr>
          <w:rFonts w:cs="Times New Roman"/>
          <w:noProof/>
        </w:rPr>
      </w:pPr>
      <w:r>
        <w:rPr>
          <w:noProof/>
        </w:rPr>
        <w:t xml:space="preserve">Настоящият пакет включва настоящото съобщение, приложение, в което се изброяват ключовите приоритетни действия, документ за политиката и 28 доклада по държави, в които се очертават актуалното състояние на изпълнението по отношение на основните области и цели на правилата на ЕС за околната среда, както и основните предизвикателства и възможности за всяка държава членка. </w:t>
      </w:r>
    </w:p>
    <w:p>
      <w:pPr>
        <w:rPr>
          <w:rFonts w:cs="Times New Roman"/>
          <w:noProof/>
        </w:rPr>
      </w:pPr>
      <w:r>
        <w:rPr>
          <w:noProof/>
        </w:rPr>
        <w:t>Производствата за установяване на нарушение продължават да бъдат важен инструмент за гарантиране на правилното изпълнение на правните задължения</w:t>
      </w:r>
      <w:r>
        <w:rPr>
          <w:noProof/>
          <w:vertAlign w:val="superscript"/>
        </w:rPr>
        <w:footnoteReference w:id="5"/>
      </w:r>
      <w:r>
        <w:rPr>
          <w:noProof/>
        </w:rPr>
        <w:t xml:space="preserve"> и поради това прегледът на изпълнението на политиките в областта на околната среда не засяга действията на Комисията за принудително изпълнение съгласно Договорите под контрола на Съда на ЕС</w:t>
      </w:r>
      <w:r>
        <w:rPr>
          <w:noProof/>
          <w:vertAlign w:val="superscript"/>
        </w:rPr>
        <w:footnoteReference w:id="6"/>
      </w:r>
      <w:r>
        <w:rPr>
          <w:noProof/>
        </w:rPr>
        <w:t>. Прегледът на изпълнението на политиките в областта на околната среда създава възможност за по-стриктно спазване на законодателството на ЕС в областта на околната среда чрез преодоляване на първопричините за некачественото изпълнение и насърчаване на по-ефективното прилагане, при условие че държавите членки предприемат бързо и решително поне приоритетните действия.</w:t>
      </w:r>
    </w:p>
    <w:p>
      <w:pPr>
        <w:rPr>
          <w:rFonts w:cs="Times New Roman"/>
          <w:noProof/>
        </w:rPr>
      </w:pPr>
      <w:r>
        <w:rPr>
          <w:noProof/>
        </w:rPr>
        <w:t xml:space="preserve">В пакета се представя състоянието на изпълнението на политиките в областта на околната среда към януари 2019 г., като неговата цел е да се насърчи сътрудничеството между публичните органи и заинтересованите страни, така че да бъдат формулирани индивидуални решения за по-ефективно отстраняване на пропуските в изпълнението. В отговор на становищата, получени от държавите членки, Европейския парламент, Икономическия и социален комитет, Комитета на регионите и различните заинтересовани страни в първия цикъл, в докладите по държави за 2019 г. се съдържат няколко нови теми, които не бяха засегнати през 2017 г.: изменение на климата, инвазивни чужди видове, промишлени емисии и химикали, както и нова информация. Въпреки това структурата продължава да бъде сходна с тази на докладите за преглед на изпълнението на политиките в областта на околната среда от 2017 г. </w:t>
      </w:r>
    </w:p>
    <w:p>
      <w:pPr>
        <w:spacing w:after="200" w:line="276" w:lineRule="auto"/>
        <w:jc w:val="left"/>
        <w:rPr>
          <w:rFonts w:cs="Times New Roman"/>
          <w:noProof/>
        </w:rPr>
      </w:pPr>
      <w:r>
        <w:rPr>
          <w:noProof/>
        </w:rPr>
        <w:br w:type="page"/>
      </w:r>
    </w:p>
    <w:p>
      <w:pPr>
        <w:pStyle w:val="ListParagraph"/>
        <w:numPr>
          <w:ilvl w:val="0"/>
          <w:numId w:val="5"/>
        </w:numPr>
        <w:spacing w:before="240"/>
        <w:rPr>
          <w:rFonts w:cs="Times New Roman"/>
          <w:noProof/>
          <w:sz w:val="28"/>
          <w:szCs w:val="28"/>
        </w:rPr>
      </w:pPr>
      <w:r>
        <w:rPr>
          <w:b/>
          <w:noProof/>
          <w:sz w:val="28"/>
        </w:rPr>
        <w:t>Състояние на изпълнението: основни приоритети</w:t>
      </w:r>
    </w:p>
    <w:p>
      <w:pPr>
        <w:pStyle w:val="ListParagraph"/>
        <w:ind w:left="360"/>
        <w:rPr>
          <w:rFonts w:cs="Times New Roman"/>
          <w:noProof/>
          <w:sz w:val="28"/>
        </w:rPr>
      </w:pPr>
    </w:p>
    <w:p>
      <w:pPr>
        <w:rPr>
          <w:rFonts w:cs="Times New Roman"/>
          <w:b/>
          <w:bCs/>
          <w:noProof/>
          <w:sz w:val="24"/>
          <w:szCs w:val="24"/>
        </w:rPr>
      </w:pPr>
      <w:r>
        <w:rPr>
          <w:b/>
          <w:noProof/>
          <w:sz w:val="24"/>
        </w:rPr>
        <w:t>2.1. Превръщане на ЕС в ефективна от гледна точка на използването на ресурсите, екологосъобразна и конкурентоспособна нисковъглеродна кръгова икономика</w:t>
      </w:r>
    </w:p>
    <w:p>
      <w:pPr>
        <w:rPr>
          <w:rFonts w:cs="Times New Roman"/>
          <w:noProof/>
        </w:rPr>
      </w:pPr>
      <w:r>
        <w:rPr>
          <w:b/>
          <w:noProof/>
        </w:rPr>
        <w:t>Преходът от линейна към кръгова икономика е възможност да трансформираме нашата икономика и да повишим нейната устойчивост</w:t>
      </w:r>
      <w:r>
        <w:rPr>
          <w:noProof/>
        </w:rPr>
        <w:t xml:space="preserve">, като преминем към модел, при който продуктите, материалите и ресурсите се поддържат и използват възможно най-дълго време. Надеждното предотвратяване и управление на отпадъците е основен градивен елемент на кръговата икономика, тъй като спомага както за предотвратяване на отрицателното въздействие на отпадъците върху околната среда и здравето, така и за насочването им към ефективни начини на употреба. </w:t>
      </w:r>
    </w:p>
    <w:p>
      <w:pPr>
        <w:rPr>
          <w:rFonts w:cs="Times New Roman"/>
          <w:noProof/>
        </w:rPr>
      </w:pPr>
      <w:r>
        <w:rPr>
          <w:noProof/>
          <w:lang w:val="en-GB" w:eastAsia="en-GB" w:bidi="ar-SA"/>
        </w:rPr>
        <mc:AlternateContent>
          <mc:Choice Requires="wpg">
            <w:drawing>
              <wp:anchor distT="0" distB="0" distL="114300" distR="114300" simplePos="0" relativeHeight="251663360" behindDoc="1" locked="0" layoutInCell="1" allowOverlap="1">
                <wp:simplePos x="0" y="0"/>
                <wp:positionH relativeFrom="column">
                  <wp:posOffset>152400</wp:posOffset>
                </wp:positionH>
                <wp:positionV relativeFrom="paragraph">
                  <wp:posOffset>-1066800</wp:posOffset>
                </wp:positionV>
                <wp:extent cx="2219960" cy="3105150"/>
                <wp:effectExtent l="0" t="19050" r="27940" b="76200"/>
                <wp:wrapThrough wrapText="bothSides">
                  <wp:wrapPolygon edited="0">
                    <wp:start x="2780" y="-133"/>
                    <wp:lineTo x="1854" y="0"/>
                    <wp:lineTo x="0" y="1458"/>
                    <wp:lineTo x="0" y="19347"/>
                    <wp:lineTo x="927" y="21202"/>
                    <wp:lineTo x="1112" y="21202"/>
                    <wp:lineTo x="2966" y="21865"/>
                    <wp:lineTo x="3151" y="21998"/>
                    <wp:lineTo x="18535" y="21998"/>
                    <wp:lineTo x="18721" y="21865"/>
                    <wp:lineTo x="20574" y="21202"/>
                    <wp:lineTo x="20760" y="21202"/>
                    <wp:lineTo x="21686" y="19347"/>
                    <wp:lineTo x="21686" y="1458"/>
                    <wp:lineTo x="19833" y="0"/>
                    <wp:lineTo x="18906" y="-133"/>
                    <wp:lineTo x="2780" y="-133"/>
                  </wp:wrapPolygon>
                </wp:wrapThrough>
                <wp:docPr id="17" name="Group 16"/>
                <wp:cNvGraphicFramePr/>
                <a:graphic xmlns:a="http://schemas.openxmlformats.org/drawingml/2006/main">
                  <a:graphicData uri="http://schemas.microsoft.com/office/word/2010/wordprocessingGroup">
                    <wpg:wgp>
                      <wpg:cNvGrpSpPr/>
                      <wpg:grpSpPr>
                        <a:xfrm>
                          <a:off x="0" y="0"/>
                          <a:ext cx="2219960" cy="3105150"/>
                          <a:chOff x="0" y="0"/>
                          <a:chExt cx="2959947" cy="4140200"/>
                        </a:xfrm>
                      </wpg:grpSpPr>
                      <pic:pic xmlns:pic="http://schemas.openxmlformats.org/drawingml/2006/picture">
                        <pic:nvPicPr>
                          <pic:cNvPr id="2" name="Picture 2"/>
                          <pic:cNvPicPr>
                            <a:picLocks noChangeAspect="1"/>
                          </pic:cNvPicPr>
                        </pic:nvPicPr>
                        <pic:blipFill rotWithShape="1">
                          <a:blip r:embed="rId19"/>
                          <a:srcRect r="57391"/>
                          <a:stretch/>
                        </pic:blipFill>
                        <pic:spPr>
                          <a:xfrm>
                            <a:off x="1161621" y="780365"/>
                            <a:ext cx="1423794" cy="908158"/>
                          </a:xfrm>
                          <a:prstGeom prst="rect">
                            <a:avLst/>
                          </a:prstGeom>
                        </pic:spPr>
                      </pic:pic>
                      <wpg:grpSp>
                        <wpg:cNvPr id="3" name="Group 3"/>
                        <wpg:cNvGrpSpPr/>
                        <wpg:grpSpPr>
                          <a:xfrm>
                            <a:off x="205741" y="1664507"/>
                            <a:ext cx="792088" cy="2060569"/>
                            <a:chOff x="205741" y="1664507"/>
                            <a:chExt cx="792088" cy="2060569"/>
                          </a:xfrm>
                        </wpg:grpSpPr>
                        <wps:wsp>
                          <wps:cNvPr id="11" name="Oval 11"/>
                          <wps:cNvSpPr/>
                          <wps:spPr>
                            <a:xfrm>
                              <a:off x="315066" y="3214787"/>
                              <a:ext cx="506096" cy="510289"/>
                            </a:xfrm>
                            <a:prstGeom prst="ellipse">
                              <a:avLst/>
                            </a:prstGeom>
                            <a:solidFill>
                              <a:srgbClr val="92D050"/>
                            </a:solidFill>
                            <a:ln w="9525" cap="flat" cmpd="sng" algn="ctr">
                              <a:solidFill>
                                <a:srgbClr val="133176"/>
                              </a:solidFill>
                              <a:prstDash val="solid"/>
                            </a:ln>
                            <a:effectLst>
                              <a:outerShdw blurRad="40000" dist="23000" dir="5400000" rotWithShape="0">
                                <a:srgbClr val="000000">
                                  <a:alpha val="35000"/>
                                </a:srgbClr>
                              </a:outerShdw>
                            </a:effectLst>
                          </wps:spPr>
                          <wps:txbx>
                            <w:txbxContent>
                              <w:p>
                                <w:pPr>
                                  <w:pStyle w:val="NormalWeb"/>
                                  <w:spacing w:before="0" w:beforeAutospacing="0" w:after="0" w:afterAutospacing="0"/>
                                  <w:jc w:val="center"/>
                                </w:pPr>
                                <w:r>
                                  <w:rPr>
                                    <w:rFonts w:asciiTheme="minorHAnsi" w:hAnsi="Calibri"/>
                                    <w:color w:val="000000" w:themeColor="text1"/>
                                  </w:rPr>
                                  <w:t>5</w:t>
                                </w:r>
                              </w:p>
                            </w:txbxContent>
                          </wps:txbx>
                          <wps:bodyPr rtlCol="0" anchor="ctr"/>
                        </wps:wsp>
                        <wps:wsp>
                          <wps:cNvPr id="12" name="Oval 12"/>
                          <wps:cNvSpPr/>
                          <wps:spPr>
                            <a:xfrm>
                              <a:off x="205741" y="1664507"/>
                              <a:ext cx="792088" cy="792088"/>
                            </a:xfrm>
                            <a:prstGeom prst="ellipse">
                              <a:avLst/>
                            </a:prstGeom>
                            <a:solidFill>
                              <a:srgbClr val="FFC000"/>
                            </a:solidFill>
                            <a:ln w="9525" cap="flat" cmpd="sng" algn="ctr">
                              <a:solidFill>
                                <a:srgbClr val="133176"/>
                              </a:solidFill>
                              <a:prstDash val="solid"/>
                            </a:ln>
                            <a:effectLst>
                              <a:outerShdw blurRad="40000" dist="23000" dir="5400000" rotWithShape="0">
                                <a:srgbClr val="000000">
                                  <a:alpha val="35000"/>
                                </a:srgbClr>
                              </a:outerShdw>
                            </a:effectLst>
                          </wps:spPr>
                          <wps:txbx>
                            <w:txbxContent>
                              <w:p>
                                <w:pPr>
                                  <w:pStyle w:val="NormalWeb"/>
                                  <w:spacing w:before="0" w:beforeAutospacing="0" w:after="0" w:afterAutospacing="0"/>
                                  <w:jc w:val="center"/>
                                </w:pPr>
                                <w:r>
                                  <w:rPr>
                                    <w:rFonts w:asciiTheme="minorHAnsi" w:hAnsi="Calibri"/>
                                    <w:color w:val="000000" w:themeColor="text1"/>
                                    <w:sz w:val="27"/>
                                    <w:szCs w:val="27"/>
                                  </w:rPr>
                                  <w:t>14</w:t>
                                </w:r>
                              </w:p>
                            </w:txbxContent>
                          </wps:txbx>
                          <wps:bodyPr rtlCol="0" anchor="ctr"/>
                        </wps:wsp>
                        <wps:wsp>
                          <wps:cNvPr id="13" name="Oval 13"/>
                          <wps:cNvSpPr/>
                          <wps:spPr>
                            <a:xfrm>
                              <a:off x="315066" y="2544924"/>
                              <a:ext cx="573435" cy="576064"/>
                            </a:xfrm>
                            <a:prstGeom prst="ellipse">
                              <a:avLst/>
                            </a:prstGeom>
                            <a:solidFill>
                              <a:srgbClr val="FFFF00"/>
                            </a:solidFill>
                            <a:ln w="9525" cap="flat" cmpd="sng" algn="ctr">
                              <a:solidFill>
                                <a:srgbClr val="133176"/>
                              </a:solidFill>
                              <a:prstDash val="solid"/>
                            </a:ln>
                            <a:effectLst>
                              <a:outerShdw blurRad="40000" dist="23000" dir="5400000" rotWithShape="0">
                                <a:srgbClr val="000000">
                                  <a:alpha val="35000"/>
                                </a:srgbClr>
                              </a:outerShdw>
                            </a:effectLst>
                          </wps:spPr>
                          <wps:txbx>
                            <w:txbxContent>
                              <w:p>
                                <w:pPr>
                                  <w:pStyle w:val="NormalWeb"/>
                                  <w:spacing w:before="0" w:beforeAutospacing="0" w:after="0" w:afterAutospacing="0"/>
                                  <w:jc w:val="center"/>
                                </w:pPr>
                                <w:r>
                                  <w:rPr>
                                    <w:rFonts w:asciiTheme="minorHAnsi" w:hAnsi="Calibri"/>
                                    <w:color w:val="000000" w:themeColor="text1"/>
                                    <w:sz w:val="27"/>
                                    <w:szCs w:val="27"/>
                                  </w:rPr>
                                  <w:t>9</w:t>
                                </w:r>
                              </w:p>
                            </w:txbxContent>
                          </wps:txbx>
                          <wps:bodyPr rtlCol="0" anchor="ctr"/>
                        </wps:wsp>
                      </wpg:grpSp>
                      <wps:wsp>
                        <wps:cNvPr id="4" name="TextBox 8"/>
                        <wps:cNvSpPr txBox="1"/>
                        <wps:spPr>
                          <a:xfrm>
                            <a:off x="1095325" y="3315291"/>
                            <a:ext cx="1711960" cy="409787"/>
                          </a:xfrm>
                          <a:prstGeom prst="rect">
                            <a:avLst/>
                          </a:prstGeom>
                          <a:noFill/>
                        </wps:spPr>
                        <wps:txbx>
                          <w:txbxContent>
                            <w:p>
                              <w:pPr>
                                <w:pStyle w:val="NormalWeb"/>
                                <w:spacing w:before="0" w:beforeAutospacing="0" w:after="0" w:afterAutospacing="0"/>
                                <w:textAlignment w:val="baseline"/>
                              </w:pPr>
                              <w:r>
                                <w:rPr>
                                  <w:rFonts w:ascii="Verdana" w:hAnsi="Verdana"/>
                                  <w:color w:val="0F5494"/>
                                  <w:sz w:val="14"/>
                                  <w:szCs w:val="14"/>
                                </w:rPr>
                                <w:t>Целта за 2020 г. е постигната</w:t>
                              </w:r>
                            </w:p>
                          </w:txbxContent>
                        </wps:txbx>
                        <wps:bodyPr wrap="square" rtlCol="0">
                          <a:spAutoFit/>
                        </wps:bodyPr>
                      </wps:wsp>
                      <wps:wsp>
                        <wps:cNvPr id="5" name="TextBox 9"/>
                        <wps:cNvSpPr txBox="1"/>
                        <wps:spPr>
                          <a:xfrm>
                            <a:off x="1090439" y="1872228"/>
                            <a:ext cx="1611207" cy="553720"/>
                          </a:xfrm>
                          <a:prstGeom prst="rect">
                            <a:avLst/>
                          </a:prstGeom>
                          <a:noFill/>
                        </wps:spPr>
                        <wps:txbx>
                          <w:txbxContent>
                            <w:p>
                              <w:pPr>
                                <w:pStyle w:val="NormalWeb"/>
                                <w:spacing w:before="0" w:beforeAutospacing="0" w:after="0" w:afterAutospacing="0"/>
                                <w:textAlignment w:val="baseline"/>
                              </w:pPr>
                              <w:r>
                                <w:rPr>
                                  <w:rFonts w:ascii="Verdana" w:hAnsi="Verdana"/>
                                  <w:color w:val="0F5494"/>
                                  <w:sz w:val="14"/>
                                  <w:szCs w:val="14"/>
                                </w:rPr>
                                <w:t>В риск от неизпълнение на целта за 2020 г.</w:t>
                              </w:r>
                            </w:p>
                          </w:txbxContent>
                        </wps:txbx>
                        <wps:bodyPr wrap="square" rtlCol="0">
                          <a:spAutoFit/>
                        </wps:bodyPr>
                      </wps:wsp>
                      <wps:wsp>
                        <wps:cNvPr id="6" name="TextBox 10"/>
                        <wps:cNvSpPr txBox="1"/>
                        <wps:spPr>
                          <a:xfrm>
                            <a:off x="44857" y="1168433"/>
                            <a:ext cx="1113851" cy="446447"/>
                          </a:xfrm>
                          <a:prstGeom prst="rect">
                            <a:avLst/>
                          </a:prstGeom>
                          <a:noFill/>
                        </wps:spPr>
                        <wps:txbx>
                          <w:txbxContent>
                            <w:p>
                              <w:pPr>
                                <w:pStyle w:val="NormalWeb"/>
                                <w:spacing w:before="0" w:beforeAutospacing="0" w:after="0" w:afterAutospacing="0"/>
                                <w:jc w:val="center"/>
                                <w:textAlignment w:val="baseline"/>
                              </w:pPr>
                              <w:r>
                                <w:rPr>
                                  <w:rFonts w:ascii="Verdana" w:hAnsi="Verdana"/>
                                  <w:i/>
                                  <w:iCs/>
                                  <w:color w:val="0F5494"/>
                                  <w:sz w:val="16"/>
                                  <w:szCs w:val="16"/>
                                </w:rPr>
                                <w:t>Държави членки</w:t>
                              </w:r>
                            </w:p>
                          </w:txbxContent>
                        </wps:txbx>
                        <wps:bodyPr wrap="square" rtlCol="0">
                          <a:spAutoFit/>
                        </wps:bodyPr>
                      </wps:wsp>
                      <wps:wsp>
                        <wps:cNvPr id="7" name="Rounded Rectangle 7"/>
                        <wps:cNvSpPr/>
                        <wps:spPr>
                          <a:xfrm rot="5400000">
                            <a:off x="-572020" y="636460"/>
                            <a:ext cx="4104458" cy="2831538"/>
                          </a:xfrm>
                          <a:prstGeom prst="roundRect">
                            <a:avLst/>
                          </a:prstGeom>
                          <a:noFill/>
                          <a:ln w="9525" cap="flat" cmpd="sng" algn="ctr">
                            <a:solidFill>
                              <a:srgbClr val="133176"/>
                            </a:solidFill>
                            <a:prstDash val="solid"/>
                          </a:ln>
                          <a:effectLst>
                            <a:outerShdw blurRad="40000" dist="23000" dir="5400000" rotWithShape="0">
                              <a:srgbClr val="000000">
                                <a:alpha val="35000"/>
                              </a:srgbClr>
                            </a:outerShdw>
                          </a:effectLst>
                        </wps:spPr>
                        <wps:bodyPr rtlCol="0" anchor="ctr"/>
                      </wps:wsp>
                      <wps:wsp>
                        <wps:cNvPr id="8" name="TextBox 1"/>
                        <wps:cNvSpPr txBox="1"/>
                        <wps:spPr>
                          <a:xfrm>
                            <a:off x="0" y="173767"/>
                            <a:ext cx="2959947" cy="780627"/>
                          </a:xfrm>
                          <a:prstGeom prst="rect">
                            <a:avLst/>
                          </a:prstGeom>
                          <a:noFill/>
                        </wps:spPr>
                        <wps:txbx>
                          <w:txbxContent>
                            <w:p>
                              <w:pPr>
                                <w:pStyle w:val="NormalWeb"/>
                                <w:spacing w:before="0" w:beforeAutospacing="0" w:after="0" w:afterAutospacing="0"/>
                                <w:jc w:val="center"/>
                                <w:textAlignment w:val="baseline"/>
                              </w:pPr>
                              <w:r>
                                <w:rPr>
                                  <w:rFonts w:ascii="Verdana" w:hAnsi="Verdana"/>
                                  <w:color w:val="0F5494"/>
                                  <w:sz w:val="20"/>
                                  <w:szCs w:val="20"/>
                                </w:rPr>
                                <w:t>Цел за рециклиране на битови отпадъци</w:t>
                              </w:r>
                            </w:p>
                            <w:p>
                              <w:pPr>
                                <w:pStyle w:val="NormalWeb"/>
                                <w:spacing w:before="0" w:beforeAutospacing="0" w:after="0" w:afterAutospacing="0"/>
                                <w:jc w:val="center"/>
                                <w:textAlignment w:val="baseline"/>
                              </w:pPr>
                              <w:r>
                                <w:rPr>
                                  <w:rFonts w:ascii="Verdana" w:hAnsi="Verdana"/>
                                  <w:color w:val="0F5494"/>
                                  <w:sz w:val="12"/>
                                  <w:szCs w:val="12"/>
                                </w:rPr>
                                <w:t>50 % подготовка за повторна употреба/рециклиране до 2020 г.</w:t>
                              </w:r>
                            </w:p>
                          </w:txbxContent>
                        </wps:txbx>
                        <wps:bodyPr wrap="square" rtlCol="0">
                          <a:spAutoFit/>
                        </wps:bodyPr>
                      </wps:wsp>
                      <wps:wsp>
                        <wps:cNvPr id="9" name="TextBox 13"/>
                        <wps:cNvSpPr txBox="1"/>
                        <wps:spPr>
                          <a:xfrm>
                            <a:off x="482599" y="3792220"/>
                            <a:ext cx="2102815" cy="347980"/>
                          </a:xfrm>
                          <a:prstGeom prst="rect">
                            <a:avLst/>
                          </a:prstGeom>
                          <a:noFill/>
                        </wps:spPr>
                        <wps:txbx>
                          <w:txbxContent>
                            <w:p>
                              <w:pPr>
                                <w:pStyle w:val="NormalWeb"/>
                                <w:spacing w:before="0" w:beforeAutospacing="0" w:after="0" w:afterAutospacing="0"/>
                                <w:jc w:val="center"/>
                                <w:textAlignment w:val="baseline"/>
                              </w:pPr>
                              <w:r>
                                <w:rPr>
                                  <w:rFonts w:ascii="Verdana" w:hAnsi="Verdana"/>
                                  <w:i/>
                                  <w:iCs/>
                                  <w:color w:val="0F5494"/>
                                  <w:sz w:val="11"/>
                                  <w:szCs w:val="11"/>
                                </w:rPr>
                                <w:t>Източник: Евростат и доклади за ранно предупреждение</w:t>
                              </w:r>
                            </w:p>
                          </w:txbxContent>
                        </wps:txbx>
                        <wps:bodyPr wrap="square" rtlCol="0">
                          <a:spAutoFit/>
                        </wps:bodyPr>
                      </wps:wsp>
                      <wps:wsp>
                        <wps:cNvPr id="10" name="TextBox 14"/>
                        <wps:cNvSpPr txBox="1"/>
                        <wps:spPr>
                          <a:xfrm>
                            <a:off x="1095325" y="2647160"/>
                            <a:ext cx="1711960" cy="409787"/>
                          </a:xfrm>
                          <a:prstGeom prst="rect">
                            <a:avLst/>
                          </a:prstGeom>
                          <a:noFill/>
                        </wps:spPr>
                        <wps:txbx>
                          <w:txbxContent>
                            <w:p>
                              <w:pPr>
                                <w:pStyle w:val="NormalWeb"/>
                                <w:spacing w:before="0" w:beforeAutospacing="0" w:after="0" w:afterAutospacing="0"/>
                                <w:textAlignment w:val="baseline"/>
                              </w:pPr>
                              <w:r>
                                <w:rPr>
                                  <w:rFonts w:ascii="Verdana" w:hAnsi="Verdana"/>
                                  <w:color w:val="0F5494"/>
                                  <w:sz w:val="14"/>
                                  <w:szCs w:val="14"/>
                                </w:rPr>
                                <w:t>На път да постигнат целта за 2020 г.</w:t>
                              </w:r>
                            </w:p>
                          </w:txbxContent>
                        </wps:txbx>
                        <wps:bodyPr wrap="square" rtlCol="0">
                          <a:spAutoFit/>
                        </wps:bodyPr>
                      </wps:wsp>
                    </wpg:wgp>
                  </a:graphicData>
                </a:graphic>
              </wp:anchor>
            </w:drawing>
          </mc:Choice>
          <mc:Fallback>
            <w:pict>
              <v:group id="Group 16" o:spid="_x0000_s1026" style="position:absolute;left:0;text-align:left;margin-left:12pt;margin-top:-84pt;width:174.8pt;height:244.5pt;z-index:-251653120" coordsize="29599,4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">
                <v:shape id="Picture 2" o:spid="_x0000_s1027" type="#_x0000_t75" style="position:absolute;left:11616;top:7803;width:14238;height:90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uVzfBAAAA2gAAAA8AAABkcnMvZG93bnJldi54bWxEj82LwjAUxO/C/g/hLexNUz0sWo2yu7Dg&#10;SfDjYG+P5tlWm5eSpB/+90YQPA4z8xtmtRlMLTpyvrKsYDpJQBDnVldcKDgd/8dzED4ga6wtk4I7&#10;edisP0YrTLXteU/dIRQiQtinqKAMoUml9HlJBv3ENsTRu1hnMETpCqkd9hFuajlLkm9psOK4UGJD&#10;fyXlt0NrFPBi585t9ztFd8c2a+ZZf+0ypb4+h58liEBDeIdf7a1WMIPnlXg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uVzfBAAAA2gAAAA8AAAAAAAAAAAAAAAAAnwIA&#10;AGRycy9kb3ducmV2LnhtbFBLBQYAAAAABAAEAPcAAACNAwAAAAA=&#10;">
                  <v:imagedata r:id="rId20" o:title="" cropright="37612f"/>
                  <v:path arrowok="t"/>
                </v:shape>
                <v:group id="Group 3" o:spid="_x0000_s1028" style="position:absolute;left:2057;top:16645;width:7921;height:20605" coordorigin="2057,16645" coordsize="7920,20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1" o:spid="_x0000_s1029" style="position:absolute;left:3150;top:32147;width:5061;height: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a8470A&#10;AADbAAAADwAAAGRycy9kb3ducmV2LnhtbERPSwrCMBDdC94hjOBOU11oqUYRUVARxc8BhmZsi82k&#10;NFHr7Y0guJvH+8503phSPKl2hWUFg34Egji1uuBMwfWy7sUgnEfWWFomBW9yMJ+1W1NMtH3xiZ5n&#10;n4kQwi5BBbn3VSKlS3My6Pq2Ig7czdYGfYB1JnWNrxBuSjmMopE0WHBoyLGiZU7p/fwwCiSvdyMX&#10;H/dxtTyU4/1qu7Bmq1S30ywmIDw1/i/+uTc6zB/A95dwgJ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4a8470AAADbAAAADwAAAAAAAAAAAAAAAACYAgAAZHJzL2Rvd25yZXYu&#10;eG1sUEsFBgAAAAAEAAQA9QAAAIIDAAAAAA==&#10;" fillcolor="#92d050" strokecolor="#133176">
                    <v:shadow on="t" color="black" opacity="22937f" origin=",.5" offset="0,.63889mm"/>
                    <v:textbox>
                      <w:txbxContent>
                        <w:p>
                          <w:pPr>
                            <w:pStyle w:val="NormalWeb"/>
                            <w:spacing w:before="0" w:beforeAutospacing="0" w:after="0" w:afterAutospacing="0"/>
                            <w:jc w:val="center"/>
                          </w:pPr>
                          <w:r>
                            <w:rPr>
                              <w:rFonts w:asciiTheme="minorHAnsi" w:hAnsi="Calibri"/>
                              <w:color w:val="000000" w:themeColor="text1"/>
                            </w:rPr>
                            <w:t>5</w:t>
                          </w:r>
                        </w:p>
                      </w:txbxContent>
                    </v:textbox>
                  </v:oval>
                  <v:oval id="Oval 12" o:spid="_x0000_s1030" style="position:absolute;left:2057;top:16645;width:7921;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IqcIA&#10;AADbAAAADwAAAGRycy9kb3ducmV2LnhtbERPS2uDQBC+F/Iflgn01qwVbFPjJoQQoYde8oIeR3ei&#10;UnfWuFu1/z5bKPQ2H99zss1kWjFQ7xrLCp4XEQji0uqGKwXnU/60BOE8ssbWMin4IQeb9ewhw1Tb&#10;kQ80HH0lQgi7FBXU3neplK6syaBb2I44cFfbG/QB9pXUPY4h3LQyjqIXabDh0FBjR7uayq/jt1Hw&#10;sRv3aPfLPP9Mkld9id+K4qaVepxP2xUIT5P/F/+533WYH8PvL+E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QipwgAAANsAAAAPAAAAAAAAAAAAAAAAAJgCAABkcnMvZG93&#10;bnJldi54bWxQSwUGAAAAAAQABAD1AAAAhwMAAAAA&#10;" fillcolor="#ffc000" strokecolor="#133176">
                    <v:shadow on="t" color="black" opacity="22937f" origin=",.5" offset="0,.63889mm"/>
                    <v:textbox>
                      <w:txbxContent>
                        <w:p>
                          <w:pPr>
                            <w:pStyle w:val="NormalWeb"/>
                            <w:spacing w:before="0" w:beforeAutospacing="0" w:after="0" w:afterAutospacing="0"/>
                            <w:jc w:val="center"/>
                          </w:pPr>
                          <w:r>
                            <w:rPr>
                              <w:rFonts w:asciiTheme="minorHAnsi" w:hAnsi="Calibri"/>
                              <w:color w:val="000000" w:themeColor="text1"/>
                              <w:sz w:val="27"/>
                              <w:szCs w:val="27"/>
                            </w:rPr>
                            <w:t>14</w:t>
                          </w:r>
                        </w:p>
                      </w:txbxContent>
                    </v:textbox>
                  </v:oval>
                  <v:oval id="Oval 13" o:spid="_x0000_s1031" style="position:absolute;left:3150;top:25449;width:5735;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ZF8QA&#10;AADbAAAADwAAAGRycy9kb3ducmV2LnhtbERPTWsCMRC9F/wPYQQvpWa1ImU1iigWKfagFoq3YTNu&#10;VjeTdZPV7b9vCkJv83ifM523thQ3qn3hWMGgn4AgzpwuOFfwdVi/vIHwAVlj6ZgU/JCH+azzNMVU&#10;uzvv6LYPuYgh7FNUYEKoUil9Zsii77uKOHInV1sMEda51DXeY7gt5TBJxtJiwbHBYEVLQ9ll31gF&#10;249xMWo2o+/r+8kcj+vPMz83K6V63XYxARGoDf/ih3uj4/xX+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pGRfEAAAA2wAAAA8AAAAAAAAAAAAAAAAAmAIAAGRycy9k&#10;b3ducmV2LnhtbFBLBQYAAAAABAAEAPUAAACJAwAAAAA=&#10;" fillcolor="yellow" strokecolor="#133176">
                    <v:shadow on="t" color="black" opacity="22937f" origin=",.5" offset="0,.63889mm"/>
                    <v:textbox>
                      <w:txbxContent>
                        <w:p>
                          <w:pPr>
                            <w:pStyle w:val="NormalWeb"/>
                            <w:spacing w:before="0" w:beforeAutospacing="0" w:after="0" w:afterAutospacing="0"/>
                            <w:jc w:val="center"/>
                          </w:pPr>
                          <w:r>
                            <w:rPr>
                              <w:rFonts w:asciiTheme="minorHAnsi" w:hAnsi="Calibri"/>
                              <w:color w:val="000000" w:themeColor="text1"/>
                              <w:sz w:val="27"/>
                              <w:szCs w:val="27"/>
                            </w:rPr>
                            <w:t>9</w:t>
                          </w:r>
                        </w:p>
                      </w:txbxContent>
                    </v:textbox>
                  </v:oval>
                </v:group>
                <v:shapetype id="_x0000_t202" coordsize="21600,21600" o:spt="202" path="m,l,21600r21600,l21600,xe">
                  <v:stroke joinstyle="miter"/>
                  <v:path gradientshapeok="t" o:connecttype="rect"/>
                </v:shapetype>
                <v:shape id="TextBox 8" o:spid="_x0000_s1032" type="#_x0000_t202" style="position:absolute;left:10953;top:33152;width:17119;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pPr>
                          <w:pStyle w:val="NormalWeb"/>
                          <w:spacing w:before="0" w:beforeAutospacing="0" w:after="0" w:afterAutospacing="0"/>
                          <w:textAlignment w:val="baseline"/>
                        </w:pPr>
                        <w:r>
                          <w:rPr>
                            <w:rFonts w:ascii="Verdana" w:hAnsi="Verdana"/>
                            <w:color w:val="0F5494"/>
                            <w:sz w:val="14"/>
                            <w:szCs w:val="14"/>
                          </w:rPr>
                          <w:t>Целта за 2020 г. е постигната</w:t>
                        </w:r>
                      </w:p>
                    </w:txbxContent>
                  </v:textbox>
                </v:shape>
                <v:shape id="TextBox 9" o:spid="_x0000_s1033" type="#_x0000_t202" style="position:absolute;left:10904;top:18722;width:16112;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pPr>
                          <w:pStyle w:val="NormalWeb"/>
                          <w:spacing w:before="0" w:beforeAutospacing="0" w:after="0" w:afterAutospacing="0"/>
                          <w:textAlignment w:val="baseline"/>
                        </w:pPr>
                        <w:r>
                          <w:rPr>
                            <w:rFonts w:ascii="Verdana" w:hAnsi="Verdana"/>
                            <w:color w:val="0F5494"/>
                            <w:sz w:val="14"/>
                            <w:szCs w:val="14"/>
                          </w:rPr>
                          <w:t>В риск от неизпълнение на целта за 2020 г.</w:t>
                        </w:r>
                      </w:p>
                    </w:txbxContent>
                  </v:textbox>
                </v:shape>
                <v:shape id="TextBox 10" o:spid="_x0000_s1034" type="#_x0000_t202" style="position:absolute;left:448;top:11684;width:11139;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pPr>
                          <w:pStyle w:val="NormalWeb"/>
                          <w:spacing w:before="0" w:beforeAutospacing="0" w:after="0" w:afterAutospacing="0"/>
                          <w:jc w:val="center"/>
                          <w:textAlignment w:val="baseline"/>
                        </w:pPr>
                        <w:r>
                          <w:rPr>
                            <w:rFonts w:ascii="Verdana" w:hAnsi="Verdana"/>
                            <w:i/>
                            <w:iCs/>
                            <w:color w:val="0F5494"/>
                            <w:sz w:val="16"/>
                            <w:szCs w:val="16"/>
                          </w:rPr>
                          <w:t>Държави членки</w:t>
                        </w:r>
                      </w:p>
                    </w:txbxContent>
                  </v:textbox>
                </v:shape>
                <v:roundrect id="Rounded Rectangle 7" o:spid="_x0000_s1035" style="position:absolute;left:-5720;top:6364;width:41044;height:28315;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7aysIA&#10;AADaAAAADwAAAGRycy9kb3ducmV2LnhtbESPUWvCMBSF3wX/Q7iCb5qugymdUYYy5vTJbj/grrlL&#10;y5qb0mRt/PfLQPDxcM53Dmezi7YVA/W+cazgYZmBIK6cbtgo+Px4XaxB+ICssXVMCq7kYbedTjZY&#10;aDfyhYYyGJFK2BeooA6hK6T0VU0W/dJ1xMn7dr3FkGRvpO5xTOW2lXmWPUmLDaeFGjva11T9lL9W&#10;wWoVz3m8juMXvlljDk33eDLvSs1n8eUZRKAY7uEbfdSJg/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trKwgAAANoAAAAPAAAAAAAAAAAAAAAAAJgCAABkcnMvZG93&#10;bnJldi54bWxQSwUGAAAAAAQABAD1AAAAhwMAAAAA&#10;" filled="f" strokecolor="#133176">
                  <v:shadow on="t" color="black" opacity="22937f" origin=",.5" offset="0,.63889mm"/>
                </v:roundrect>
                <v:shape id="TextBox 1" o:spid="_x0000_s1036" type="#_x0000_t202" style="position:absolute;top:1737;width:29599;height:7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pPr>
                          <w:pStyle w:val="NormalWeb"/>
                          <w:spacing w:before="0" w:beforeAutospacing="0" w:after="0" w:afterAutospacing="0"/>
                          <w:jc w:val="center"/>
                          <w:textAlignment w:val="baseline"/>
                        </w:pPr>
                        <w:r>
                          <w:rPr>
                            <w:rFonts w:ascii="Verdana" w:hAnsi="Verdana"/>
                            <w:color w:val="0F5494"/>
                            <w:sz w:val="20"/>
                            <w:szCs w:val="20"/>
                          </w:rPr>
                          <w:t>Цел за рециклиране на битови отпадъци</w:t>
                        </w:r>
                      </w:p>
                      <w:p>
                        <w:pPr>
                          <w:pStyle w:val="NormalWeb"/>
                          <w:spacing w:before="0" w:beforeAutospacing="0" w:after="0" w:afterAutospacing="0"/>
                          <w:jc w:val="center"/>
                          <w:textAlignment w:val="baseline"/>
                        </w:pPr>
                        <w:r>
                          <w:rPr>
                            <w:rFonts w:ascii="Verdana" w:hAnsi="Verdana"/>
                            <w:color w:val="0F5494"/>
                            <w:sz w:val="12"/>
                            <w:szCs w:val="12"/>
                          </w:rPr>
                          <w:t>50 % подготовка за повторна употреба/рециклиране до 2020 г.</w:t>
                        </w:r>
                      </w:p>
                    </w:txbxContent>
                  </v:textbox>
                </v:shape>
                <v:shape id="TextBox 13" o:spid="_x0000_s1037" type="#_x0000_t202" style="position:absolute;left:4825;top:37922;width:21029;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pPr>
                          <w:pStyle w:val="NormalWeb"/>
                          <w:spacing w:before="0" w:beforeAutospacing="0" w:after="0" w:afterAutospacing="0"/>
                          <w:jc w:val="center"/>
                          <w:textAlignment w:val="baseline"/>
                        </w:pPr>
                        <w:r>
                          <w:rPr>
                            <w:rFonts w:ascii="Verdana" w:hAnsi="Verdana"/>
                            <w:i/>
                            <w:iCs/>
                            <w:color w:val="0F5494"/>
                            <w:sz w:val="11"/>
                            <w:szCs w:val="11"/>
                          </w:rPr>
                          <w:t>Източник: Евростат и доклади за ранно предупреждение</w:t>
                        </w:r>
                      </w:p>
                    </w:txbxContent>
                  </v:textbox>
                </v:shape>
                <v:shape id="TextBox 14" o:spid="_x0000_s1038" type="#_x0000_t202" style="position:absolute;left:10953;top:26471;width:17119;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pPr>
                          <w:pStyle w:val="NormalWeb"/>
                          <w:spacing w:before="0" w:beforeAutospacing="0" w:after="0" w:afterAutospacing="0"/>
                          <w:textAlignment w:val="baseline"/>
                        </w:pPr>
                        <w:r>
                          <w:rPr>
                            <w:rFonts w:ascii="Verdana" w:hAnsi="Verdana"/>
                            <w:color w:val="0F5494"/>
                            <w:sz w:val="14"/>
                            <w:szCs w:val="14"/>
                          </w:rPr>
                          <w:t>На път да постигнат целта за 2020 г.</w:t>
                        </w:r>
                      </w:p>
                    </w:txbxContent>
                  </v:textbox>
                </v:shape>
                <w10:wrap type="through"/>
              </v:group>
            </w:pict>
          </mc:Fallback>
        </mc:AlternateContent>
      </w:r>
      <w:r>
        <w:rPr>
          <w:noProof/>
        </w:rPr>
        <w:t>От 2017 г. насам Комисията продължава да прилага своя план за действие за кръговата икономика</w:t>
      </w:r>
      <w:r>
        <w:rPr>
          <w:noProof/>
          <w:vertAlign w:val="superscript"/>
        </w:rPr>
        <w:footnoteReference w:id="7"/>
      </w:r>
      <w:r>
        <w:rPr>
          <w:noProof/>
        </w:rPr>
        <w:t>, което включва публикуването на Стратегия на ЕС за пластмасите в кръговата икономика в рамките на пакета за кръговата икономика за 2018 г.</w:t>
      </w:r>
      <w:r>
        <w:rPr>
          <w:noProof/>
        </w:rPr>
        <w:footnoteReference w:id="8"/>
      </w:r>
      <w:r>
        <w:rPr>
          <w:noProof/>
        </w:rPr>
        <w:t xml:space="preserve"> и приемането на измененията в законодателството за отпадъците от съзаконодателите</w:t>
      </w:r>
      <w:r>
        <w:rPr>
          <w:noProof/>
          <w:vertAlign w:val="superscript"/>
        </w:rPr>
        <w:footnoteReference w:id="9"/>
      </w:r>
      <w:r>
        <w:rPr>
          <w:noProof/>
        </w:rPr>
        <w:t>. Комисията прие също така рамка за мониторинг на кръговата икономика</w:t>
      </w:r>
      <w:r>
        <w:rPr>
          <w:noProof/>
          <w:vertAlign w:val="superscript"/>
        </w:rPr>
        <w:footnoteReference w:id="10"/>
      </w:r>
      <w:r>
        <w:rPr>
          <w:noProof/>
        </w:rPr>
        <w:t xml:space="preserve"> — нов инструмент, който ще позволи на създателите на политики да идентифицират добрите практики и да приоритизират областите, в които са необходими допълнителни действия. През октомври 2018 г. беше публикувано ново съобщение, посветено на устойчивата биоикономика за Европа</w:t>
      </w:r>
      <w:r>
        <w:rPr>
          <w:noProof/>
          <w:vertAlign w:val="superscript"/>
        </w:rPr>
        <w:footnoteReference w:id="11"/>
      </w:r>
      <w:r>
        <w:rPr>
          <w:noProof/>
        </w:rPr>
        <w:t>, в което е заложена целта за засилване на връзките между икономиката, обществото и околната среда. Друг пример за обединените усилия в ЕС за по-ефективно справяне с екологичните проблеми, свързани с проектирането, производството и обезвреждането на пластмаси, е предложението от 2018 г. за намаляване на въздействието на някои пластмаси върху околната среда</w:t>
      </w:r>
      <w:r>
        <w:rPr>
          <w:noProof/>
          <w:vertAlign w:val="superscript"/>
        </w:rPr>
        <w:footnoteReference w:id="12"/>
      </w:r>
      <w:r>
        <w:rPr>
          <w:noProof/>
        </w:rPr>
        <w:t xml:space="preserve">, чието изпълнение ще бъде подложено на оценка в следващите цикли за преглед на изпълнението на политиките в областта на околната среда. </w:t>
      </w:r>
    </w:p>
    <w:p>
      <w:pPr>
        <w:rPr>
          <w:rFonts w:cs="Times New Roman"/>
          <w:noProof/>
        </w:rPr>
      </w:pPr>
      <w:r>
        <w:rPr>
          <w:noProof/>
        </w:rPr>
        <w:t>Неотдавна Комисията предложи също така различни изисквания, които биха допринесли за удължаване на живота на продуктите</w:t>
      </w:r>
      <w:r>
        <w:rPr>
          <w:noProof/>
          <w:vertAlign w:val="superscript"/>
        </w:rPr>
        <w:footnoteReference w:id="13"/>
      </w:r>
      <w:r>
        <w:rPr>
          <w:noProof/>
        </w:rPr>
        <w:t>. Органите за защита на потребителите обръщат все по-голямо внимание на проблема с преждевременното остаряване на продуктите. Комисията ще продължи да наблюдава тези въпроси в рамките на сътрудничество в областта на защита на потребителите</w:t>
      </w:r>
      <w:r>
        <w:rPr>
          <w:noProof/>
          <w:vertAlign w:val="superscript"/>
        </w:rPr>
        <w:footnoteReference w:id="14"/>
      </w:r>
      <w:r>
        <w:rPr>
          <w:noProof/>
        </w:rPr>
        <w:t xml:space="preserve">. </w:t>
      </w:r>
    </w:p>
    <w:p>
      <w:pPr>
        <w:rPr>
          <w:rFonts w:cs="Times New Roman"/>
          <w:noProof/>
        </w:rPr>
      </w:pPr>
      <w:r>
        <w:rPr>
          <w:noProof/>
        </w:rPr>
        <w:t>По отношение на напредъка е налице известно подобрение в изпълнението на изискванията на ЕС относно управлението на отпадъците. На равнище ЕС нивата на рециклиране са нараснали от 43,7 % през 2014 г. на 46,4 % през 2017 г., като в периода 2013—2017 г. обемът на депонираните битови отпадъци е намалял с 20,6 %</w:t>
      </w:r>
      <w:r>
        <w:rPr>
          <w:noProof/>
          <w:vertAlign w:val="superscript"/>
        </w:rPr>
        <w:footnoteReference w:id="15"/>
      </w:r>
      <w:r>
        <w:rPr>
          <w:noProof/>
        </w:rPr>
        <w:t>. Ситуацията обаче варира значително между държавите членки. Задълженията за третиране на отпадъците все още не са напълно изпълнени, като в рамките на ЕС се наблюдават значителни различия в степените на изпълнение.</w:t>
      </w:r>
    </w:p>
    <w:p>
      <w:pPr>
        <w:rPr>
          <w:rFonts w:cs="Times New Roman"/>
          <w:noProof/>
        </w:rPr>
      </w:pPr>
      <w:r>
        <w:rPr>
          <w:noProof/>
        </w:rPr>
        <w:t>С оглед постигане на съответствие със законодателството на ЕС за отпадъците Комисията представи доклади за ранно предупреждение</w:t>
      </w:r>
      <w:r>
        <w:rPr>
          <w:noProof/>
          <w:vertAlign w:val="superscript"/>
        </w:rPr>
        <w:footnoteReference w:id="16"/>
      </w:r>
      <w:r>
        <w:rPr>
          <w:noProof/>
        </w:rPr>
        <w:t xml:space="preserve"> и подробни планове за действие за държавите, които са изложени на риск да не постигнат целта за 2020 г. по отношение на подготовката за повторна употреба/рециклиране на битовите отпадъци. </w:t>
      </w:r>
    </w:p>
    <w:p>
      <w:pPr>
        <w:rPr>
          <w:rFonts w:cs="Times New Roman"/>
          <w:noProof/>
        </w:rPr>
      </w:pPr>
    </w:p>
    <w:p>
      <w:pPr>
        <w:spacing w:after="200" w:line="276" w:lineRule="auto"/>
        <w:rPr>
          <w:rFonts w:cs="Times New Roman"/>
          <w:i/>
          <w:iCs/>
          <w:noProof/>
        </w:rPr>
      </w:pPr>
      <w:r>
        <w:rPr>
          <w:i/>
          <w:noProof/>
        </w:rPr>
        <w:t>Констатации относно политиката</w:t>
      </w:r>
    </w:p>
    <w:p>
      <w:pPr>
        <w:numPr>
          <w:ilvl w:val="0"/>
          <w:numId w:val="3"/>
        </w:numPr>
        <w:spacing w:after="200" w:line="240" w:lineRule="auto"/>
        <w:rPr>
          <w:rFonts w:cs="Times New Roman"/>
          <w:i/>
          <w:iCs/>
          <w:noProof/>
        </w:rPr>
      </w:pPr>
      <w:r>
        <w:rPr>
          <w:i/>
          <w:noProof/>
        </w:rPr>
        <w:t>Като цяло рамката на политиката за кръговата икономика беше укрепена от 2017 г. насам. Няколко държави членки</w:t>
      </w:r>
      <w:r>
        <w:rPr>
          <w:i/>
          <w:noProof/>
          <w:vertAlign w:val="superscript"/>
        </w:rPr>
        <w:footnoteReference w:id="17"/>
      </w:r>
      <w:r>
        <w:rPr>
          <w:i/>
          <w:noProof/>
        </w:rPr>
        <w:t xml:space="preserve"> обаче следва да прилагат по-ефективно принципите на кръговата икономика в различни области — например по отношение на икономията на вода и енергия, предотвратяването на отпадъци, рециклирането на материали, насърчаването на повторната употреба и ремонта и оползотворяването на вторичните суровини.</w:t>
      </w:r>
    </w:p>
    <w:p>
      <w:pPr>
        <w:numPr>
          <w:ilvl w:val="0"/>
          <w:numId w:val="3"/>
        </w:numPr>
        <w:spacing w:after="200" w:line="240" w:lineRule="auto"/>
        <w:rPr>
          <w:rFonts w:cs="Times New Roman"/>
          <w:b/>
          <w:bCs/>
          <w:i/>
          <w:iCs/>
          <w:noProof/>
        </w:rPr>
      </w:pPr>
      <w:r>
        <w:rPr>
          <w:i/>
          <w:noProof/>
        </w:rPr>
        <w:t>Необходимо е някои държави членки</w:t>
      </w:r>
      <w:r>
        <w:rPr>
          <w:i/>
          <w:noProof/>
          <w:vertAlign w:val="superscript"/>
        </w:rPr>
        <w:footnoteReference w:id="18"/>
      </w:r>
      <w:r>
        <w:rPr>
          <w:i/>
          <w:noProof/>
        </w:rPr>
        <w:t xml:space="preserve"> допълнително да стимулират мерките за ефективно използване на ресурсите, да подобрят показателите си за екоиновации, да повишат осведомеността и да насърчат използването на доброволни инструменти (например схемите на ЕС за екомаркировка и за управление по околна среда и одит), да увеличат мерките за рециклиране и кръгово използване в сектора на малките и средните предприятия и/или да улеснят екологосъобразните инвестиции и достъпа до финансиране. </w:t>
      </w:r>
    </w:p>
    <w:p>
      <w:pPr>
        <w:numPr>
          <w:ilvl w:val="0"/>
          <w:numId w:val="3"/>
        </w:numPr>
        <w:spacing w:line="240" w:lineRule="auto"/>
        <w:ind w:left="357" w:hanging="357"/>
        <w:rPr>
          <w:rFonts w:cs="Times New Roman"/>
          <w:i/>
          <w:iCs/>
          <w:noProof/>
        </w:rPr>
      </w:pPr>
      <w:r>
        <w:rPr>
          <w:i/>
          <w:noProof/>
        </w:rPr>
        <w:t>Предотвратяването на отпадъците продължава да бъде важно предизвикателство във всички държави членки, включително в тези с висока степен на рециклиране. Шест държави членки генерират поне два пъти повече битови отпадъци на жител в сравнение с държавата членка, генерираща най-малко отпадъци</w:t>
      </w:r>
      <w:r>
        <w:rPr>
          <w:i/>
          <w:noProof/>
          <w:vertAlign w:val="superscript"/>
        </w:rPr>
        <w:footnoteReference w:id="19"/>
      </w:r>
      <w:r>
        <w:rPr>
          <w:i/>
          <w:noProof/>
        </w:rPr>
        <w:t>. Наред с това от 2014 г. насам е регистрирано увеличение на средното равнище на генериране на битови отпадъци в ЕС: в периода 2014—2016 г. само девет държави членки са намалили националното генериране на отпадъци на глава от населението</w:t>
      </w:r>
      <w:r>
        <w:rPr>
          <w:i/>
          <w:noProof/>
          <w:vertAlign w:val="superscript"/>
        </w:rPr>
        <w:footnoteReference w:id="20"/>
      </w:r>
      <w:r>
        <w:rPr>
          <w:i/>
          <w:noProof/>
        </w:rPr>
        <w:t>.</w:t>
      </w:r>
    </w:p>
    <w:p>
      <w:pPr>
        <w:numPr>
          <w:ilvl w:val="0"/>
          <w:numId w:val="3"/>
        </w:numPr>
        <w:spacing w:line="240" w:lineRule="auto"/>
        <w:ind w:left="357" w:hanging="357"/>
        <w:rPr>
          <w:rFonts w:cs="Times New Roman"/>
          <w:i/>
          <w:iCs/>
          <w:noProof/>
        </w:rPr>
      </w:pPr>
      <w:r>
        <w:rPr>
          <w:i/>
          <w:noProof/>
        </w:rPr>
        <w:t>Според данните, докладвани на Комисията, до момента само няколко държави членки са постигнали 50 % от целта за рециклиране на битови отпадъци до 2020 г.</w:t>
      </w:r>
      <w:r>
        <w:rPr>
          <w:i/>
          <w:noProof/>
          <w:vertAlign w:val="superscript"/>
        </w:rPr>
        <w:footnoteReference w:id="21"/>
      </w:r>
      <w:r>
        <w:rPr>
          <w:i/>
          <w:noProof/>
        </w:rPr>
        <w:t>, като съществува риск тази цел да не бъде изпълнена от редица държави</w:t>
      </w:r>
      <w:r>
        <w:rPr>
          <w:i/>
          <w:noProof/>
          <w:vertAlign w:val="superscript"/>
        </w:rPr>
        <w:footnoteReference w:id="22"/>
      </w:r>
      <w:r>
        <w:rPr>
          <w:i/>
          <w:noProof/>
        </w:rPr>
        <w:t>. Налице е възможност за въвеждане или подобряване на политики, включително икономически инструменти (например данъци за депониране на отпадъци, разширена отговорност на производителя, принцип „плащаш повече, ако изхвърляш повече“), с цел по-нататъшно прилагане на йерархията на отпадъците и повишаване на привлекателността на повторното използване и рециклирането в икономически аспект.</w:t>
      </w:r>
    </w:p>
    <w:p>
      <w:pPr>
        <w:numPr>
          <w:ilvl w:val="0"/>
          <w:numId w:val="3"/>
        </w:numPr>
        <w:spacing w:line="240" w:lineRule="auto"/>
        <w:ind w:left="357" w:hanging="357"/>
        <w:rPr>
          <w:rFonts w:cs="Times New Roman"/>
          <w:noProof/>
        </w:rPr>
      </w:pPr>
      <w:r>
        <w:rPr>
          <w:i/>
          <w:noProof/>
        </w:rPr>
        <w:t>Редица държави членки</w:t>
      </w:r>
      <w:r>
        <w:rPr>
          <w:i/>
          <w:noProof/>
          <w:vertAlign w:val="superscript"/>
        </w:rPr>
        <w:footnoteReference w:id="23"/>
      </w:r>
      <w:r>
        <w:rPr>
          <w:i/>
          <w:noProof/>
        </w:rPr>
        <w:t xml:space="preserve"> трябва да повишат ефективността на разделното събиране на отпадъци, което е предпоставка за подобряване на рециклирането по отношение на количеството и/или на качеството. Друг проблем е изгарянето или депонирането на годните за рециклиране отпадъци. Почти всички държави членки се насърчават да прилагат нови мерки за пренасочване на отпадъците към повторна употреба и рециклиране вместо към изгарянето и депонирането им, както и за подобряване и разширяване на системите за разделното им събиране.</w:t>
      </w:r>
      <w:r>
        <w:rPr>
          <w:noProof/>
        </w:rPr>
        <w:t xml:space="preserve"> </w:t>
      </w:r>
      <w:r>
        <w:rPr>
          <w:i/>
          <w:noProof/>
        </w:rPr>
        <w:t>Броят на депата, които не съответстват на изискванията на Директивата относно депонирането на отпадъци</w:t>
      </w:r>
      <w:r>
        <w:rPr>
          <w:i/>
          <w:noProof/>
          <w:vertAlign w:val="superscript"/>
        </w:rPr>
        <w:footnoteReference w:id="24"/>
      </w:r>
      <w:r>
        <w:rPr>
          <w:i/>
          <w:noProof/>
        </w:rPr>
        <w:t xml:space="preserve">, продължава да предизвиква безпокойство. </w:t>
      </w:r>
    </w:p>
    <w:tbl>
      <w:tblPr>
        <w:tblStyle w:val="TableGrid"/>
        <w:tblpPr w:leftFromText="180" w:rightFromText="180" w:vertAnchor="text" w:horzAnchor="margin" w:tblpY="277"/>
        <w:tblW w:w="0" w:type="auto"/>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noProof/>
              </w:rPr>
            </w:pPr>
            <w:r>
              <w:rPr>
                <w:b/>
                <w:noProof/>
              </w:rPr>
              <w:t xml:space="preserve">Успешни практики: </w:t>
            </w:r>
          </w:p>
          <w:p>
            <w:pPr>
              <w:rPr>
                <w:rFonts w:eastAsia="Calibri" w:cs="Times New Roman"/>
                <w:noProof/>
              </w:rPr>
            </w:pPr>
            <w:r>
              <w:rPr>
                <w:noProof/>
              </w:rPr>
              <w:t xml:space="preserve">Примерът на </w:t>
            </w:r>
            <w:r>
              <w:rPr>
                <w:b/>
                <w:noProof/>
              </w:rPr>
              <w:t>Словения</w:t>
            </w:r>
            <w:r>
              <w:rPr>
                <w:noProof/>
              </w:rPr>
              <w:t xml:space="preserve"> показва, че политиките за кръгова икономика и подобреното управление на отпадъците могат да бъдат реализирани в кратки срокове. С подкрепата на фондовете на ЕС в държавата е приложена всеобхватна стратегия за кръгово движение, която е стимулирала разделното събиране и рециклирането на отпадъци. </w:t>
            </w:r>
          </w:p>
          <w:p>
            <w:pPr>
              <w:spacing w:after="200" w:line="240" w:lineRule="auto"/>
              <w:rPr>
                <w:rFonts w:cs="Times New Roman"/>
                <w:noProof/>
              </w:rPr>
            </w:pPr>
            <w:r>
              <w:rPr>
                <w:b/>
                <w:noProof/>
              </w:rPr>
              <w:t>Дания</w:t>
            </w:r>
            <w:r>
              <w:rPr>
                <w:noProof/>
              </w:rPr>
              <w:t xml:space="preserve"> е добър пример за открито сътрудничество в рамките на веригите на стойността и иновациите с цел насърчаване на кръговата икономика. Процентът на датските малки и средните предприятия, които предлагат екологосъобразни продукти или услуги, е значително по-висок от средния за ЕС.</w:t>
            </w:r>
          </w:p>
          <w:p>
            <w:pPr>
              <w:spacing w:after="200" w:line="240" w:lineRule="auto"/>
              <w:rPr>
                <w:rFonts w:cs="Times New Roman"/>
                <w:noProof/>
              </w:rPr>
            </w:pPr>
            <w:r>
              <w:rPr>
                <w:noProof/>
              </w:rPr>
              <w:t xml:space="preserve">През 2018 г. във </w:t>
            </w:r>
            <w:r>
              <w:rPr>
                <w:b/>
                <w:noProof/>
              </w:rPr>
              <w:t>Франция</w:t>
            </w:r>
            <w:r>
              <w:rPr>
                <w:noProof/>
              </w:rPr>
              <w:t xml:space="preserve"> беше приета амбициозна пътна карта за кръговата икономика</w:t>
            </w:r>
            <w:r>
              <w:rPr>
                <w:noProof/>
                <w:vertAlign w:val="superscript"/>
              </w:rPr>
              <w:footnoteReference w:id="25"/>
            </w:r>
            <w:r>
              <w:rPr>
                <w:noProof/>
              </w:rPr>
              <w:t xml:space="preserve">, в която са предвидени действия за намаляване на използването на ресурси с 30 % до 2030 г. Въведена е амбициозна цел за 100 % рециклиране на пластмасите до 2025 г., като се прогнозира създаването на 300 000 екологосъобразни нови работни места. </w:t>
            </w:r>
          </w:p>
        </w:tc>
      </w:tr>
    </w:tbl>
    <w:p>
      <w:pPr>
        <w:pStyle w:val="ListParagraph"/>
        <w:numPr>
          <w:ilvl w:val="1"/>
          <w:numId w:val="5"/>
        </w:numPr>
        <w:spacing w:before="240" w:line="240" w:lineRule="auto"/>
        <w:rPr>
          <w:rFonts w:cs="Times New Roman"/>
          <w:b/>
          <w:bCs/>
          <w:noProof/>
          <w:sz w:val="24"/>
          <w:szCs w:val="24"/>
        </w:rPr>
      </w:pPr>
      <w:r>
        <w:rPr>
          <w:b/>
          <w:noProof/>
          <w:sz w:val="24"/>
          <w:lang w:val="ru-RU"/>
        </w:rPr>
        <w:t xml:space="preserve"> </w:t>
      </w:r>
      <w:r>
        <w:rPr>
          <w:b/>
          <w:noProof/>
          <w:sz w:val="24"/>
        </w:rPr>
        <w:t>Изменение на климата и околна среда</w:t>
      </w:r>
    </w:p>
    <w:p>
      <w:pPr>
        <w:spacing w:before="240" w:line="240" w:lineRule="auto"/>
        <w:rPr>
          <w:rFonts w:cs="Times New Roman"/>
          <w:noProof/>
        </w:rPr>
      </w:pPr>
      <w:r>
        <w:rPr>
          <w:noProof/>
        </w:rPr>
        <w:t>Много екосистеми и някои от услугите, които те предоставят, вече са претърпели изменения в резултат на глобалното затопляне</w:t>
      </w:r>
      <w:r>
        <w:rPr>
          <w:noProof/>
          <w:vertAlign w:val="superscript"/>
        </w:rPr>
        <w:footnoteReference w:id="26"/>
      </w:r>
      <w:r>
        <w:rPr>
          <w:noProof/>
        </w:rPr>
        <w:t xml:space="preserve"> и са изложени на допълнителни рискове поради променящите се климатични условия.</w:t>
      </w:r>
    </w:p>
    <w:p>
      <w:pPr>
        <w:spacing w:line="240" w:lineRule="auto"/>
        <w:rPr>
          <w:rFonts w:cs="Times New Roman"/>
          <w:noProof/>
        </w:rPr>
      </w:pPr>
      <w:r>
        <w:rPr>
          <w:noProof/>
        </w:rPr>
        <w:t>Действията в областта на климата са от съществено значение за справяне с множество предизвикателства, свързани с околната среда, като например замърсяването на въздуха, биологичното разнообразие, водите и инвазивните видове. От друга страна, предприемането на действия в редица области на околната среда може да донесе непосредствени ползи за климата — например във връзка със селското стопанство и земеползването, отпадъците и замърсяването на въздуха. Стратегическата дългосрочна визия на Комисията за процъфтяваща, модерна, конкурентоспособна и неутрална по отношение на климата икономика</w:t>
      </w:r>
      <w:r>
        <w:rPr>
          <w:noProof/>
          <w:vertAlign w:val="superscript"/>
        </w:rPr>
        <w:footnoteReference w:id="27"/>
      </w:r>
      <w:r>
        <w:rPr>
          <w:noProof/>
        </w:rPr>
        <w:t xml:space="preserve"> потвърждава ангажимента на Европа да ръководи глобалните действия в областта на климата, като в нея е заложена възможността за постигане до 2050 г. на нулеви емисии на парникови газове.</w:t>
      </w:r>
    </w:p>
    <w:p>
      <w:pPr>
        <w:rPr>
          <w:rFonts w:cs="Times New Roman"/>
          <w:noProof/>
        </w:rPr>
      </w:pPr>
      <w:r>
        <w:rPr>
          <w:noProof/>
        </w:rPr>
        <w:t>През 2018 г. ЕС прие законодателство, чиято цел е до 2030 г. емисиите на парникови газове в Съюза да бъдат намалени с поне 40 % г. в сравнение с 1990 г.</w:t>
      </w:r>
      <w:r>
        <w:rPr>
          <w:noProof/>
          <w:vertAlign w:val="superscript"/>
        </w:rPr>
        <w:footnoteReference w:id="28"/>
      </w:r>
      <w:r>
        <w:rPr>
          <w:noProof/>
        </w:rPr>
        <w:t xml:space="preserve">.  За първи път рамката на ЕС обхваща както емисиите, така и поглъщанията от земята. В нея също така са предвидени по-амбициозни цели по отношение на енергията от възобновяеми източници и енергийната ефективност. Очаква се, че в резултат на цялостното прилагане на договореното европейско законодателство, до 2030 г. ще бъде постигнато 45-процентно намаление на емисиите в ЕС. </w:t>
      </w:r>
    </w:p>
    <w:p>
      <w:pPr>
        <w:spacing w:line="240" w:lineRule="auto"/>
        <w:rPr>
          <w:rFonts w:cs="Times New Roman"/>
          <w:noProof/>
        </w:rPr>
      </w:pPr>
      <w:r>
        <w:rPr>
          <w:noProof/>
        </w:rPr>
        <w:t xml:space="preserve">До края на 2018 г. държавите членки трябваше да представят своите проекти за национални планове в областта на енергетиката и климата и да разработят проекти за национални програми за контрол на замърсяването на въздуха и плановете си за отчитане на емисиите на парникови газове и поглъщанията при земеползването, промените в земеползването и горското стопанство. Тези планове могат да повишат съгласуваността между политиките в областта на климата, въздуха и енергетиката, поради което те могат да бъдат добър пример за установяването на връзки между секторните политики (например политиката в областта на селското стопанство, природата и водите и политиката в областта на транспорта, въздуха и здравеопазването) с цел справяне с общите предизвикателства. </w:t>
      </w:r>
    </w:p>
    <w:p>
      <w:pPr>
        <w:rPr>
          <w:rFonts w:cs="Times New Roman"/>
          <w:noProof/>
        </w:rPr>
      </w:pPr>
      <w:r>
        <w:rPr>
          <w:noProof/>
        </w:rPr>
        <w:t>Подходът на Комисията за адаптиране към изменението на климата има за цел да повиши устойчивостта на Европа чрез по-добра подготовка и по-голям капацитет за реагиране на въздействията от изменението на климата на местно, регионално, национално и европейско равнище. Комисията извърши оценка на публикуваната през 2013 г. Стратегия на ЕС за адаптиране към изменението на климата, като предложи области, в които са необходими повече усилия за подготовка на уязвимите региони и сектори</w:t>
      </w:r>
      <w:r>
        <w:rPr>
          <w:noProof/>
          <w:vertAlign w:val="superscript"/>
        </w:rPr>
        <w:footnoteReference w:id="29"/>
      </w:r>
      <w:r>
        <w:rPr>
          <w:noProof/>
        </w:rPr>
        <w:t>. За избягването на бъдещите щети са необходими полезни взаимодействия между усилията за адаптиране към изменението на климата, за устойчиво развитие и за намаляване на риска от бедствия.</w:t>
      </w:r>
    </w:p>
    <w:p>
      <w:pPr>
        <w:rPr>
          <w:rFonts w:cs="Times New Roman"/>
          <w:noProof/>
        </w:rPr>
      </w:pPr>
      <w:r>
        <w:rPr>
          <w:noProof/>
        </w:rPr>
        <w:t>Като цяло държавите членки са постигнали добър напредък в разработването на национални стратегии и/или планове за адаптиране към изменението на климата. Този напредък показва, че съществува значително по-голяма основна база за изготвяне на политики за подготовка и адаптиране, отколкото през 2013 г. Целите във връзка с това адаптиране трябва да бъдат включени и в националните планове в областта на енергетиката и климата съгласно рамката за управление на енергийния съюз</w:t>
      </w:r>
      <w:r>
        <w:rPr>
          <w:noProof/>
          <w:vertAlign w:val="superscript"/>
        </w:rPr>
        <w:footnoteReference w:id="30"/>
      </w:r>
      <w:r>
        <w:rPr>
          <w:noProof/>
        </w:rPr>
        <w:t>.</w:t>
      </w:r>
    </w:p>
    <w:p>
      <w:pPr>
        <w:spacing w:after="200" w:line="240" w:lineRule="auto"/>
        <w:jc w:val="left"/>
        <w:rPr>
          <w:rFonts w:cs="Times New Roman"/>
          <w:i/>
          <w:iCs/>
          <w:noProof/>
        </w:rPr>
      </w:pPr>
      <w:r>
        <w:rPr>
          <w:i/>
          <w:noProof/>
        </w:rPr>
        <w:t>Констатации относно политиката:</w:t>
      </w:r>
    </w:p>
    <w:p>
      <w:pPr>
        <w:numPr>
          <w:ilvl w:val="0"/>
          <w:numId w:val="3"/>
        </w:numPr>
        <w:spacing w:line="240" w:lineRule="auto"/>
        <w:ind w:left="357" w:hanging="357"/>
        <w:rPr>
          <w:rFonts w:cs="Times New Roman"/>
          <w:i/>
          <w:iCs/>
          <w:noProof/>
        </w:rPr>
      </w:pPr>
      <w:r>
        <w:rPr>
          <w:i/>
          <w:noProof/>
        </w:rPr>
        <w:t xml:space="preserve">Като цяло е налице добро равнище на изпълнение на законодателството в областта на климата в целия ЕС, поради което се очаква постигане на целите за 2020 г. </w:t>
      </w:r>
    </w:p>
    <w:p>
      <w:pPr>
        <w:numPr>
          <w:ilvl w:val="0"/>
          <w:numId w:val="3"/>
        </w:numPr>
        <w:spacing w:line="240" w:lineRule="auto"/>
        <w:ind w:left="357" w:hanging="357"/>
        <w:rPr>
          <w:rFonts w:cs="Times New Roman"/>
          <w:i/>
          <w:iCs/>
          <w:noProof/>
        </w:rPr>
      </w:pPr>
      <w:r>
        <w:rPr>
          <w:i/>
          <w:noProof/>
        </w:rPr>
        <w:t>Всички държави членки са изпълнили задълженията си съгласно Решението за разпределяне на усилията през периода 2013—2015 г. Някои от тях</w:t>
      </w:r>
      <w:r>
        <w:rPr>
          <w:i/>
          <w:noProof/>
          <w:vertAlign w:val="superscript"/>
        </w:rPr>
        <w:footnoteReference w:id="31"/>
      </w:r>
      <w:r>
        <w:rPr>
          <w:i/>
          <w:noProof/>
        </w:rPr>
        <w:t xml:space="preserve"> трябва обаче да мобилизират механизмите за гъвкавост, предвидени в законодателството, за да изпълнят текущите си задължения. </w:t>
      </w:r>
    </w:p>
    <w:p>
      <w:pPr>
        <w:numPr>
          <w:ilvl w:val="0"/>
          <w:numId w:val="3"/>
        </w:numPr>
        <w:spacing w:line="240" w:lineRule="auto"/>
        <w:ind w:left="357" w:hanging="357"/>
        <w:rPr>
          <w:rFonts w:cs="Times New Roman"/>
          <w:i/>
          <w:iCs/>
          <w:noProof/>
        </w:rPr>
      </w:pPr>
      <w:r>
        <w:rPr>
          <w:i/>
          <w:noProof/>
        </w:rPr>
        <w:t xml:space="preserve">В рамките на схемата за търговия с емисии на ЕС е постигната много висока степен на съответствие с изискванията, тъй като всяка година инсталациите покриват около 99 % от емисиите си с необходимия брой квоти. </w:t>
      </w:r>
    </w:p>
    <w:p>
      <w:pPr>
        <w:numPr>
          <w:ilvl w:val="0"/>
          <w:numId w:val="3"/>
        </w:numPr>
        <w:spacing w:line="240" w:lineRule="auto"/>
        <w:ind w:left="357" w:hanging="357"/>
        <w:rPr>
          <w:rFonts w:cs="Times New Roman"/>
          <w:noProof/>
        </w:rPr>
      </w:pPr>
      <w:r>
        <w:rPr>
          <w:i/>
          <w:noProof/>
        </w:rPr>
        <w:t>Към октомври 2018 г. двадесет и пет държави членки</w:t>
      </w:r>
      <w:r>
        <w:rPr>
          <w:i/>
          <w:noProof/>
          <w:vertAlign w:val="superscript"/>
        </w:rPr>
        <w:footnoteReference w:id="32"/>
      </w:r>
      <w:r>
        <w:rPr>
          <w:i/>
          <w:noProof/>
        </w:rPr>
        <w:t xml:space="preserve"> вече са разполагали с национални стратегии за адаптиране към изменението на климата, като останалите три продължават да полагат усилия за завършване на своите стратегии.</w:t>
      </w:r>
    </w:p>
    <w:p>
      <w:pPr>
        <w:numPr>
          <w:ilvl w:val="0"/>
          <w:numId w:val="3"/>
        </w:numPr>
        <w:spacing w:line="240" w:lineRule="auto"/>
        <w:rPr>
          <w:rFonts w:cs="Times New Roman"/>
          <w:noProof/>
        </w:rPr>
      </w:pPr>
      <w:r>
        <w:rPr>
          <w:i/>
          <w:noProof/>
        </w:rPr>
        <w:t>Необходимо е задълбочаване на усилията за адаптиране към изменението на климата както в отделните държави членки, така и на равнище ЕС, тъй като подходящите действия за предотвратяване и/или свеждане до минимум на щетите, които могат да бъдат причинени от изменението на климата, носят значителни икономически и социални ползи.</w:t>
      </w:r>
    </w:p>
    <w:tbl>
      <w:tblPr>
        <w:tblStyle w:val="TableGrid"/>
        <w:tblpPr w:leftFromText="180" w:rightFromText="180" w:vertAnchor="text" w:horzAnchor="margin" w:tblpY="928"/>
        <w:tblOverlap w:val="never"/>
        <w:tblW w:w="9242" w:type="dxa"/>
        <w:shd w:val="clear" w:color="auto" w:fill="D6E3BC" w:themeFill="accent3" w:themeFillTint="66"/>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Успешни практики:</w:t>
            </w:r>
          </w:p>
          <w:p>
            <w:pPr>
              <w:spacing w:after="200" w:line="240" w:lineRule="auto"/>
              <w:rPr>
                <w:rFonts w:cs="Times New Roman"/>
                <w:noProof/>
              </w:rPr>
            </w:pPr>
            <w:r>
              <w:rPr>
                <w:noProof/>
              </w:rPr>
              <w:t xml:space="preserve">Съгласно Решението за разпределяне на усилията </w:t>
            </w:r>
            <w:r>
              <w:rPr>
                <w:b/>
                <w:noProof/>
              </w:rPr>
              <w:t>Швеция</w:t>
            </w:r>
            <w:r>
              <w:rPr>
                <w:noProof/>
              </w:rPr>
              <w:t xml:space="preserve"> не е използвала цялото си разпределено количество емисии и се е отказала от останалата част от годишното разпределено количество, с цел да бъде подобрена цялостната екологосъобразност на системата. </w:t>
            </w:r>
          </w:p>
          <w:p>
            <w:pPr>
              <w:rPr>
                <w:rFonts w:cs="Times New Roman"/>
                <w:noProof/>
              </w:rPr>
            </w:pPr>
            <w:r>
              <w:rPr>
                <w:noProof/>
              </w:rPr>
              <w:t xml:space="preserve">В Стратегията на ЕС за региона на река Дунав се поставя специален акцент върху адаптирането към екстремните метеорологични явления и се създава важна платформа за насърчаване на сътрудничеството между </w:t>
            </w:r>
            <w:r>
              <w:rPr>
                <w:b/>
                <w:noProof/>
              </w:rPr>
              <w:t>Австрия, България, Германия, Румъния, Словакия, Унгария, Хърватия и Чехия</w:t>
            </w:r>
            <w:r>
              <w:rPr>
                <w:noProof/>
              </w:rPr>
              <w:t xml:space="preserve"> за съвместно наблюдение и управление на наводненията</w:t>
            </w:r>
            <w:r>
              <w:rPr>
                <w:noProof/>
                <w:vertAlign w:val="superscript"/>
              </w:rPr>
              <w:footnoteReference w:id="33"/>
            </w:r>
            <w:r>
              <w:rPr>
                <w:noProof/>
              </w:rPr>
              <w:t xml:space="preserve">. </w:t>
            </w:r>
          </w:p>
          <w:p>
            <w:pPr>
              <w:rPr>
                <w:rFonts w:cs="Times New Roman"/>
                <w:noProof/>
              </w:rPr>
            </w:pPr>
            <w:r>
              <w:rPr>
                <w:noProof/>
              </w:rPr>
              <w:t>Полезен пример за сътрудничество са действащите международни конвенции за Алпите</w:t>
            </w:r>
            <w:r>
              <w:rPr>
                <w:noProof/>
                <w:vertAlign w:val="superscript"/>
              </w:rPr>
              <w:footnoteReference w:id="34"/>
            </w:r>
            <w:r>
              <w:rPr>
                <w:noProof/>
              </w:rPr>
              <w:t xml:space="preserve"> и Карпатите</w:t>
            </w:r>
            <w:r>
              <w:rPr>
                <w:noProof/>
                <w:vertAlign w:val="superscript"/>
              </w:rPr>
              <w:footnoteReference w:id="35"/>
            </w:r>
            <w:r>
              <w:rPr>
                <w:noProof/>
              </w:rPr>
              <w:t xml:space="preserve">. Налице е и трансгранично сътрудничество с държави извън ЕС по въпросите на биологичното разнообразие и адаптирането към изменението на климата в Северна Европа. В рамките на инициативата Fennoscandia Green Belt се подкрепя съвместното сътрудничество между </w:t>
            </w:r>
            <w:r>
              <w:rPr>
                <w:b/>
                <w:noProof/>
              </w:rPr>
              <w:t>Финландия</w:t>
            </w:r>
            <w:r>
              <w:rPr>
                <w:noProof/>
              </w:rPr>
              <w:t xml:space="preserve">, Норвегия и Русия с цел опазване на природата, като се обръща внимание на заплахите за екосистемните услуги в резултат на изменението на климата. </w:t>
            </w:r>
          </w:p>
        </w:tc>
      </w:tr>
    </w:tbl>
    <w:p>
      <w:pPr>
        <w:pStyle w:val="ListParagraph"/>
        <w:spacing w:before="240"/>
        <w:ind w:left="360"/>
        <w:rPr>
          <w:rFonts w:cs="Times New Roman"/>
          <w:b/>
          <w:bCs/>
          <w:noProof/>
          <w:sz w:val="24"/>
          <w:szCs w:val="24"/>
        </w:rPr>
      </w:pPr>
    </w:p>
    <w:p>
      <w:pPr>
        <w:pStyle w:val="ListParagraph"/>
        <w:numPr>
          <w:ilvl w:val="1"/>
          <w:numId w:val="5"/>
        </w:numPr>
        <w:spacing w:before="240"/>
        <w:rPr>
          <w:rFonts w:cs="Times New Roman"/>
          <w:b/>
          <w:bCs/>
          <w:noProof/>
          <w:sz w:val="24"/>
          <w:szCs w:val="24"/>
        </w:rPr>
      </w:pPr>
      <w:r>
        <w:rPr>
          <w:b/>
          <w:noProof/>
          <w:sz w:val="24"/>
        </w:rPr>
        <w:t xml:space="preserve">Опазване, съхранение и увеличаване на природния капитал </w:t>
      </w:r>
    </w:p>
    <w:p>
      <w:pPr>
        <w:rPr>
          <w:noProof/>
        </w:rPr>
      </w:pPr>
    </w:p>
    <w:p>
      <w:pPr>
        <w:rPr>
          <w:rFonts w:cs="Times New Roman"/>
          <w:noProof/>
        </w:rPr>
      </w:pPr>
      <w:r>
        <w:rPr>
          <w:noProof/>
        </w:rPr>
        <w:t>Уникалната и богата природа на Европа има присъща стойност и е източник на ценни ресурси и ползи за хората и икономиката. ЕС разработи цялостна система от правила, обхващащи природата, биологичното разнообразие и защитата на земята и морската среда, които имат решаващо значение за постигане на водещата цел на стратегията за биологичното разнообразие до 2020 г.</w:t>
      </w:r>
      <w:r>
        <w:rPr>
          <w:noProof/>
          <w:vertAlign w:val="superscript"/>
        </w:rPr>
        <w:footnoteReference w:id="36"/>
      </w:r>
      <w:r>
        <w:rPr>
          <w:noProof/>
        </w:rPr>
        <w:t xml:space="preserve"> за спиране на загубата на биологично разнообразие и екосистемни услуги, както и за възстановяването им, доколкото това е възможно. </w:t>
      </w:r>
    </w:p>
    <w:p>
      <w:pPr>
        <w:rPr>
          <w:rFonts w:cs="Times New Roman"/>
          <w:noProof/>
        </w:rPr>
      </w:pPr>
      <w:r>
        <w:rPr>
          <w:noProof/>
        </w:rPr>
        <w:t>Постигането на благоприятен природозащитен статус на защитените видове и местообитания изисква цялостно изпълнение на Директивата за местообитанията и Директивата за птиците</w:t>
      </w:r>
      <w:r>
        <w:rPr>
          <w:noProof/>
          <w:vertAlign w:val="superscript"/>
        </w:rPr>
        <w:footnoteReference w:id="37"/>
      </w:r>
      <w:r>
        <w:rPr>
          <w:noProof/>
        </w:rPr>
        <w:t>. Планът за действие за природата, хората и икономиката</w:t>
      </w:r>
      <w:r>
        <w:rPr>
          <w:noProof/>
          <w:vertAlign w:val="superscript"/>
        </w:rPr>
        <w:footnoteReference w:id="38"/>
      </w:r>
      <w:r>
        <w:rPr>
          <w:noProof/>
        </w:rPr>
        <w:t xml:space="preserve"> има за цел своевременно да се подобри практическото изпълнение на посочените директиви за опазване на природата и да се ускори напредъкът към целта на ЕС до 2020 г. за спиране и обръщане на тенденцията на загуба на биологично разнообразие и екосистемни услуги</w:t>
      </w:r>
      <w:r>
        <w:rPr>
          <w:rFonts w:eastAsiaTheme="minorEastAsia"/>
          <w:noProof/>
          <w:vertAlign w:val="superscript"/>
        </w:rPr>
        <w:footnoteReference w:id="39"/>
      </w:r>
      <w:r>
        <w:rPr>
          <w:noProof/>
        </w:rPr>
        <w:t xml:space="preserve">. Тъй като държавите членки докладват за постигнатия напредък в това отношение на всеки шест години, не е налична нова информация за настоящия цикъл от прегледа на изпълнението на политиките в областта на околната среда. Докладите, които трябва да бъдат представени по-късно през 2019 г., ще бъдат отразени в доклада на Комисията за състоянието на природата през 2020 г. </w:t>
      </w:r>
    </w:p>
    <w:p>
      <w:pPr>
        <w:rPr>
          <w:rFonts w:cs="Times New Roman"/>
          <w:noProof/>
        </w:rPr>
      </w:pPr>
      <w:r>
        <w:rPr>
          <w:noProof/>
        </w:rPr>
        <w:t xml:space="preserve">Като цяло, въпреки наличието на значителни пропуски, мрежата „Натура 2000“ продължава да се разраства в морските зони и ЕС вече е постигнал целта от Аичи за 2020 г., според която 10 % от крайбрежните и морските зони трябва да бъдат обхванати от защитени зони. Напредък е отбелязан и по отношение на приемането на необходимите мерки за опазване, като например планове за управление на защитените зони по „Натура 2000“, въпреки че засега плановете обхващат само 70 % от тези зони. Все още са необходими значителни усилия, за да се гарантира изпълнението — включително финансирането — на такива мерки на място, както и постигането на заложените в тях природозащитни цели. Това се отнася и за мерките в някои от най-отдалечените региони и в отвъдморските страни и територии. </w:t>
      </w:r>
    </w:p>
    <w:p>
      <w:pPr>
        <w:rPr>
          <w:rFonts w:cs="Times New Roman"/>
          <w:noProof/>
        </w:rPr>
      </w:pPr>
      <w:r>
        <w:rPr>
          <w:noProof/>
        </w:rPr>
        <w:t xml:space="preserve">Една от все по-сериозните заплахи за биологичното разнообразие в Европа е свързана с въвеждането и разпространението на инвазивни чужди видове. В Регламента за инвазивните чужди видове се предвижда набор от мерки, които да се предприемат в целия ЕС по отношение на видовете, включени в </w:t>
      </w:r>
      <w:hyperlink r:id="rId21">
        <w:r>
          <w:rPr>
            <w:noProof/>
          </w:rPr>
          <w:t>списъка на видовете, които засягат Съюза</w:t>
        </w:r>
      </w:hyperlink>
      <w:r>
        <w:rPr>
          <w:noProof/>
          <w:vertAlign w:val="superscript"/>
        </w:rPr>
        <w:footnoteReference w:id="40"/>
      </w:r>
      <w:r>
        <w:rPr>
          <w:noProof/>
        </w:rPr>
        <w:t xml:space="preserve">. </w:t>
      </w:r>
    </w:p>
    <w:p>
      <w:pPr>
        <w:rPr>
          <w:rFonts w:cs="Times New Roman"/>
          <w:noProof/>
        </w:rPr>
      </w:pPr>
      <w:r>
        <w:rPr>
          <w:noProof/>
        </w:rPr>
        <w:t xml:space="preserve">Наличната информация показва, че морските и сухоземните екосистеми, както и почвата, продължават да бъдат засегнати от няколко вида натиск — в това число неподходящи земеделски практики, изоставяне на земята, изменение на климата, развитие на инфраструктурата, разрастване на градовете и замърсяване на въздуха, почвите и водите, както и нарастващ натиск от инвазивни чужди видове. За да бъдат разрешени проблемите, причинени от разнообразните видове натиск, целите за биологично разнообразие трябва да бъдат включени в други политики — по-специално тези във връзка с финансирането — и да бъде насърчен диалогът между участниците в тези политики. </w:t>
      </w:r>
    </w:p>
    <w:p>
      <w:pPr>
        <w:spacing w:after="200" w:line="276" w:lineRule="auto"/>
        <w:jc w:val="left"/>
        <w:rPr>
          <w:rFonts w:cs="Times New Roman"/>
          <w:i/>
          <w:iCs/>
          <w:noProof/>
        </w:rPr>
      </w:pPr>
      <w:r>
        <w:rPr>
          <w:i/>
          <w:noProof/>
        </w:rPr>
        <w:t>Констатации относно политиката:</w:t>
      </w:r>
    </w:p>
    <w:p>
      <w:pPr>
        <w:numPr>
          <w:ilvl w:val="0"/>
          <w:numId w:val="3"/>
        </w:numPr>
        <w:spacing w:line="240" w:lineRule="auto"/>
        <w:ind w:left="357" w:hanging="357"/>
        <w:rPr>
          <w:rFonts w:cs="Times New Roman"/>
          <w:i/>
          <w:iCs/>
          <w:noProof/>
        </w:rPr>
      </w:pPr>
      <w:r>
        <w:rPr>
          <w:i/>
          <w:noProof/>
        </w:rPr>
        <w:t xml:space="preserve">Значителните пропуски в изпълнението, правоприлагането, финансирането и интегрирането на политиките оказват отрицателно въздействие върху усилията за защита на европейските екосистеми. Макар да беше постигнат известен напредък на местно равнище, загубата на биологично разнообразие в ЕС продължава. </w:t>
      </w:r>
    </w:p>
    <w:p>
      <w:pPr>
        <w:numPr>
          <w:ilvl w:val="0"/>
          <w:numId w:val="3"/>
        </w:numPr>
        <w:spacing w:line="240" w:lineRule="auto"/>
        <w:ind w:left="357" w:hanging="357"/>
        <w:rPr>
          <w:rFonts w:cs="Times New Roman"/>
          <w:i/>
          <w:iCs/>
          <w:noProof/>
        </w:rPr>
      </w:pPr>
      <w:r>
        <w:rPr>
          <w:i/>
          <w:noProof/>
        </w:rPr>
        <w:t>Въпреки отбелязания от 2017 г. насам напредък по отношение на създаването и управлението на „Натура 2000“, повечето държави членки</w:t>
      </w:r>
      <w:r>
        <w:rPr>
          <w:i/>
          <w:noProof/>
          <w:vertAlign w:val="superscript"/>
        </w:rPr>
        <w:footnoteReference w:id="41"/>
      </w:r>
      <w:r>
        <w:rPr>
          <w:i/>
          <w:noProof/>
        </w:rPr>
        <w:t xml:space="preserve"> трябва да задълбочат усилията за доизграждане на своите мрежи, особено в морската среда, и да завършат процеса на определяне на специални защитени зони при разработването и прилагането на по-ефективни мерки за опазване. Някои държави</w:t>
      </w:r>
      <w:r>
        <w:rPr>
          <w:noProof/>
          <w:vertAlign w:val="superscript"/>
        </w:rPr>
        <w:footnoteReference w:id="42"/>
      </w:r>
      <w:r>
        <w:rPr>
          <w:i/>
          <w:noProof/>
        </w:rPr>
        <w:t xml:space="preserve"> следва също така да разработят и насърчат по-интелигентни и по-рационализирани подходи за изпълнение, с които да се гарантира изпълнението на политиките. Необходимо е да се подобри капацитетът на националните администрации и да се предостави подходящо финансиране, за да се предотврати влошаването на състоянието на защитените зони по „Натура 2000“ и да се осигури тяхното добро управление</w:t>
      </w:r>
      <w:r>
        <w:rPr>
          <w:i/>
          <w:noProof/>
          <w:vertAlign w:val="superscript"/>
        </w:rPr>
        <w:footnoteReference w:id="43"/>
      </w:r>
      <w:r>
        <w:rPr>
          <w:i/>
          <w:noProof/>
        </w:rPr>
        <w:t>.</w:t>
      </w:r>
    </w:p>
    <w:p>
      <w:pPr>
        <w:numPr>
          <w:ilvl w:val="0"/>
          <w:numId w:val="3"/>
        </w:numPr>
        <w:spacing w:line="240" w:lineRule="auto"/>
        <w:ind w:left="357" w:hanging="357"/>
        <w:rPr>
          <w:rFonts w:cs="Times New Roman"/>
          <w:i/>
          <w:iCs/>
          <w:noProof/>
        </w:rPr>
      </w:pPr>
      <w:r>
        <w:rPr>
          <w:i/>
          <w:noProof/>
        </w:rPr>
        <w:t>След 2017 г. картографирането на екосистемите и техните услуги като цяло се е подобрило, но някои държави членки</w:t>
      </w:r>
      <w:r>
        <w:rPr>
          <w:i/>
          <w:noProof/>
          <w:vertAlign w:val="superscript"/>
        </w:rPr>
        <w:footnoteReference w:id="44"/>
      </w:r>
      <w:r>
        <w:rPr>
          <w:i/>
          <w:noProof/>
        </w:rPr>
        <w:t xml:space="preserve"> все още изостават. </w:t>
      </w:r>
    </w:p>
    <w:p>
      <w:pPr>
        <w:numPr>
          <w:ilvl w:val="0"/>
          <w:numId w:val="3"/>
        </w:numPr>
        <w:spacing w:line="240" w:lineRule="auto"/>
        <w:ind w:left="357" w:hanging="357"/>
        <w:rPr>
          <w:rFonts w:eastAsia="Times New Roman,Calibri" w:cs="Times New Roman"/>
          <w:i/>
          <w:iCs/>
          <w:noProof/>
        </w:rPr>
      </w:pPr>
      <w:r>
        <w:rPr>
          <w:i/>
          <w:noProof/>
        </w:rPr>
        <w:t>В няколко държави членки</w:t>
      </w:r>
      <w:r>
        <w:rPr>
          <w:i/>
          <w:noProof/>
          <w:vertAlign w:val="superscript"/>
        </w:rPr>
        <w:footnoteReference w:id="45"/>
      </w:r>
      <w:r>
        <w:rPr>
          <w:i/>
          <w:noProof/>
        </w:rPr>
        <w:t xml:space="preserve"> следва да се вземат мерки за подобряване на защитата на горските и пасищните местообитания, като се осигурят стимули за горските и земеделските стопани в съответствие със стратегията на ЕС за горите от 2013 г.</w:t>
      </w:r>
      <w:r>
        <w:rPr>
          <w:i/>
          <w:noProof/>
          <w:vertAlign w:val="superscript"/>
        </w:rPr>
        <w:footnoteReference w:id="46"/>
      </w:r>
      <w:r>
        <w:rPr>
          <w:i/>
          <w:noProof/>
        </w:rPr>
        <w:t>. Устойчивото управление на горите и ефективното използване на биомасата са от ключово значение за устойчивото използване на природните ресурси.</w:t>
      </w:r>
    </w:p>
    <w:p>
      <w:pPr>
        <w:numPr>
          <w:ilvl w:val="0"/>
          <w:numId w:val="3"/>
        </w:numPr>
        <w:spacing w:line="240" w:lineRule="auto"/>
        <w:ind w:left="357" w:hanging="357"/>
        <w:rPr>
          <w:rFonts w:eastAsia="Times New Roman,Calibri" w:cs="Times New Roman"/>
          <w:i/>
          <w:iCs/>
          <w:noProof/>
        </w:rPr>
      </w:pPr>
      <w:r>
        <w:rPr>
          <w:i/>
          <w:noProof/>
        </w:rPr>
        <w:t>Някои държави членки</w:t>
      </w:r>
      <w:r>
        <w:rPr>
          <w:i/>
          <w:noProof/>
          <w:vertAlign w:val="superscript"/>
        </w:rPr>
        <w:footnoteReference w:id="47"/>
      </w:r>
      <w:r>
        <w:rPr>
          <w:i/>
          <w:noProof/>
        </w:rPr>
        <w:t xml:space="preserve"> все още не са приели национално законодателство за изпълнение на Регламента за инвазивните чужди видове и/или не са уведомили Комисията своевременно за мерките за ликвидиране на такива видове</w:t>
      </w:r>
      <w:r>
        <w:rPr>
          <w:i/>
          <w:noProof/>
          <w:vertAlign w:val="superscript"/>
        </w:rPr>
        <w:footnoteReference w:id="48"/>
      </w:r>
      <w:r>
        <w:rPr>
          <w:i/>
          <w:noProof/>
        </w:rPr>
        <w:t xml:space="preserve">. </w:t>
      </w:r>
    </w:p>
    <w:p>
      <w:pPr>
        <w:numPr>
          <w:ilvl w:val="0"/>
          <w:numId w:val="3"/>
        </w:numPr>
        <w:spacing w:line="240" w:lineRule="auto"/>
        <w:rPr>
          <w:rFonts w:eastAsia="Times New Roman,Calibri" w:cs="Times New Roman"/>
          <w:i/>
          <w:iCs/>
          <w:noProof/>
        </w:rPr>
      </w:pPr>
      <w:r>
        <w:rPr>
          <w:i/>
          <w:noProof/>
        </w:rPr>
        <w:t>Недостатъчните данни и недостатъчното наблюдение и докладване засягат оценката на защитните мерки за морските зони. Някои държави</w:t>
      </w:r>
      <w:r>
        <w:rPr>
          <w:i/>
          <w:noProof/>
          <w:vertAlign w:val="superscript"/>
        </w:rPr>
        <w:footnoteReference w:id="49"/>
      </w:r>
      <w:r>
        <w:rPr>
          <w:i/>
          <w:noProof/>
        </w:rPr>
        <w:t xml:space="preserve"> не са докладвали своевременно</w:t>
      </w:r>
      <w:r>
        <w:rPr>
          <w:i/>
          <w:noProof/>
        </w:rPr>
        <w:footnoteReference w:id="50"/>
      </w:r>
      <w:r>
        <w:rPr>
          <w:i/>
          <w:noProof/>
        </w:rPr>
        <w:t>, докато редица други</w:t>
      </w:r>
      <w:r>
        <w:rPr>
          <w:i/>
          <w:noProof/>
          <w:vertAlign w:val="superscript"/>
        </w:rPr>
        <w:footnoteReference w:id="51"/>
      </w:r>
      <w:r>
        <w:rPr>
          <w:i/>
          <w:noProof/>
        </w:rPr>
        <w:t xml:space="preserve"> трябва да подобрят програмите си за сътрудничество и мониторинг.</w:t>
      </w:r>
    </w:p>
    <w:p>
      <w:pPr>
        <w:spacing w:line="240" w:lineRule="auto"/>
        <w:ind w:left="360"/>
        <w:rPr>
          <w:rFonts w:cs="Times New Roman"/>
          <w:i/>
          <w:iCs/>
          <w:noProof/>
        </w:rPr>
      </w:pPr>
    </w:p>
    <w:tbl>
      <w:tblPr>
        <w:tblStyle w:val="TableGrid"/>
        <w:tblpPr w:leftFromText="180" w:rightFromText="180" w:vertAnchor="text" w:horzAnchor="margin" w:tblpY="153"/>
        <w:tblW w:w="0" w:type="auto"/>
        <w:shd w:val="clear" w:color="auto" w:fill="D6E3BC" w:themeFill="accent3" w:themeFillTint="66"/>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Успешни практики:</w:t>
            </w:r>
          </w:p>
          <w:p>
            <w:pPr>
              <w:spacing w:after="200" w:line="240" w:lineRule="auto"/>
              <w:rPr>
                <w:rFonts w:cs="Times New Roman"/>
                <w:noProof/>
              </w:rPr>
            </w:pPr>
            <w:r>
              <w:rPr>
                <w:noProof/>
              </w:rPr>
              <w:t xml:space="preserve">Прилаганият в </w:t>
            </w:r>
            <w:r>
              <w:rPr>
                <w:b/>
                <w:noProof/>
              </w:rPr>
              <w:t>Румъния</w:t>
            </w:r>
            <w:r>
              <w:rPr>
                <w:noProof/>
              </w:rPr>
              <w:t xml:space="preserve"> проект Connect Carpathians</w:t>
            </w:r>
            <w:r>
              <w:rPr>
                <w:noProof/>
                <w:vertAlign w:val="superscript"/>
              </w:rPr>
              <w:footnoteReference w:id="52"/>
            </w:r>
            <w:r>
              <w:rPr>
                <w:noProof/>
              </w:rPr>
              <w:t xml:space="preserve"> по програмата LIFE има за цел да подобри взаимосвързаността на ландшафта в екологичните коридори на защитените зони по „Натура 2000“ в западната част на страната. В тези зони е осигурено движението на най-застрашените видове (например мечки и вълци) без риск те да станат обект на лов или случайно убиване. В допълнение към проекта се извършват дейности за подобряване на административния капацитет, включване на местните заинтересовани страни и осигуряване на земя за развитие на коридори за свързване. </w:t>
            </w:r>
          </w:p>
          <w:p>
            <w:pPr>
              <w:spacing w:after="200" w:line="240" w:lineRule="auto"/>
              <w:rPr>
                <w:rFonts w:cs="Times New Roman"/>
                <w:noProof/>
              </w:rPr>
            </w:pPr>
            <w:r>
              <w:rPr>
                <w:b/>
                <w:noProof/>
              </w:rPr>
              <w:t>Кипър</w:t>
            </w:r>
            <w:r>
              <w:rPr>
                <w:noProof/>
              </w:rPr>
              <w:t xml:space="preserve"> е една от държавите с напреднало прилагане на Регламента на ЕС за дървения материал. Въпреки малкия размер на държавата в нея са извършени повече проверки на местни и чуждестранни оператори на дървен материал, отколкото във всяка друга държава членка. 100 % от националните оператори са преминали обучение относно правните си задължения, а глобите за нарушения са сред най-високите в ЕС.</w:t>
            </w:r>
          </w:p>
        </w:tc>
      </w:tr>
    </w:tbl>
    <w:p>
      <w:pPr>
        <w:spacing w:line="240" w:lineRule="auto"/>
        <w:ind w:left="360"/>
        <w:rPr>
          <w:rFonts w:cs="Times New Roman"/>
          <w:i/>
          <w:iCs/>
          <w:noProof/>
        </w:rPr>
      </w:pPr>
    </w:p>
    <w:p>
      <w:pPr>
        <w:spacing w:line="240" w:lineRule="auto"/>
        <w:ind w:left="360"/>
        <w:rPr>
          <w:rFonts w:cs="Times New Roman"/>
          <w:i/>
          <w:iCs/>
          <w:noProof/>
        </w:rPr>
      </w:pPr>
    </w:p>
    <w:p>
      <w:pPr>
        <w:spacing w:line="240" w:lineRule="auto"/>
        <w:ind w:left="360"/>
        <w:rPr>
          <w:rFonts w:eastAsia="Times New Roman,Calibri" w:cs="Times New Roman"/>
          <w:i/>
          <w:iCs/>
          <w:noProof/>
        </w:rPr>
      </w:pPr>
    </w:p>
    <w:p>
      <w:pPr>
        <w:pStyle w:val="ListParagraph"/>
        <w:numPr>
          <w:ilvl w:val="1"/>
          <w:numId w:val="5"/>
        </w:numPr>
        <w:spacing w:before="240"/>
        <w:rPr>
          <w:rFonts w:eastAsia="Calibri" w:cs="Times New Roman"/>
          <w:b/>
          <w:noProof/>
          <w:sz w:val="24"/>
          <w:szCs w:val="24"/>
        </w:rPr>
      </w:pPr>
      <w:r>
        <w:rPr>
          <w:b/>
          <w:noProof/>
          <w:sz w:val="24"/>
        </w:rPr>
        <w:t xml:space="preserve"> Гарантиране на здравето и качеството на живота на гражданите</w:t>
      </w:r>
    </w:p>
    <w:p>
      <w:pPr>
        <w:spacing w:line="240" w:lineRule="auto"/>
        <w:rPr>
          <w:rFonts w:eastAsia="Calibri" w:cs="Times New Roman"/>
          <w:b/>
          <w:i/>
          <w:noProof/>
        </w:rPr>
      </w:pPr>
      <w:r>
        <w:rPr>
          <w:b/>
          <w:i/>
          <w:noProof/>
        </w:rPr>
        <w:t>Качество на въздуха и шум</w:t>
      </w:r>
    </w:p>
    <w:p>
      <w:pPr>
        <w:spacing w:line="240" w:lineRule="auto"/>
        <w:rPr>
          <w:rFonts w:cs="Times New Roman"/>
          <w:noProof/>
        </w:rPr>
      </w:pPr>
      <w:r>
        <w:rPr>
          <w:noProof/>
        </w:rPr>
        <w:t>През последните десетилетия се наблюдава подобрение в качеството на въздуха в Европа, което е резултат от съвместните усилия на ЕС и националните, регионалните и местните органи</w:t>
      </w:r>
      <w:r>
        <w:rPr>
          <w:noProof/>
          <w:vertAlign w:val="superscript"/>
        </w:rPr>
        <w:footnoteReference w:id="53"/>
      </w:r>
      <w:r>
        <w:rPr>
          <w:noProof/>
        </w:rPr>
        <w:t xml:space="preserve">. От 2000 г. насам брутният вътрешен продукт (БВП) на ЕС е нараснал с 32 %, докато емисиите на основните замърсители на въздуха са намалели между 10 и 70 % (в зависимост от замърсителя). През последните години има спад и в концентрациите на повечето замърсители на въздуха в околната среда. В повечето държави членки обаче качеството на живот на гражданите не се подобрява, тъй като </w:t>
      </w:r>
      <w:r>
        <w:rPr>
          <w:rStyle w:val="st"/>
          <w:noProof/>
        </w:rPr>
        <w:t xml:space="preserve">концентрациите на определени </w:t>
      </w:r>
      <w:r>
        <w:rPr>
          <w:rStyle w:val="Emphasis"/>
          <w:i w:val="0"/>
          <w:noProof/>
        </w:rPr>
        <w:t>замърсители</w:t>
      </w:r>
      <w:r>
        <w:rPr>
          <w:rStyle w:val="st"/>
          <w:noProof/>
        </w:rPr>
        <w:t xml:space="preserve"> на въздуха са над </w:t>
      </w:r>
      <w:r>
        <w:rPr>
          <w:rStyle w:val="Emphasis"/>
          <w:i w:val="0"/>
          <w:noProof/>
        </w:rPr>
        <w:t>европейските</w:t>
      </w:r>
      <w:r>
        <w:rPr>
          <w:rStyle w:val="st"/>
          <w:noProof/>
        </w:rPr>
        <w:t xml:space="preserve"> норми</w:t>
      </w:r>
      <w:r>
        <w:rPr>
          <w:noProof/>
        </w:rPr>
        <w:t xml:space="preserve">. Ситуацията е особено тревожна в градските райони, в които живеят мнозинството от европейците. </w:t>
      </w:r>
    </w:p>
    <w:p>
      <w:pPr>
        <w:spacing w:line="240" w:lineRule="auto"/>
        <w:rPr>
          <w:rFonts w:cs="Times New Roman"/>
          <w:noProof/>
        </w:rPr>
      </w:pPr>
      <w:r>
        <w:rPr>
          <w:noProof/>
        </w:rPr>
        <w:t>През 2018 г. Комисията представи съобщение, озаглавено „Европа, която закриля: чист въздух за всички“, в което бяха очертани наличните мерки за подпомагане на държавите членки да се борят със замърсяването на въздуха и да провеждат повече национални диалози на високо равнище за чист въздух</w:t>
      </w:r>
      <w:r>
        <w:rPr>
          <w:noProof/>
          <w:vertAlign w:val="superscript"/>
        </w:rPr>
        <w:footnoteReference w:id="54"/>
      </w:r>
      <w:r>
        <w:rPr>
          <w:noProof/>
        </w:rPr>
        <w:t>. В момента е в ход проверка за пригодност на двете директиви на ЕС за качеството на атмосферния въздух, като се оценява тяхната целесъобразност, ефективност, ефикасност, съгласуваност и добавена стойност</w:t>
      </w:r>
      <w:r>
        <w:rPr>
          <w:noProof/>
          <w:vertAlign w:val="superscript"/>
        </w:rPr>
        <w:footnoteReference w:id="55"/>
      </w:r>
      <w:r>
        <w:rPr>
          <w:noProof/>
        </w:rPr>
        <w:t>. Държавите членки са в процес на изготвяне на своите национални програми за контрол на замърсяването на въздуха, които трябва да бъдат завършени през 2019 г. Предприети са също така инициативи за научни изследвания и иновации, които да повишат информираността на местните органи относно замърсяването на въздуха и да подпомогнат мерките за борба с него</w:t>
      </w:r>
      <w:r>
        <w:rPr>
          <w:noProof/>
          <w:vertAlign w:val="superscript"/>
        </w:rPr>
        <w:footnoteReference w:id="56"/>
      </w:r>
      <w:r>
        <w:rPr>
          <w:noProof/>
        </w:rPr>
        <w:t>.</w:t>
      </w:r>
    </w:p>
    <w:p>
      <w:pPr>
        <w:spacing w:line="240" w:lineRule="auto"/>
        <w:rPr>
          <w:rFonts w:cs="Times New Roman"/>
          <w:noProof/>
        </w:rPr>
      </w:pPr>
      <w:r>
        <w:rPr>
          <w:noProof/>
        </w:rPr>
        <w:t>Като част от усилията за решаване на проблемите, свързани с шумовото замърсяване, ЕС определи общ подход за предотвратяване или намаляване на вредните последици от излагането на шум от околната среда. При този подход се използват общи методи за картографиране на шума, за предоставяне на информация на обществеността и за приемане и прилагане на специално разработени планове за действие на местно равнище.</w:t>
      </w:r>
    </w:p>
    <w:p>
      <w:pPr>
        <w:spacing w:after="200" w:line="276" w:lineRule="auto"/>
        <w:jc w:val="left"/>
        <w:rPr>
          <w:rFonts w:cs="Times New Roman"/>
          <w:i/>
          <w:iCs/>
          <w:noProof/>
        </w:rPr>
      </w:pPr>
      <w:r>
        <w:rPr>
          <w:i/>
          <w:noProof/>
        </w:rPr>
        <w:t>Констатации относно политиката:</w:t>
      </w:r>
    </w:p>
    <w:p>
      <w:pPr>
        <w:pStyle w:val="ListParagraph"/>
        <w:numPr>
          <w:ilvl w:val="0"/>
          <w:numId w:val="3"/>
        </w:numPr>
        <w:rPr>
          <w:rFonts w:cs="Times New Roman"/>
          <w:i/>
          <w:iCs/>
          <w:noProof/>
        </w:rPr>
      </w:pPr>
      <w:r>
        <w:rPr>
          <w:i/>
          <w:noProof/>
        </w:rPr>
        <w:t>Съществува риск замърсяването на въздуха да се подценява в някои случаи, тъй като невинаги може да се наблюдава на правилните места</w:t>
      </w:r>
      <w:r>
        <w:rPr>
          <w:i/>
          <w:noProof/>
          <w:vertAlign w:val="superscript"/>
        </w:rPr>
        <w:footnoteReference w:id="57"/>
      </w:r>
      <w:r>
        <w:rPr>
          <w:i/>
          <w:noProof/>
        </w:rPr>
        <w:t>. Местата за вземане на проби трябва да бъдат разположени както в районите, „където са измерени най-високите концентрации“, така и в районите, „представителни за общата експозиция на населението“, като целта е качеството на въздуха да бъде измервано и в близост до големите промишлени обекти или основните градски пътни артерии.</w:t>
      </w:r>
    </w:p>
    <w:p>
      <w:pPr>
        <w:numPr>
          <w:ilvl w:val="0"/>
          <w:numId w:val="3"/>
        </w:numPr>
        <w:spacing w:line="240" w:lineRule="auto"/>
        <w:ind w:left="357" w:hanging="357"/>
        <w:rPr>
          <w:rFonts w:cs="Times New Roman"/>
          <w:i/>
          <w:iCs/>
          <w:noProof/>
        </w:rPr>
      </w:pPr>
      <w:r>
        <w:rPr>
          <w:i/>
          <w:noProof/>
        </w:rPr>
        <w:t>Въпреки че в някои държави положението се е подобрило, осемнадесет държави членки</w:t>
      </w:r>
      <w:r>
        <w:rPr>
          <w:i/>
          <w:noProof/>
        </w:rPr>
        <w:footnoteReference w:id="58"/>
      </w:r>
      <w:r>
        <w:rPr>
          <w:i/>
          <w:noProof/>
        </w:rPr>
        <w:t xml:space="preserve"> трябва да ускорят намаляването на емисиите на азотен оксид (NO</w:t>
      </w:r>
      <w:r>
        <w:rPr>
          <w:i/>
          <w:noProof/>
          <w:vertAlign w:val="subscript"/>
        </w:rPr>
        <w:t>x</w:t>
      </w:r>
      <w:r>
        <w:rPr>
          <w:i/>
          <w:noProof/>
        </w:rPr>
        <w:t>) и на азотен диоксид (NO</w:t>
      </w:r>
      <w:r>
        <w:rPr>
          <w:i/>
          <w:noProof/>
          <w:vertAlign w:val="subscript"/>
        </w:rPr>
        <w:t>2</w:t>
      </w:r>
      <w:r>
        <w:rPr>
          <w:i/>
          <w:noProof/>
        </w:rPr>
        <w:t>) чрез допълнително ограничаване на емисиите от транспорта, особено в градските райони. За постигането на тази цел може също така да са необходими пропорционални и целенасочени ограничения на достъпа на превозни средства до градските райони и/или данъчни стимули. В случаите на установени превишения Комисията е започнала дела за нарушения, включително като е завела дела срещу няколко държави членки в Съда на ЕС.</w:t>
      </w:r>
      <w:r>
        <w:rPr>
          <w:i/>
          <w:noProof/>
          <w:color w:val="70AD47"/>
        </w:rPr>
        <w:t xml:space="preserve"> </w:t>
      </w:r>
    </w:p>
    <w:p>
      <w:pPr>
        <w:numPr>
          <w:ilvl w:val="0"/>
          <w:numId w:val="3"/>
        </w:numPr>
        <w:spacing w:line="240" w:lineRule="auto"/>
        <w:ind w:left="357" w:hanging="357"/>
        <w:rPr>
          <w:rFonts w:cs="Times New Roman"/>
          <w:i/>
          <w:iCs/>
          <w:noProof/>
        </w:rPr>
      </w:pPr>
      <w:r>
        <w:rPr>
          <w:i/>
          <w:noProof/>
        </w:rPr>
        <w:t>Необходимо е да се ускори намаляването на праховите частици (PM</w:t>
      </w:r>
      <w:r>
        <w:rPr>
          <w:i/>
          <w:noProof/>
          <w:vertAlign w:val="subscript"/>
        </w:rPr>
        <w:t>2,5</w:t>
      </w:r>
      <w:r>
        <w:rPr>
          <w:i/>
          <w:noProof/>
        </w:rPr>
        <w:t xml:space="preserve"> и PM</w:t>
      </w:r>
      <w:r>
        <w:rPr>
          <w:i/>
          <w:noProof/>
          <w:vertAlign w:val="subscript"/>
        </w:rPr>
        <w:t>10</w:t>
      </w:r>
      <w:r>
        <w:rPr>
          <w:i/>
          <w:noProof/>
        </w:rPr>
        <w:t>) в петнадесет държави — членки на ЕС</w:t>
      </w:r>
      <w:r>
        <w:rPr>
          <w:i/>
          <w:noProof/>
          <w:vertAlign w:val="superscript"/>
        </w:rPr>
        <w:footnoteReference w:id="59"/>
      </w:r>
      <w:r>
        <w:rPr>
          <w:i/>
          <w:noProof/>
        </w:rPr>
        <w:t>, като действията за постигане на тази цел включват насърчаване на производството на по-чиста енергия и въвеждането на ефективно и екологосъобразно централно отопление. В момента има няколко висящи дела за нарушения във връзка с неизпълнението на тези цели. Срещу някои от въпросните държави членки бяха заведени дела в Съда на ЕС за постоянно високите нива на прахови частици (PM</w:t>
      </w:r>
      <w:r>
        <w:rPr>
          <w:i/>
          <w:noProof/>
          <w:vertAlign w:val="subscript"/>
        </w:rPr>
        <w:t>10</w:t>
      </w:r>
      <w:r>
        <w:rPr>
          <w:i/>
          <w:noProof/>
        </w:rPr>
        <w:t xml:space="preserve">) и Съдът вече се произнесе по две от тях. </w:t>
      </w:r>
    </w:p>
    <w:p>
      <w:pPr>
        <w:numPr>
          <w:ilvl w:val="0"/>
          <w:numId w:val="3"/>
        </w:numPr>
        <w:spacing w:line="240" w:lineRule="auto"/>
        <w:ind w:left="357" w:hanging="357"/>
        <w:rPr>
          <w:rFonts w:cs="Times New Roman"/>
          <w:i/>
          <w:iCs/>
          <w:noProof/>
        </w:rPr>
      </w:pPr>
      <w:r>
        <w:rPr>
          <w:i/>
          <w:noProof/>
        </w:rPr>
        <w:t>Намаляването на емисиите на амоняк (NH</w:t>
      </w:r>
      <w:r>
        <w:rPr>
          <w:i/>
          <w:noProof/>
          <w:vertAlign w:val="subscript"/>
        </w:rPr>
        <w:t>3</w:t>
      </w:r>
      <w:r>
        <w:rPr>
          <w:i/>
          <w:noProof/>
        </w:rPr>
        <w:t>) в шест държави членки</w:t>
      </w:r>
      <w:r>
        <w:rPr>
          <w:i/>
          <w:noProof/>
          <w:vertAlign w:val="superscript"/>
        </w:rPr>
        <w:footnoteReference w:id="60"/>
      </w:r>
      <w:r>
        <w:rPr>
          <w:i/>
          <w:noProof/>
        </w:rPr>
        <w:t xml:space="preserve"> изисква ограничаване на емисиите от селското стопанство. Това може да се постигне чрез въвеждане на селскостопански техники с ниски емисии, включително за управлението на животновъдството и естествените и изкуствените торове. </w:t>
      </w:r>
    </w:p>
    <w:p>
      <w:pPr>
        <w:numPr>
          <w:ilvl w:val="0"/>
          <w:numId w:val="3"/>
        </w:numPr>
        <w:spacing w:line="240" w:lineRule="auto"/>
        <w:rPr>
          <w:rFonts w:cs="Times New Roman"/>
          <w:i/>
          <w:iCs/>
          <w:noProof/>
        </w:rPr>
      </w:pPr>
      <w:r>
        <w:rPr>
          <w:i/>
          <w:noProof/>
        </w:rPr>
        <w:t>В тринадесет държави членки</w:t>
      </w:r>
      <w:r>
        <w:rPr>
          <w:i/>
          <w:noProof/>
          <w:vertAlign w:val="superscript"/>
        </w:rPr>
        <w:footnoteReference w:id="61"/>
      </w:r>
      <w:r>
        <w:rPr>
          <w:i/>
          <w:noProof/>
        </w:rPr>
        <w:t xml:space="preserve"> все още липсват планове за действие за управление на шума, а седем държави</w:t>
      </w:r>
      <w:r>
        <w:rPr>
          <w:i/>
          <w:noProof/>
          <w:vertAlign w:val="superscript"/>
        </w:rPr>
        <w:footnoteReference w:id="62"/>
      </w:r>
      <w:r>
        <w:rPr>
          <w:i/>
          <w:noProof/>
        </w:rPr>
        <w:t xml:space="preserve"> все още трябва да приемат необходимите карти на шума.</w:t>
      </w:r>
    </w:p>
    <w:tbl>
      <w:tblPr>
        <w:tblStyle w:val="TableGrid"/>
        <w:tblpPr w:leftFromText="180" w:rightFromText="180" w:vertAnchor="text" w:horzAnchor="margin" w:tblpY="222"/>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Успешни практики:</w:t>
            </w:r>
          </w:p>
          <w:p>
            <w:pPr>
              <w:spacing w:after="200" w:line="240" w:lineRule="auto"/>
              <w:rPr>
                <w:rFonts w:cs="Times New Roman"/>
                <w:noProof/>
              </w:rPr>
            </w:pPr>
            <w:r>
              <w:rPr>
                <w:noProof/>
              </w:rPr>
              <w:t xml:space="preserve">От 2017 г. насам държавите членки и Комисията участваха в поредица от диалози с акцент върху качеството на въздуха. До края на 2018 г. бяха организирани шест „диалога за чист въздух“ с цел преодоляването на специфични предизвикателства в </w:t>
            </w:r>
            <w:r>
              <w:rPr>
                <w:b/>
                <w:noProof/>
              </w:rPr>
              <w:t>Испания, Ирландия, Люксембург, Словакия, Унгария и Чехия</w:t>
            </w:r>
            <w:r>
              <w:rPr>
                <w:noProof/>
              </w:rPr>
              <w:t>. Тези усилия бяха допълнени от организирането на тематични семинари с подкрепата на механизма за партньорство на Европейската комисия TAIEX-EIR.</w:t>
            </w:r>
          </w:p>
          <w:p>
            <w:pPr>
              <w:spacing w:after="200" w:line="240" w:lineRule="auto"/>
              <w:rPr>
                <w:rFonts w:cs="Times New Roman"/>
                <w:b/>
                <w:bCs/>
                <w:noProof/>
              </w:rPr>
            </w:pPr>
            <w:r>
              <w:rPr>
                <w:noProof/>
              </w:rPr>
              <w:t>По линия на проекта за регион Малополша</w:t>
            </w:r>
            <w:r>
              <w:rPr>
                <w:noProof/>
                <w:vertAlign w:val="superscript"/>
              </w:rPr>
              <w:footnoteReference w:id="63"/>
            </w:r>
            <w:r>
              <w:rPr>
                <w:noProof/>
              </w:rPr>
              <w:t xml:space="preserve">, който се изпълнява в </w:t>
            </w:r>
            <w:r>
              <w:rPr>
                <w:b/>
                <w:noProof/>
              </w:rPr>
              <w:t>Полша</w:t>
            </w:r>
            <w:r>
              <w:rPr>
                <w:noProof/>
              </w:rPr>
              <w:t xml:space="preserve"> в рамките на програмата LIFE, се осигуряват консултантски услуги и подпомагане, насочени към прилагането на мерки за борба със сериозното замърсяване на въздуха в региона.</w:t>
            </w:r>
          </w:p>
        </w:tc>
      </w:tr>
    </w:tbl>
    <w:p>
      <w:pPr>
        <w:spacing w:before="240"/>
        <w:rPr>
          <w:rFonts w:eastAsia="Calibri" w:cs="Times New Roman"/>
          <w:b/>
          <w:i/>
          <w:noProof/>
        </w:rPr>
      </w:pPr>
      <w:r>
        <w:rPr>
          <w:b/>
          <w:i/>
          <w:noProof/>
        </w:rPr>
        <w:t>Емисии от промишлеността</w:t>
      </w:r>
    </w:p>
    <w:p>
      <w:pPr>
        <w:spacing w:line="240" w:lineRule="auto"/>
        <w:rPr>
          <w:rFonts w:cs="Times New Roman"/>
          <w:noProof/>
        </w:rPr>
      </w:pPr>
      <w:r>
        <w:rPr>
          <w:noProof/>
        </w:rPr>
        <w:t>Промишлеността генерира 24 % от брутния вътрешен продукт на ЕС и осигурява работа на 50 милиона души, като допринася в значителна степен за икономическото благосъстояние и развитието на нашия континент</w:t>
      </w:r>
      <w:r>
        <w:rPr>
          <w:noProof/>
          <w:vertAlign w:val="superscript"/>
        </w:rPr>
        <w:footnoteReference w:id="64"/>
      </w:r>
      <w:r>
        <w:rPr>
          <w:noProof/>
        </w:rPr>
        <w:t>. Замърсяването от промишлени дейности може обаче да окаже отрицателно влияние върху хората и околната среда, поради което чистата промишленост е от съществено значение. Чрез всеобхватен подход — чието начало беше поставено с Директивата относно емисиите от промишлеността</w:t>
      </w:r>
      <w:r>
        <w:rPr>
          <w:noProof/>
          <w:vertAlign w:val="superscript"/>
        </w:rPr>
        <w:footnoteReference w:id="65"/>
      </w:r>
      <w:r>
        <w:rPr>
          <w:noProof/>
        </w:rPr>
        <w:t xml:space="preserve"> — ЕС се стреми да осигури високо ниво на защита на човешкото здраве и околната среда, като същевременно се подобряват иновациите и конкурентоспособността.</w:t>
      </w:r>
    </w:p>
    <w:p>
      <w:pPr>
        <w:spacing w:line="240" w:lineRule="auto"/>
        <w:rPr>
          <w:rFonts w:cs="Times New Roman"/>
          <w:noProof/>
        </w:rPr>
      </w:pPr>
      <w:r>
        <w:rPr>
          <w:noProof/>
        </w:rPr>
        <w:t>Понастоящем промишлеността отделя 40 % от общото количество замърсители на въздуха и 20 % от общото количество замърсители на водата</w:t>
      </w:r>
      <w:r>
        <w:rPr>
          <w:noProof/>
          <w:vertAlign w:val="superscript"/>
        </w:rPr>
        <w:footnoteReference w:id="66"/>
      </w:r>
      <w:r>
        <w:rPr>
          <w:noProof/>
        </w:rPr>
        <w:t xml:space="preserve">. По силата на Директивата относно емисиите от промишлеността проблемът с тези емисии се решава чрез мониторинг на въздействието върху околната среда на 50-те хиляди най-големи промишлени инсталации и определяне на ограничения за емисиите за повече от 80 замърсителя на въздуха и водата. Въздействието на промишлеността върху околната среда се понижава и посредством стандартите за емисиите. В директивата се определят основните принципи за издаване на разрешения и контрол на инсталациите, като тези принципи се основават на интегриран подход и прилагане на най-добрите налични техники за постигане на високо ниво на опазване на околната среда при отчитане на разходите и ползите. Вече се въвеждат редица новаторски технологии, често съчетани с технологии за кръгова промишленост, чиято цел е да се постигне значително намаляване на парниковите газове и замърсителите. </w:t>
      </w:r>
    </w:p>
    <w:p>
      <w:pPr>
        <w:spacing w:after="200" w:line="276" w:lineRule="auto"/>
        <w:jc w:val="left"/>
        <w:rPr>
          <w:rFonts w:cs="Times New Roman"/>
          <w:i/>
          <w:iCs/>
          <w:noProof/>
        </w:rPr>
      </w:pPr>
      <w:r>
        <w:rPr>
          <w:i/>
          <w:noProof/>
        </w:rPr>
        <w:t>Констатации относно политиката:</w:t>
      </w:r>
    </w:p>
    <w:p>
      <w:pPr>
        <w:pStyle w:val="ListParagraph"/>
        <w:numPr>
          <w:ilvl w:val="0"/>
          <w:numId w:val="3"/>
        </w:numPr>
        <w:spacing w:line="240" w:lineRule="auto"/>
        <w:contextualSpacing w:val="0"/>
        <w:rPr>
          <w:rFonts w:cs="Times New Roman"/>
          <w:noProof/>
        </w:rPr>
      </w:pPr>
      <w:r>
        <w:rPr>
          <w:i/>
          <w:noProof/>
        </w:rPr>
        <w:t>Всички държави — членки на ЕС, трябва да преразгледат предоставените разрешения в контекста на тяхното съответствие с новоприетите заключения относно най-добрите налични техники, както и да засилят контрола и правоприлагането по места.</w:t>
      </w:r>
    </w:p>
    <w:p>
      <w:pPr>
        <w:pStyle w:val="ListParagraph"/>
        <w:numPr>
          <w:ilvl w:val="0"/>
          <w:numId w:val="3"/>
        </w:numPr>
        <w:spacing w:line="240" w:lineRule="auto"/>
        <w:contextualSpacing w:val="0"/>
        <w:rPr>
          <w:rFonts w:cs="Times New Roman"/>
          <w:noProof/>
        </w:rPr>
      </w:pPr>
      <w:r>
        <w:rPr>
          <w:i/>
          <w:noProof/>
        </w:rPr>
        <w:t>Замърсяването на въздуха и/или водата, причинено от емисиите на инсталации в сектора на енергетиката, е основният източник на замърсяване при единадесет държави — членки на ЕС</w:t>
      </w:r>
      <w:r>
        <w:rPr>
          <w:i/>
          <w:noProof/>
          <w:vertAlign w:val="superscript"/>
        </w:rPr>
        <w:footnoteReference w:id="67"/>
      </w:r>
      <w:r>
        <w:rPr>
          <w:i/>
          <w:noProof/>
        </w:rPr>
        <w:t>. При седем държави</w:t>
      </w:r>
      <w:r>
        <w:rPr>
          <w:i/>
          <w:noProof/>
          <w:vertAlign w:val="superscript"/>
        </w:rPr>
        <w:footnoteReference w:id="68"/>
      </w:r>
      <w:r>
        <w:rPr>
          <w:i/>
          <w:noProof/>
        </w:rPr>
        <w:t xml:space="preserve"> най-голям е делът на емисиите от сектора на интензивно отглеждане на птици и свине. Сериозна причина за безпокойство представлява настоящата ситуация в две държави членки</w:t>
      </w:r>
      <w:r>
        <w:rPr>
          <w:i/>
          <w:noProof/>
          <w:vertAlign w:val="superscript"/>
        </w:rPr>
        <w:footnoteReference w:id="69"/>
      </w:r>
      <w:r>
        <w:rPr>
          <w:i/>
          <w:noProof/>
        </w:rPr>
        <w:t xml:space="preserve"> по отношение на емисиите на замърсители на въздуха от заводите за желязо и стомана. Емисиите от дейностите по третиране на отпадъци продължават да бъдат проблем в три държави членки</w:t>
      </w:r>
      <w:r>
        <w:rPr>
          <w:i/>
          <w:noProof/>
          <w:vertAlign w:val="superscript"/>
        </w:rPr>
        <w:footnoteReference w:id="70"/>
      </w:r>
      <w:r>
        <w:rPr>
          <w:i/>
          <w:noProof/>
        </w:rPr>
        <w:t>.</w:t>
      </w:r>
    </w:p>
    <w:p>
      <w:pPr>
        <w:spacing w:before="240"/>
        <w:rPr>
          <w:rFonts w:eastAsia="Calibri" w:cs="Times New Roman"/>
          <w:b/>
          <w:i/>
          <w:noProof/>
        </w:rPr>
      </w:pPr>
      <w:r>
        <w:rPr>
          <w:b/>
          <w:i/>
          <w:noProof/>
        </w:rPr>
        <w:t>Качество на водите, наводнения и управление на водите</w:t>
      </w:r>
    </w:p>
    <w:p>
      <w:pPr>
        <w:widowControl w:val="0"/>
        <w:autoSpaceDE w:val="0"/>
        <w:spacing w:line="240" w:lineRule="auto"/>
        <w:rPr>
          <w:rFonts w:cs="Times New Roman"/>
          <w:noProof/>
        </w:rPr>
      </w:pPr>
      <w:r>
        <w:rPr>
          <w:noProof/>
        </w:rPr>
        <w:t>Защитата на водните ресурси, на сладководните и морските екосистеми, както и на водата за пиене и къпане е важен компонент на мерките за опазване на околната среда в Европа. Чрез съществуващото законодателство на ЕС в областта на водите</w:t>
      </w:r>
      <w:r>
        <w:rPr>
          <w:noProof/>
          <w:vertAlign w:val="superscript"/>
        </w:rPr>
        <w:footnoteReference w:id="71"/>
      </w:r>
      <w:r>
        <w:rPr>
          <w:noProof/>
        </w:rPr>
        <w:t xml:space="preserve"> беше създадена рамка за управление на сладките и морските води и за решаване на проблемите, свързани със специфичните източници на замърсяване. Общата политика в областта на рибарството има за цел да се ограничи въздействието на рибарството до равнища, подходящи за устойчиво събиране на производствения потенциал на запасите, като същевременно се намали въздействието върху екосистемите. </w:t>
      </w:r>
    </w:p>
    <w:p>
      <w:pPr>
        <w:widowControl w:val="0"/>
        <w:autoSpaceDE w:val="0"/>
        <w:spacing w:line="240" w:lineRule="auto"/>
        <w:rPr>
          <w:rFonts w:cs="Times New Roman"/>
          <w:noProof/>
        </w:rPr>
      </w:pPr>
      <w:r>
        <w:rPr>
          <w:noProof/>
        </w:rPr>
        <w:t>Водите на Европа са все по-засегнати от изменението на климата. Спазването на законодателството на ЕС в областта на водите вече подпомага борбата срещу последиците от изменението на климата, тъй при изготвянето му се вземат предвид прогнозите за зачестяването на сушите и наводненията. Политиката на ЕС в областта на водите има значителен потенциал за смекчаване на тези последици, при условие че незабавно се предприемат ефективни действия. Политиката на ЕС в областта на водите спомогна също така за развитието на динамичен воден сектор с водеща роля в света, който включва 9000 малки и средни предприятия и осигурява почти половин милион работни места на пълно работно време</w:t>
      </w:r>
      <w:r>
        <w:rPr>
          <w:noProof/>
          <w:vertAlign w:val="superscript"/>
        </w:rPr>
        <w:footnoteReference w:id="72"/>
      </w:r>
      <w:r>
        <w:rPr>
          <w:noProof/>
        </w:rPr>
        <w:t xml:space="preserve">. </w:t>
      </w:r>
    </w:p>
    <w:p>
      <w:pPr>
        <w:spacing w:line="240" w:lineRule="auto"/>
        <w:rPr>
          <w:rFonts w:cs="Times New Roman"/>
          <w:noProof/>
        </w:rPr>
      </w:pPr>
      <w:r>
        <w:rPr>
          <w:noProof/>
        </w:rPr>
        <w:t>В извършената от Комисията оценка на вторите планове за управление на речните басейни на държавите членки съгласно Рамковата директива за водите беше формулирано заключението, че познанията и докладването във връзка с тази рамкова директива значително са се подобрили. В изводите от оценката на Комисията, която обхваща първите планове за управление на риска от наводнения на държавите членки съгласно Директивата за наводненията, се подчертава, че са предприети някои важни стъпки, макар че степента на разработване на практика се различава. Комисията взе предвид резултатите от Конференцията на ЕС за водите, проведена през 2018 г. във Виена</w:t>
      </w:r>
      <w:r>
        <w:rPr>
          <w:noProof/>
          <w:vertAlign w:val="superscript"/>
        </w:rPr>
        <w:footnoteReference w:id="73"/>
      </w:r>
      <w:r>
        <w:rPr>
          <w:noProof/>
        </w:rPr>
        <w:t xml:space="preserve">, на която редица заинтересовани страни и държави членки представиха информация относно изпълнението на законодателството на ЕС в областта на водите, показваща наличието на разнородни тенденции. </w:t>
      </w:r>
    </w:p>
    <w:p>
      <w:pPr>
        <w:spacing w:line="240" w:lineRule="auto"/>
        <w:rPr>
          <w:rFonts w:cs="Times New Roman"/>
          <w:i/>
          <w:iCs/>
          <w:noProof/>
        </w:rPr>
      </w:pPr>
      <w:r>
        <w:rPr>
          <w:i/>
          <w:noProof/>
        </w:rPr>
        <w:t>Констатации относно политиката:</w:t>
      </w:r>
    </w:p>
    <w:p>
      <w:pPr>
        <w:pStyle w:val="ListParagraph"/>
        <w:numPr>
          <w:ilvl w:val="0"/>
          <w:numId w:val="3"/>
        </w:numPr>
        <w:spacing w:line="240" w:lineRule="auto"/>
        <w:contextualSpacing w:val="0"/>
        <w:rPr>
          <w:rFonts w:cs="Times New Roman"/>
          <w:i/>
          <w:iCs/>
          <w:noProof/>
        </w:rPr>
      </w:pPr>
      <w:r>
        <w:rPr>
          <w:i/>
          <w:noProof/>
        </w:rPr>
        <w:t>Въз основа на второто поколение планове за управление на речните басейни</w:t>
      </w:r>
      <w:r>
        <w:rPr>
          <w:i/>
          <w:noProof/>
          <w:vertAlign w:val="superscript"/>
        </w:rPr>
        <w:footnoteReference w:id="74"/>
      </w:r>
      <w:r>
        <w:rPr>
          <w:i/>
          <w:noProof/>
        </w:rPr>
        <w:t xml:space="preserve"> на държавите членки Комисията извърши оценка на съответствието с целите на Рамковата директива за водите и заключи, че то постепенно нараства. Все още са налице обаче множество предизвикателства, свързани с постигането на цялостно съответствие с целите на Рамковата директива за водите до 2027 г. (след тази дата възможностите за освобождаване от съответните изисквания стават ограничени).</w:t>
      </w:r>
    </w:p>
    <w:p>
      <w:pPr>
        <w:pStyle w:val="ListParagraph"/>
        <w:numPr>
          <w:ilvl w:val="0"/>
          <w:numId w:val="3"/>
        </w:numPr>
        <w:spacing w:line="240" w:lineRule="auto"/>
        <w:contextualSpacing w:val="0"/>
        <w:rPr>
          <w:rFonts w:cs="Times New Roman"/>
          <w:i/>
          <w:iCs/>
          <w:noProof/>
        </w:rPr>
      </w:pPr>
      <w:r>
        <w:rPr>
          <w:i/>
          <w:noProof/>
        </w:rPr>
        <w:t xml:space="preserve">Необходимо е да се положат още много усилия за цялостното изпълнение на целите на Рамковата директива за водите и други свързани директиви. Решаващо значение за постигането на тези цели има увеличаването на инвестициите. От полза за държавите членки ще е да се осигури по-широката ангажираност на всички съответни пазарни участници и представители на гражданското общество, за да се постигне по-ефективното правоприлагане на принципа „замърсителят плаща“. Тези усилия, насочени към изпълнението, ще продължат да се ползват с подкрепа по линия на фондовете на ЕС. </w:t>
      </w:r>
    </w:p>
    <w:p>
      <w:pPr>
        <w:pStyle w:val="ListParagraph"/>
        <w:numPr>
          <w:ilvl w:val="0"/>
          <w:numId w:val="3"/>
        </w:numPr>
        <w:spacing w:line="240" w:lineRule="auto"/>
        <w:contextualSpacing w:val="0"/>
        <w:rPr>
          <w:rFonts w:cs="Times New Roman"/>
          <w:i/>
          <w:iCs/>
          <w:noProof/>
        </w:rPr>
      </w:pPr>
      <w:r>
        <w:rPr>
          <w:i/>
          <w:noProof/>
        </w:rPr>
        <w:t xml:space="preserve">Въпреки че редица държави членки са предприели подходящи мерки на политиката, включително инвестиции, подобряването на качеството на водите в редица речни басейни ще отнеме известно време. </w:t>
      </w:r>
    </w:p>
    <w:p>
      <w:pPr>
        <w:pStyle w:val="ListParagraph"/>
        <w:numPr>
          <w:ilvl w:val="0"/>
          <w:numId w:val="3"/>
        </w:numPr>
        <w:spacing w:line="240" w:lineRule="auto"/>
        <w:contextualSpacing w:val="0"/>
        <w:rPr>
          <w:rFonts w:cs="Times New Roman"/>
          <w:i/>
          <w:iCs/>
          <w:noProof/>
        </w:rPr>
      </w:pPr>
      <w:r>
        <w:rPr>
          <w:i/>
          <w:noProof/>
        </w:rPr>
        <w:t xml:space="preserve">Докато голяма част от подземните водни обекти вече са в добро състояние, в такова състояние са по-малко от половината от повърхностните водни обекти. Независимо от това тенденциите по отношение на някои основни елементи на качеството и някои веществата са по-положителни. </w:t>
      </w:r>
    </w:p>
    <w:p>
      <w:pPr>
        <w:pStyle w:val="ListParagraph"/>
        <w:numPr>
          <w:ilvl w:val="0"/>
          <w:numId w:val="3"/>
        </w:numPr>
        <w:spacing w:line="240" w:lineRule="auto"/>
        <w:contextualSpacing w:val="0"/>
        <w:rPr>
          <w:rFonts w:cs="Times New Roman"/>
          <w:i/>
          <w:iCs/>
          <w:noProof/>
        </w:rPr>
      </w:pPr>
      <w:r>
        <w:rPr>
          <w:i/>
          <w:noProof/>
        </w:rPr>
        <w:t>Постигането на заложената в Директивата за наводненията цел за намаляване на потенциалните неблагоприятни последици от значителни наводнения ще изисква постоянни усилия от страна на държавите членки през следващите цикли.</w:t>
      </w:r>
    </w:p>
    <w:p>
      <w:pPr>
        <w:pStyle w:val="ListParagraph"/>
        <w:numPr>
          <w:ilvl w:val="0"/>
          <w:numId w:val="3"/>
        </w:numPr>
        <w:spacing w:line="240" w:lineRule="auto"/>
        <w:contextualSpacing w:val="0"/>
        <w:rPr>
          <w:rFonts w:cs="Times New Roman"/>
          <w:i/>
          <w:iCs/>
          <w:noProof/>
        </w:rPr>
      </w:pPr>
      <w:r>
        <w:rPr>
          <w:i/>
          <w:noProof/>
        </w:rPr>
        <w:t>В редица държави членки</w:t>
      </w:r>
      <w:r>
        <w:rPr>
          <w:i/>
          <w:noProof/>
          <w:vertAlign w:val="superscript"/>
        </w:rPr>
        <w:footnoteReference w:id="75"/>
      </w:r>
      <w:r>
        <w:rPr>
          <w:i/>
          <w:noProof/>
        </w:rPr>
        <w:t xml:space="preserve"> градските отпадъчни води все още не се третират съгласно изискванията, поради което са започнати процедури за установяване на нарушение срещу повечето от тях, като на някои държави бяха наложени финансови санкции. Напредъкът зависи от това дали държавите членки отдават приоритет на инвестициите за пречиствателни станции за градски отпадъчни води, включително чрез ефективно използване на финансирането по линия на политиката на сближаване (когато това е възможно), както и заеми от Европейската инвестиционна банка.</w:t>
      </w:r>
    </w:p>
    <w:p>
      <w:pPr>
        <w:pStyle w:val="ListParagraph"/>
        <w:numPr>
          <w:ilvl w:val="0"/>
          <w:numId w:val="3"/>
        </w:numPr>
        <w:spacing w:line="240" w:lineRule="auto"/>
        <w:contextualSpacing w:val="0"/>
        <w:rPr>
          <w:rFonts w:cs="Times New Roman"/>
          <w:i/>
          <w:iCs/>
          <w:noProof/>
        </w:rPr>
      </w:pPr>
      <w:r>
        <w:rPr>
          <w:i/>
          <w:noProof/>
        </w:rPr>
        <w:t>През последните две десетилетия в Европа е намаляло замърсяването на водите с нитрати, причинено от интензивни земеделски практики. Независимо от тази положителна обща тенденция замърсяването с нитрати и еутрофикацията продължават да създават проблеми в редица държави членки</w:t>
      </w:r>
      <w:r>
        <w:rPr>
          <w:i/>
          <w:noProof/>
          <w:vertAlign w:val="superscript"/>
        </w:rPr>
        <w:footnoteReference w:id="76"/>
      </w:r>
      <w:r>
        <w:rPr>
          <w:i/>
          <w:noProof/>
        </w:rPr>
        <w:t>, тъй като селското стопанство в някои райони оказва непрекъснато нарастващ натиск върху качеството на водата. Държавите членки следва да увеличат усилията си за справяне с дифузното замърсяване от нитрати и фосфати.</w:t>
      </w:r>
      <w:r>
        <w:rPr>
          <w:noProof/>
          <w:color w:val="404040"/>
          <w:sz w:val="23"/>
        </w:rPr>
        <w:t xml:space="preserve"> </w:t>
      </w:r>
    </w:p>
    <w:tbl>
      <w:tblPr>
        <w:tblStyle w:val="TableGrid"/>
        <w:tblW w:w="0" w:type="auto"/>
        <w:shd w:val="clear" w:color="auto" w:fill="EAF1DD" w:themeFill="accent3" w:themeFillTint="33"/>
        <w:tblLook w:val="04A0" w:firstRow="1" w:lastRow="0" w:firstColumn="1" w:lastColumn="0" w:noHBand="0" w:noVBand="1"/>
      </w:tblPr>
      <w:tblGrid>
        <w:gridCol w:w="9196"/>
      </w:tblGrid>
      <w:tr>
        <w:tc>
          <w:tcPr>
            <w:tcW w:w="9196" w:type="dxa"/>
            <w:shd w:val="clear" w:color="auto" w:fill="EAF1DD" w:themeFill="accent3" w:themeFillTint="33"/>
          </w:tcPr>
          <w:p>
            <w:pPr>
              <w:spacing w:line="240" w:lineRule="auto"/>
              <w:rPr>
                <w:rFonts w:cs="Times New Roman"/>
                <w:b/>
                <w:noProof/>
              </w:rPr>
            </w:pPr>
            <w:r>
              <w:rPr>
                <w:b/>
                <w:noProof/>
              </w:rPr>
              <w:t>Успешни практики:</w:t>
            </w:r>
          </w:p>
          <w:p>
            <w:pPr>
              <w:widowControl w:val="0"/>
              <w:rPr>
                <w:rFonts w:eastAsiaTheme="minorEastAsia" w:cs="Times New Roman"/>
                <w:noProof/>
              </w:rPr>
            </w:pPr>
            <w:r>
              <w:rPr>
                <w:noProof/>
              </w:rPr>
              <w:t xml:space="preserve">Екологосъобразната инфраструктура се финансира по линия на плана SIGMA II за устието на река Шелд в </w:t>
            </w:r>
            <w:r>
              <w:rPr>
                <w:b/>
                <w:noProof/>
              </w:rPr>
              <w:t>Белгия</w:t>
            </w:r>
            <w:r>
              <w:rPr>
                <w:noProof/>
              </w:rPr>
              <w:t>.</w:t>
            </w:r>
          </w:p>
          <w:p>
            <w:pPr>
              <w:widowControl w:val="0"/>
              <w:rPr>
                <w:rFonts w:eastAsiaTheme="minorEastAsia" w:cs="Times New Roman"/>
                <w:noProof/>
                <w:color w:val="000000" w:themeColor="text1"/>
              </w:rPr>
            </w:pPr>
            <w:r>
              <w:rPr>
                <w:noProof/>
              </w:rPr>
              <w:t xml:space="preserve">Неотдавна в </w:t>
            </w:r>
            <w:r>
              <w:rPr>
                <w:b/>
                <w:noProof/>
              </w:rPr>
              <w:t>Люксембург</w:t>
            </w:r>
            <w:r>
              <w:rPr>
                <w:noProof/>
              </w:rPr>
              <w:t xml:space="preserve"> и </w:t>
            </w:r>
            <w:r>
              <w:rPr>
                <w:b/>
                <w:noProof/>
              </w:rPr>
              <w:t>Португалия</w:t>
            </w:r>
            <w:r>
              <w:rPr>
                <w:noProof/>
              </w:rPr>
              <w:t xml:space="preserve"> бяха регистрирани задоволителни нива на спазване на изискванията на Директивата за пречистването на градските отпадъчни води въпреки трудностите в миналото. Тези две държави са добър пример за това как решителните публични инвестиции, насочени към проблемите във връзка със спазването, могат да намалят рисковете за околната среда и да защитят гражданите в ежедневието им. </w:t>
            </w:r>
          </w:p>
        </w:tc>
      </w:tr>
    </w:tbl>
    <w:p>
      <w:pPr>
        <w:spacing w:before="240" w:after="200" w:line="276" w:lineRule="auto"/>
        <w:rPr>
          <w:rFonts w:cs="Times New Roman"/>
          <w:b/>
          <w:bCs/>
          <w:i/>
          <w:iCs/>
          <w:noProof/>
        </w:rPr>
      </w:pPr>
      <w:r>
        <w:rPr>
          <w:b/>
          <w:i/>
          <w:noProof/>
        </w:rPr>
        <w:t>Химикали</w:t>
      </w:r>
    </w:p>
    <w:p>
      <w:pPr>
        <w:widowControl w:val="0"/>
        <w:suppressAutoHyphens/>
        <w:spacing w:line="240" w:lineRule="auto"/>
        <w:rPr>
          <w:rFonts w:cs="Times New Roman"/>
          <w:noProof/>
        </w:rPr>
      </w:pPr>
      <w:r>
        <w:rPr>
          <w:noProof/>
        </w:rPr>
        <w:t>Съобразеното с околната среда управление и безопасното използване на химикали на единния пазар е основен акцент на законодателството на ЕС в областта на химикалите. Водеща роля в това законодателство имат регламентите относно регистрацията, оценката, разрешаването и ограничаването на химикали (Регламентът REACH)</w:t>
      </w:r>
      <w:r>
        <w:rPr>
          <w:noProof/>
          <w:vertAlign w:val="superscript"/>
        </w:rPr>
        <w:footnoteReference w:id="77"/>
      </w:r>
      <w:r>
        <w:rPr>
          <w:noProof/>
        </w:rPr>
        <w:t xml:space="preserve"> и относно класифицирането, етикетирането и опаковането на вещества и смеси (Регламентът CLP)</w:t>
      </w:r>
      <w:r>
        <w:rPr>
          <w:noProof/>
          <w:vertAlign w:val="superscript"/>
        </w:rPr>
        <w:footnoteReference w:id="78"/>
      </w:r>
      <w:r>
        <w:rPr>
          <w:noProof/>
        </w:rPr>
        <w:t>. По отношение на конкретни групи продукти — например биоциди, пестициди, фармацевтични продукти или козметични продукти</w:t>
      </w:r>
      <w:r>
        <w:rPr>
          <w:noProof/>
          <w:vertAlign w:val="superscript"/>
        </w:rPr>
        <w:footnoteReference w:id="79"/>
      </w:r>
      <w:r>
        <w:rPr>
          <w:noProof/>
        </w:rPr>
        <w:t xml:space="preserve">, се прилага специфично законодателство. </w:t>
      </w:r>
    </w:p>
    <w:p>
      <w:pPr>
        <w:widowControl w:val="0"/>
        <w:suppressAutoHyphens/>
        <w:spacing w:line="240" w:lineRule="auto"/>
        <w:rPr>
          <w:rFonts w:cs="Times New Roman"/>
          <w:noProof/>
        </w:rPr>
      </w:pPr>
      <w:r>
        <w:rPr>
          <w:noProof/>
        </w:rPr>
        <w:t>Пряко приложимото законодателство гарантира свободното движение на вещества на вътрешния пазар, като същевременно повишава конкурентоспособността и насърчава иновациите. През юни 2018 г. изтече крайният срок за регистрация на последната партида съществуващи вещества по Регламента REACH, т.е. тези, които са произведени или внесени в количество от един тон или повече. Това означава, че посоченият регламент е влязъл изцяло в сила едва през 2018 г., като първият доклад за неговото изпълнение, който ще представи цялостна информация за прилагането му в държавите членки, се очаква през 2021 г.</w:t>
      </w:r>
    </w:p>
    <w:p>
      <w:pPr>
        <w:widowControl w:val="0"/>
        <w:suppressAutoHyphens/>
        <w:spacing w:line="240" w:lineRule="auto"/>
        <w:rPr>
          <w:rFonts w:cs="Times New Roman"/>
          <w:noProof/>
        </w:rPr>
      </w:pPr>
      <w:r>
        <w:rPr>
          <w:noProof/>
        </w:rPr>
        <w:t>Европейската агенция по химикали (ECHA) извършва редовни проверки на съответствието, за да приведе регистрационните досиета в съответствие с изискванията за информация. В съобщението на Комисията „Доклад относно функционирането на REACH“</w:t>
      </w:r>
      <w:r>
        <w:rPr>
          <w:noProof/>
          <w:vertAlign w:val="superscript"/>
        </w:rPr>
        <w:footnoteReference w:id="80"/>
      </w:r>
      <w:r>
        <w:rPr>
          <w:noProof/>
        </w:rPr>
        <w:t xml:space="preserve"> обаче бяха посочени недостатъци в този процес и от ECHA беше изискано до 2019 г. да увеличи значително ефективността на процедурите за оценка чрез различни действия.</w:t>
      </w:r>
    </w:p>
    <w:p>
      <w:pPr>
        <w:widowControl w:val="0"/>
        <w:suppressAutoHyphens/>
        <w:spacing w:line="240" w:lineRule="auto"/>
        <w:rPr>
          <w:rFonts w:cs="Times New Roman"/>
          <w:noProof/>
        </w:rPr>
      </w:pPr>
      <w:r>
        <w:rPr>
          <w:noProof/>
        </w:rPr>
        <w:t>Макар данните за свойствата на веществата са налични на равнище ЕС, в посоченото по-горе съобщение също така се съдържа заключението, че е необходимо „да се укрепи изпълнението на задълженията на всички участници, включително регистрантите, потребителите надолу по веригата и особено вносителите“. За да координират и оценят проектите за хармонизирано правоприлагане и съвместните проверки, държавите членки си сътрудничат в рамките на Форума за обмен на информация за прилагане, създаден съгласно Регламента REACH. Важна бъдеща задача ще бъде по-доброто интегриране на митническия граничен контрол, за да се предотврати навлизането на забранени вещества на вътрешния пазар самостоятелно или в промишлени изделия.</w:t>
      </w:r>
    </w:p>
    <w:p>
      <w:pPr>
        <w:widowControl w:val="0"/>
        <w:suppressAutoHyphens/>
        <w:spacing w:line="240" w:lineRule="auto"/>
        <w:rPr>
          <w:rFonts w:cs="Times New Roman"/>
          <w:noProof/>
        </w:rPr>
      </w:pPr>
      <w:r>
        <w:rPr>
          <w:noProof/>
        </w:rPr>
        <w:t xml:space="preserve">Предстоящите цикли на прегледа на изпълнението на политиките в областта на околната среда ще са насочени към включването на повече информация относно спазването на равнище държави членки, като се обърне внимание на въпроси като броя и качеството на митническите проверки от страна на националните органи и капацитета на националните инспекторати. </w:t>
      </w:r>
    </w:p>
    <w:tbl>
      <w:tblPr>
        <w:tblStyle w:val="TableGrid"/>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line="240" w:lineRule="auto"/>
              <w:rPr>
                <w:rFonts w:cs="Times New Roman"/>
                <w:b/>
                <w:bCs/>
                <w:noProof/>
              </w:rPr>
            </w:pPr>
            <w:r>
              <w:rPr>
                <w:b/>
                <w:noProof/>
              </w:rPr>
              <w:t>Успешни практики:</w:t>
            </w:r>
          </w:p>
          <w:p>
            <w:pPr>
              <w:spacing w:line="240" w:lineRule="auto"/>
              <w:rPr>
                <w:rFonts w:cs="Times New Roman"/>
                <w:noProof/>
              </w:rPr>
            </w:pPr>
            <w:r>
              <w:rPr>
                <w:b/>
                <w:noProof/>
              </w:rPr>
              <w:t>Италия</w:t>
            </w:r>
            <w:r>
              <w:rPr>
                <w:noProof/>
              </w:rPr>
              <w:t xml:space="preserve"> използва мрежата Enterprise Europe на Комисията, за да подобри осведомеността на дружествата относно функциите и задълженията им по Регламента REACH, което е особено предизвикателство предвид големия брой микро-, малки и средни предприятия в химическата промишленост на тази държава. </w:t>
            </w:r>
          </w:p>
          <w:p>
            <w:pPr>
              <w:widowControl w:val="0"/>
              <w:suppressAutoHyphens/>
              <w:spacing w:line="240" w:lineRule="auto"/>
              <w:rPr>
                <w:rFonts w:cs="Times New Roman"/>
                <w:noProof/>
              </w:rPr>
            </w:pPr>
            <w:r>
              <w:rPr>
                <w:noProof/>
              </w:rPr>
              <w:t xml:space="preserve">Правителството на </w:t>
            </w:r>
            <w:r>
              <w:rPr>
                <w:b/>
                <w:noProof/>
              </w:rPr>
              <w:t>Нидерландия</w:t>
            </w:r>
            <w:r>
              <w:rPr>
                <w:noProof/>
              </w:rPr>
              <w:t xml:space="preserve"> подготвя национална иновационна програма за безопасни химикали — инициатива, предназначена за насърчаване на безопасни материали и продукти, които могат да заменят опасните химикали. Тази програма за научни изследвания има за цел да служи като насока за политиките в областта на научноизследователската и развойна дейност на равнище ЕС и на равнище държави членки</w:t>
            </w:r>
            <w:r>
              <w:rPr>
                <w:rFonts w:eastAsiaTheme="minorEastAsia"/>
                <w:noProof/>
                <w:vertAlign w:val="superscript"/>
              </w:rPr>
              <w:footnoteReference w:id="81"/>
            </w:r>
            <w:r>
              <w:rPr>
                <w:noProof/>
              </w:rPr>
              <w:t>.</w:t>
            </w:r>
          </w:p>
        </w:tc>
      </w:tr>
    </w:tbl>
    <w:p>
      <w:pPr>
        <w:spacing w:line="240" w:lineRule="auto"/>
        <w:rPr>
          <w:rFonts w:cs="Times New Roman"/>
          <w:noProof/>
        </w:rPr>
      </w:pPr>
    </w:p>
    <w:p>
      <w:pPr>
        <w:pStyle w:val="ListParagraph"/>
        <w:numPr>
          <w:ilvl w:val="1"/>
          <w:numId w:val="5"/>
        </w:numPr>
        <w:rPr>
          <w:rFonts w:cs="Times New Roman"/>
          <w:b/>
          <w:bCs/>
          <w:noProof/>
          <w:sz w:val="24"/>
          <w:szCs w:val="24"/>
        </w:rPr>
      </w:pPr>
      <w:r>
        <w:rPr>
          <w:b/>
          <w:noProof/>
          <w:sz w:val="24"/>
        </w:rPr>
        <w:t xml:space="preserve"> Екологично данъчно облагане, екологосъобразни обществени поръчки и финансиране за околната среда</w:t>
      </w:r>
    </w:p>
    <w:p>
      <w:pPr>
        <w:rPr>
          <w:rFonts w:cs="Times New Roman"/>
          <w:noProof/>
        </w:rPr>
      </w:pPr>
      <w:r>
        <w:rPr>
          <w:noProof/>
        </w:rPr>
        <w:t xml:space="preserve">Финансовите стимули и икономическите инструменти предлагат ефективен и ефикасен начин за постигане на целите на политиката в областта на околната среда. Докладите по държави съдържат анализ на екологичното данъчно облагане, постепенното премахване на вредните за околната среда субсидии и екологосъобразните обществени поръчки. Комисията обсъжда използването на такива икономически инструменти в по-широкия контекст на европейския </w:t>
      </w:r>
      <w:r>
        <w:rPr>
          <w:noProof/>
          <w:lang w:val="en-GB" w:eastAsia="en-GB" w:bidi="ar-SA"/>
        </w:rPr>
        <w:drawing>
          <wp:anchor distT="0" distB="0" distL="114300" distR="114300" simplePos="0" relativeHeight="251664384" behindDoc="1" locked="0" layoutInCell="1" allowOverlap="1">
            <wp:simplePos x="0" y="0"/>
            <wp:positionH relativeFrom="column">
              <wp:posOffset>3857625</wp:posOffset>
            </wp:positionH>
            <wp:positionV relativeFrom="paragraph">
              <wp:posOffset>76200</wp:posOffset>
            </wp:positionV>
            <wp:extent cx="1951355" cy="3228975"/>
            <wp:effectExtent l="0" t="0" r="0" b="9525"/>
            <wp:wrapThrough wrapText="bothSides">
              <wp:wrapPolygon edited="0">
                <wp:start x="0" y="0"/>
                <wp:lineTo x="0" y="21536"/>
                <wp:lineTo x="21298" y="21536"/>
                <wp:lineTo x="21298"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1355" cy="322897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семестър и поради това в настоящия документ не са включени конкретни нови приоритетни действия. </w:t>
      </w:r>
    </w:p>
    <w:p>
      <w:pPr>
        <w:rPr>
          <w:rFonts w:cs="Times New Roman"/>
          <w:noProof/>
        </w:rPr>
      </w:pPr>
      <w:r>
        <w:rPr>
          <w:noProof/>
        </w:rPr>
        <w:t>За постигането на екологичните цели често е необходимо специално финансиране. Такова финансиране може да бъде получено от европейски и национални публични фондове, както и чрез заеми от Европейската инвестиционна банка и от националните банки, и може да допълни необходимите частни инвестиции. При анализа в докладите по държави се прави опит да бъдат посочени различните източници на публични инвестиции и те да бъдат поставени в по-широк контекст (например като процент от БВП)</w:t>
      </w:r>
      <w:r>
        <w:rPr>
          <w:noProof/>
          <w:vertAlign w:val="superscript"/>
        </w:rPr>
        <w:footnoteReference w:id="82"/>
      </w:r>
      <w:r>
        <w:rPr>
          <w:noProof/>
        </w:rPr>
        <w:t>.</w:t>
      </w:r>
    </w:p>
    <w:p>
      <w:pPr>
        <w:spacing w:after="200" w:line="276" w:lineRule="auto"/>
        <w:jc w:val="left"/>
        <w:rPr>
          <w:rFonts w:cs="Times New Roman"/>
          <w:i/>
          <w:iCs/>
          <w:noProof/>
        </w:rPr>
      </w:pPr>
      <w:r>
        <w:rPr>
          <w:i/>
          <w:noProof/>
        </w:rPr>
        <w:t>Констатации относно политиката:</w:t>
      </w:r>
    </w:p>
    <w:p>
      <w:pPr>
        <w:pStyle w:val="ListParagraph"/>
        <w:numPr>
          <w:ilvl w:val="0"/>
          <w:numId w:val="3"/>
        </w:numPr>
        <w:spacing w:line="240" w:lineRule="auto"/>
        <w:contextualSpacing w:val="0"/>
        <w:rPr>
          <w:rFonts w:cs="Times New Roman"/>
          <w:i/>
          <w:iCs/>
          <w:noProof/>
        </w:rPr>
      </w:pPr>
      <w:r>
        <w:rPr>
          <w:i/>
          <w:noProof/>
        </w:rPr>
        <w:t>Съотношението на екологичните данъци спрямо БВП варира от около 1,7 % до 4 %. През 2017 г. няколко държави членки въведоха данъци, свързани с околната среда — мерките включваха увеличение на цените на дизеловото гориво</w:t>
      </w:r>
      <w:r>
        <w:rPr>
          <w:i/>
          <w:noProof/>
          <w:vertAlign w:val="superscript"/>
        </w:rPr>
        <w:footnoteReference w:id="83"/>
      </w:r>
      <w:r>
        <w:rPr>
          <w:i/>
          <w:noProof/>
        </w:rPr>
        <w:t xml:space="preserve"> и намаляване на вредните за околната среда субсидии. Независимо от това в няколко държави членки все още се прилагат данъчни предимства за използването на служебни автомобили за лични цели, което възпрепятства напредъка при решаването на проблемите със задръстванията и замърсяването на въздуха</w:t>
      </w:r>
      <w:r>
        <w:rPr>
          <w:i/>
          <w:noProof/>
          <w:vertAlign w:val="superscript"/>
        </w:rPr>
        <w:footnoteReference w:id="84"/>
      </w:r>
      <w:r>
        <w:rPr>
          <w:i/>
          <w:noProof/>
        </w:rPr>
        <w:t>.</w:t>
      </w:r>
    </w:p>
    <w:p>
      <w:pPr>
        <w:pStyle w:val="ListParagraph"/>
        <w:numPr>
          <w:ilvl w:val="0"/>
          <w:numId w:val="3"/>
        </w:numPr>
        <w:spacing w:line="240" w:lineRule="auto"/>
        <w:contextualSpacing w:val="0"/>
        <w:rPr>
          <w:rFonts w:cs="Times New Roman"/>
          <w:i/>
          <w:iCs/>
          <w:noProof/>
        </w:rPr>
      </w:pPr>
      <w:r>
        <w:rPr>
          <w:i/>
          <w:noProof/>
        </w:rPr>
        <w:t>В рамките на европейските структурни и инвестиционни фондове в 12 държави членки през периода 2014—2020 г. тематичната цел, за която е разпределен най-голям процент от средствата, е „опазване на околната среда и ефективно използване на ресурсите“</w:t>
      </w:r>
      <w:r>
        <w:rPr>
          <w:i/>
          <w:noProof/>
          <w:vertAlign w:val="superscript"/>
        </w:rPr>
        <w:footnoteReference w:id="85"/>
      </w:r>
      <w:r>
        <w:rPr>
          <w:i/>
          <w:noProof/>
        </w:rPr>
        <w:t>. Наред с това отпуснатите от ЕС средства за околната среда в 11 държави членки</w:t>
      </w:r>
      <w:r>
        <w:rPr>
          <w:i/>
          <w:noProof/>
          <w:vertAlign w:val="superscript"/>
        </w:rPr>
        <w:footnoteReference w:id="86"/>
      </w:r>
      <w:r>
        <w:rPr>
          <w:i/>
          <w:noProof/>
        </w:rPr>
        <w:t xml:space="preserve"> бяха по-големи от публичните разходи на правителствата за околната среда за периода 2014—2018 г. </w:t>
      </w:r>
    </w:p>
    <w:tbl>
      <w:tblPr>
        <w:tblStyle w:val="TableGrid"/>
        <w:tblpPr w:leftFromText="180" w:rightFromText="180" w:vertAnchor="text" w:horzAnchor="margin" w:tblpY="1470"/>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line="240" w:lineRule="auto"/>
              <w:rPr>
                <w:rFonts w:cs="Times New Roman"/>
                <w:b/>
                <w:bCs/>
                <w:noProof/>
              </w:rPr>
            </w:pPr>
            <w:r>
              <w:rPr>
                <w:b/>
                <w:noProof/>
              </w:rPr>
              <w:t>Успешни практики:</w:t>
            </w:r>
          </w:p>
          <w:p>
            <w:pPr>
              <w:rPr>
                <w:rFonts w:cs="Times New Roman"/>
                <w:noProof/>
              </w:rPr>
            </w:pPr>
            <w:r>
              <w:rPr>
                <w:noProof/>
              </w:rPr>
              <w:t xml:space="preserve">Въведеният в </w:t>
            </w:r>
            <w:r>
              <w:rPr>
                <w:b/>
                <w:noProof/>
              </w:rPr>
              <w:t>Обединеното кралство</w:t>
            </w:r>
            <w:r>
              <w:rPr>
                <w:noProof/>
              </w:rPr>
              <w:t xml:space="preserve"> данък за депониране вече води до осезателно намаляване на депонираните отпадъци. Повишаването на този данък, който понастоящем е сред най-високите в Европа, е довело до реален спад в изхвърлянето на отпадъци, в резултат на което са постигнати максимални равнища на рециклиране на сухи материали и хранителни отпадъци.</w:t>
            </w:r>
          </w:p>
          <w:p>
            <w:pPr>
              <w:rPr>
                <w:rFonts w:cs="Times New Roman"/>
                <w:noProof/>
              </w:rPr>
            </w:pPr>
            <w:r>
              <w:rPr>
                <w:noProof/>
              </w:rPr>
              <w:t xml:space="preserve">В </w:t>
            </w:r>
            <w:r>
              <w:rPr>
                <w:b/>
                <w:noProof/>
              </w:rPr>
              <w:t>Австрия</w:t>
            </w:r>
            <w:r>
              <w:rPr>
                <w:noProof/>
              </w:rPr>
              <w:t xml:space="preserve"> са създадени платформа и бюро за помощ, които да улеснят обмена на опит между служителите в областта на екологосъобразните обществени поръчки на различни правителствени равнища. </w:t>
            </w:r>
          </w:p>
          <w:p>
            <w:pPr>
              <w:spacing w:line="240" w:lineRule="auto"/>
              <w:rPr>
                <w:rFonts w:cs="Times New Roman"/>
                <w:noProof/>
              </w:rPr>
            </w:pPr>
            <w:r>
              <w:rPr>
                <w:noProof/>
              </w:rPr>
              <w:t xml:space="preserve">В </w:t>
            </w:r>
            <w:r>
              <w:rPr>
                <w:b/>
                <w:noProof/>
              </w:rPr>
              <w:t>Полша</w:t>
            </w:r>
            <w:r>
              <w:rPr>
                <w:noProof/>
              </w:rPr>
              <w:t xml:space="preserve"> се прилага данък за отпадъчни води, приходите от който се използват за инвестиции в опазването на околната среда.  В </w:t>
            </w:r>
            <w:r>
              <w:rPr>
                <w:b/>
                <w:noProof/>
              </w:rPr>
              <w:t>Швеция</w:t>
            </w:r>
            <w:r>
              <w:rPr>
                <w:noProof/>
              </w:rPr>
              <w:t xml:space="preserve"> са въведени данъци върху NO</w:t>
            </w:r>
            <w:r>
              <w:rPr>
                <w:noProof/>
                <w:vertAlign w:val="subscript"/>
              </w:rPr>
              <w:t>x</w:t>
            </w:r>
            <w:r>
              <w:rPr>
                <w:noProof/>
              </w:rPr>
              <w:t xml:space="preserve"> и SO</w:t>
            </w:r>
            <w:r>
              <w:rPr>
                <w:noProof/>
                <w:vertAlign w:val="subscript"/>
              </w:rPr>
              <w:t>2</w:t>
            </w:r>
            <w:r>
              <w:rPr>
                <w:noProof/>
              </w:rPr>
              <w:t xml:space="preserve">, което е довело до намаляване на тези замърсители на въздуха, а от 2018 г. се прилагат данъци върху химикалите и въздушния транспорт, както и система за индексация на екологичните данъци. В </w:t>
            </w:r>
            <w:r>
              <w:rPr>
                <w:b/>
                <w:noProof/>
              </w:rPr>
              <w:t>Хърватия</w:t>
            </w:r>
            <w:r>
              <w:rPr>
                <w:noProof/>
              </w:rPr>
              <w:t xml:space="preserve"> се заплаща такса за полезната за обществото функция на горите, чрез която се изисква дружествата да допринасят финансово за управлението на горите. Провинция Баден-Вюртемберг (</w:t>
            </w:r>
            <w:r>
              <w:rPr>
                <w:b/>
                <w:noProof/>
              </w:rPr>
              <w:t>Германия</w:t>
            </w:r>
            <w:r>
              <w:rPr>
                <w:noProof/>
              </w:rPr>
              <w:t>) възнаграждава земеделските производители за наличието на диви цветя по техните пасища.</w:t>
            </w:r>
          </w:p>
        </w:tc>
      </w:tr>
    </w:tbl>
    <w:p>
      <w:pPr>
        <w:pStyle w:val="ListParagraph"/>
        <w:numPr>
          <w:ilvl w:val="0"/>
          <w:numId w:val="3"/>
        </w:numPr>
        <w:spacing w:line="240" w:lineRule="auto"/>
        <w:contextualSpacing w:val="0"/>
        <w:rPr>
          <w:rFonts w:cs="Times New Roman"/>
          <w:i/>
          <w:iCs/>
          <w:noProof/>
        </w:rPr>
      </w:pPr>
      <w:r>
        <w:rPr>
          <w:i/>
          <w:noProof/>
        </w:rPr>
        <w:t>В няколко държави членки основното предизвикателство пред финансирането в областта на околната среда е да се гарантира, че то ще остане на подходящо равнище</w:t>
      </w:r>
      <w:r>
        <w:rPr>
          <w:noProof/>
          <w:vertAlign w:val="superscript"/>
        </w:rPr>
        <w:footnoteReference w:id="87"/>
      </w:r>
      <w:r>
        <w:rPr>
          <w:i/>
          <w:noProof/>
        </w:rPr>
        <w:t>. В някои държави съществува проблем с ефективното използване на средствата на ЕС</w:t>
      </w:r>
      <w:r>
        <w:rPr>
          <w:noProof/>
          <w:vertAlign w:val="superscript"/>
        </w:rPr>
        <w:footnoteReference w:id="88"/>
      </w:r>
      <w:r>
        <w:rPr>
          <w:i/>
          <w:noProof/>
        </w:rPr>
        <w:t>, което в някои случаи се дължи на недостатъчния капацитет на администрациите. Пренасочването на средствата към проекти, които не са свързани с околната среда, може да предотврати загубата на средства, но има риск това да забави изпълнението на политиките в областта на околната среда.</w:t>
      </w:r>
    </w:p>
    <w:p>
      <w:pPr>
        <w:spacing w:before="240"/>
        <w:rPr>
          <w:rFonts w:cs="Times New Roman"/>
          <w:b/>
          <w:bCs/>
          <w:noProof/>
          <w:sz w:val="24"/>
          <w:szCs w:val="24"/>
        </w:rPr>
      </w:pPr>
      <w:r>
        <w:rPr>
          <w:b/>
          <w:noProof/>
          <w:sz w:val="24"/>
        </w:rPr>
        <w:t xml:space="preserve">2.6. </w:t>
      </w:r>
      <w:r>
        <w:rPr>
          <w:noProof/>
        </w:rPr>
        <w:tab/>
      </w:r>
      <w:r>
        <w:rPr>
          <w:b/>
          <w:noProof/>
          <w:sz w:val="24"/>
        </w:rPr>
        <w:t>Подкрепа за многостранни действия</w:t>
      </w:r>
    </w:p>
    <w:p>
      <w:pPr>
        <w:rPr>
          <w:rFonts w:cs="Times New Roman"/>
          <w:noProof/>
        </w:rPr>
      </w:pPr>
      <w:r>
        <w:rPr>
          <w:noProof/>
        </w:rPr>
        <w:t xml:space="preserve">ЕС е решен да укрепи законодателството в областта на околната среда и неговото изпълнение в световен мащаб, наред с другото, като подкрепи процеса във връзка с Глобалния пакт за околната среда, който беше одобрен от Общото събрание на ООН през май 2018 г. Решаващо значение има и Парижкото споразумение относно изменението на климата, за чието цялостно прилагане активно работят както Комисията, така и държавите членки. Наред с това, в контекста на международните си задължения и с оглед на глобалния характер на екологичните предизвикателства и възможности, ЕС се ангажира да подкрепя опазването на околната среда в партньорските държави чрез своите механизми за международно сътрудничество и развитие. </w:t>
      </w:r>
    </w:p>
    <w:p>
      <w:pPr>
        <w:rPr>
          <w:rFonts w:cs="Times New Roman"/>
          <w:noProof/>
        </w:rPr>
      </w:pPr>
      <w:r>
        <w:rPr>
          <w:noProof/>
        </w:rPr>
        <w:t xml:space="preserve">Прегледът на изпълнението на политиките в областта на околната среда е един от инструментите, с които се гарантира, че държавите членки дават добър пример, като спазват европейските политики и законодателни актове и международните споразумения в областта на околната среда, и чрез него продължава да се наблюдава статусът на ратификация и изпълнението на международните споразумения. </w:t>
      </w:r>
    </w:p>
    <w:p>
      <w:pPr>
        <w:rPr>
          <w:rFonts w:cs="Times New Roman"/>
          <w:noProof/>
        </w:rPr>
      </w:pPr>
      <w:r>
        <w:rPr>
          <w:noProof/>
        </w:rPr>
        <w:t>В новите доклади по държави се разглеждат и административните рамки, уреждащи международната търговия с тропически дървен материал, достъпа до генетични ресурси и международната търговия с диви животни. Регламентът на ЕС за дървения материал е пример за конкретна подкрепа от Европейската комисия; през 2018 г. в рамките на инструмента за партньорство TAIEX-EIR бяха организирани два многонационални семинара за подобряване на изпълнението на регламента с участието на дванадесет държави членки.</w:t>
      </w:r>
    </w:p>
    <w:p>
      <w:pPr>
        <w:rPr>
          <w:rFonts w:cs="Times New Roman"/>
          <w:noProof/>
        </w:rPr>
      </w:pPr>
      <w:r>
        <w:rPr>
          <w:noProof/>
        </w:rPr>
        <w:t>Доброто изпълнение на политиките в областта на околната среда в ЕС е от съществено значение за цялостното постигане на целите за устойчиво развитие (ЦУР), договорени през 2015 г. Това се отнася по-специално до целите за опазване на водните екосистеми от замърсяване и устойчиво използване на водите (ЦУР 6), устойчиво потребление и производство (ЦУР 12), действия в областта на климата (ЦУР 13), опазване на морските екосистеми (ЦУР 14) и справяне с натиска върху природния капитал на Европа (ЦУР 15). За да се преодолеят пропуските в изпълнението на политиките в областта на околната среда е особено важно да съществуват ефективни институции и управление (ЦУР 16), както и да се подобри съгласуваността на политиките и да се стимулира сътрудничеството в партньорства с множество заинтересовани страни (ЦУР 17). Целите на устойчивото развитие също така стимулират интегрирането на екологичните аспекти, тъй като свързват екологичните, социалните и икономическите политики в съгласувана рамка.</w:t>
      </w:r>
    </w:p>
    <w:p>
      <w:pPr>
        <w:rPr>
          <w:rFonts w:cs="Times New Roman"/>
          <w:i/>
          <w:iCs/>
          <w:noProof/>
        </w:rPr>
      </w:pPr>
      <w:r>
        <w:rPr>
          <w:i/>
          <w:noProof/>
        </w:rPr>
        <w:t>Констатации относно политиката:</w:t>
      </w:r>
    </w:p>
    <w:p>
      <w:pPr>
        <w:pStyle w:val="ListParagraph"/>
        <w:numPr>
          <w:ilvl w:val="0"/>
          <w:numId w:val="3"/>
        </w:numPr>
        <w:spacing w:line="240" w:lineRule="auto"/>
        <w:contextualSpacing w:val="0"/>
        <w:rPr>
          <w:rFonts w:cs="Times New Roman"/>
          <w:i/>
          <w:iCs/>
          <w:noProof/>
        </w:rPr>
      </w:pPr>
      <w:r>
        <w:rPr>
          <w:i/>
          <w:noProof/>
        </w:rPr>
        <w:t>Все още редица държави членки</w:t>
      </w:r>
      <w:r>
        <w:rPr>
          <w:noProof/>
          <w:vertAlign w:val="superscript"/>
        </w:rPr>
        <w:footnoteReference w:id="89"/>
      </w:r>
      <w:r>
        <w:rPr>
          <w:i/>
          <w:noProof/>
        </w:rPr>
        <w:t xml:space="preserve"> трябва да подпишат и ратифицират едно или повече многостранни споразумения в областта на околната среда.</w:t>
      </w:r>
    </w:p>
    <w:p>
      <w:pPr>
        <w:pStyle w:val="ListParagraph"/>
        <w:numPr>
          <w:ilvl w:val="0"/>
          <w:numId w:val="3"/>
        </w:numPr>
        <w:spacing w:line="240" w:lineRule="auto"/>
        <w:contextualSpacing w:val="0"/>
        <w:rPr>
          <w:rFonts w:cs="Times New Roman"/>
          <w:i/>
          <w:iCs/>
          <w:noProof/>
        </w:rPr>
      </w:pPr>
      <w:r>
        <w:rPr>
          <w:i/>
          <w:noProof/>
        </w:rPr>
        <w:t xml:space="preserve">Някои държави членки следва да подобрят националното изпълнение на правилата на ЕС относно използването на генетичните ресурси, а няколко държави все още не прилагат изцяло правилата за тропическия дървен материал. </w:t>
      </w:r>
    </w:p>
    <w:tbl>
      <w:tblPr>
        <w:tblStyle w:val="TableGrid"/>
        <w:tblpPr w:leftFromText="180" w:rightFromText="180" w:vertAnchor="text" w:horzAnchor="margin" w:tblpY="67"/>
        <w:tblOverlap w:val="never"/>
        <w:tblW w:w="9242" w:type="dxa"/>
        <w:shd w:val="clear" w:color="auto" w:fill="EAF1DD" w:themeFill="accent3" w:themeFillTint="33"/>
        <w:tblLook w:val="04A0" w:firstRow="1" w:lastRow="0" w:firstColumn="1" w:lastColumn="0" w:noHBand="0" w:noVBand="1"/>
      </w:tblPr>
      <w:tblGrid>
        <w:gridCol w:w="9242"/>
      </w:tblGrid>
      <w:tr>
        <w:trPr>
          <w:trHeight w:val="1550"/>
        </w:trPr>
        <w:tc>
          <w:tcPr>
            <w:tcW w:w="9242" w:type="dxa"/>
            <w:shd w:val="clear" w:color="auto" w:fill="EAF1DD" w:themeFill="accent3" w:themeFillTint="33"/>
          </w:tcPr>
          <w:p>
            <w:pPr>
              <w:spacing w:after="200" w:line="240" w:lineRule="auto"/>
              <w:jc w:val="left"/>
              <w:rPr>
                <w:rFonts w:cs="Times New Roman"/>
                <w:b/>
                <w:bCs/>
                <w:noProof/>
              </w:rPr>
            </w:pPr>
            <w:r>
              <w:rPr>
                <w:b/>
                <w:noProof/>
              </w:rPr>
              <w:t>Успешни практики:</w:t>
            </w:r>
          </w:p>
          <w:p>
            <w:pPr>
              <w:pStyle w:val="CommentText"/>
              <w:rPr>
                <w:rFonts w:cs="Times New Roman"/>
                <w:noProof/>
              </w:rPr>
            </w:pPr>
            <w:r>
              <w:rPr>
                <w:noProof/>
                <w:sz w:val="22"/>
              </w:rPr>
              <w:t xml:space="preserve">Хоризонталната координация на действията за постигане на целите за устойчиво развитие набира скорост в Европа. В </w:t>
            </w:r>
            <w:r>
              <w:rPr>
                <w:b/>
                <w:noProof/>
                <w:sz w:val="22"/>
              </w:rPr>
              <w:t>Испания</w:t>
            </w:r>
            <w:r>
              <w:rPr>
                <w:noProof/>
                <w:sz w:val="22"/>
              </w:rPr>
              <w:t xml:space="preserve"> е назначен върховен комисар за програмата до 2030 г., а във </w:t>
            </w:r>
            <w:r>
              <w:rPr>
                <w:b/>
                <w:noProof/>
                <w:sz w:val="22"/>
              </w:rPr>
              <w:t>Франция</w:t>
            </w:r>
            <w:r>
              <w:rPr>
                <w:noProof/>
                <w:sz w:val="22"/>
              </w:rPr>
              <w:t xml:space="preserve"> — междуведомствен делегат в областта на устойчивото развитие, като и двете длъжности са пряко подчинени на министър-председателя на съответната държава.</w:t>
            </w:r>
          </w:p>
        </w:tc>
      </w:tr>
    </w:tbl>
    <w:p>
      <w:pPr>
        <w:pStyle w:val="ListParagraph"/>
        <w:numPr>
          <w:ilvl w:val="0"/>
          <w:numId w:val="5"/>
        </w:numPr>
        <w:spacing w:before="240"/>
        <w:rPr>
          <w:rFonts w:cs="Times New Roman"/>
          <w:b/>
          <w:bCs/>
          <w:noProof/>
          <w:sz w:val="28"/>
          <w:szCs w:val="28"/>
        </w:rPr>
      </w:pPr>
      <w:r>
        <w:rPr>
          <w:b/>
          <w:noProof/>
          <w:sz w:val="28"/>
        </w:rPr>
        <w:t>Укрепване на управлението в областта на околната среда</w:t>
      </w:r>
    </w:p>
    <w:p>
      <w:pPr>
        <w:pStyle w:val="ListParagraph"/>
        <w:ind w:left="360"/>
        <w:rPr>
          <w:rFonts w:cs="Times New Roman"/>
          <w:b/>
          <w:noProof/>
          <w:sz w:val="24"/>
        </w:rPr>
      </w:pPr>
    </w:p>
    <w:p>
      <w:pPr>
        <w:pStyle w:val="ListParagraph"/>
        <w:numPr>
          <w:ilvl w:val="1"/>
          <w:numId w:val="18"/>
        </w:numPr>
        <w:rPr>
          <w:rFonts w:cs="Times New Roman"/>
          <w:b/>
          <w:bCs/>
          <w:noProof/>
          <w:sz w:val="24"/>
          <w:szCs w:val="24"/>
        </w:rPr>
      </w:pPr>
      <w:r>
        <w:rPr>
          <w:b/>
          <w:noProof/>
          <w:sz w:val="24"/>
        </w:rPr>
        <w:t xml:space="preserve"> Управление в областта на околната среда</w:t>
      </w:r>
    </w:p>
    <w:p>
      <w:pPr>
        <w:rPr>
          <w:rFonts w:cs="Times New Roman"/>
          <w:noProof/>
        </w:rPr>
      </w:pPr>
      <w:r>
        <w:rPr>
          <w:noProof/>
        </w:rPr>
        <w:t>Качеството на публичната администрация на държавите членки оказва значително въздействие върху резултатите, постигани от политиките на ЕС. Според проучване от 2018 г.</w:t>
      </w:r>
      <w:r>
        <w:rPr>
          <w:noProof/>
          <w:vertAlign w:val="superscript"/>
        </w:rPr>
        <w:footnoteReference w:id="90"/>
      </w:r>
      <w:r>
        <w:rPr>
          <w:noProof/>
        </w:rPr>
        <w:t xml:space="preserve"> качеството на публичните услуги в дадена държава зависи от нивото на доверие в публичната администрация, условията за стопанска дейност и благосъстоянието на обществото. </w:t>
      </w:r>
    </w:p>
    <w:p>
      <w:pPr>
        <w:rPr>
          <w:rFonts w:cs="Times New Roman"/>
          <w:noProof/>
        </w:rPr>
      </w:pPr>
      <w:r>
        <w:rPr>
          <w:noProof/>
        </w:rPr>
        <w:t>В прегледа на изпълнението на политиките в областта на околната среда от 2017 г. бяха установени редица общи причини за пропуски в изпълнението, свързани с управлението</w:t>
      </w:r>
      <w:r>
        <w:rPr>
          <w:noProof/>
          <w:vertAlign w:val="superscript"/>
        </w:rPr>
        <w:footnoteReference w:id="91"/>
      </w:r>
      <w:r>
        <w:rPr>
          <w:noProof/>
        </w:rPr>
        <w:t>, но е необходимо да се извърши по-систематичен анализ. Беше направена оценка на ефективността на управлението в областта на околната среда в държавите членки като първа стъпка към взаимно обучение и намиране на решения, съобразени с конкретните нужди</w:t>
      </w:r>
      <w:r>
        <w:rPr>
          <w:noProof/>
          <w:vertAlign w:val="superscript"/>
        </w:rPr>
        <w:footnoteReference w:id="92"/>
      </w:r>
      <w:r>
        <w:rPr>
          <w:noProof/>
        </w:rPr>
        <w:t>. В рамките на Форума по спазване на законодателството и управление в областта на околната среда</w:t>
      </w:r>
      <w:r>
        <w:rPr>
          <w:noProof/>
          <w:vertAlign w:val="superscript"/>
        </w:rPr>
        <w:footnoteReference w:id="93"/>
      </w:r>
      <w:r>
        <w:rPr>
          <w:noProof/>
        </w:rPr>
        <w:t xml:space="preserve"> и в експертната група за преглед на изпълнението на политиките в областта на околната среда</w:t>
      </w:r>
      <w:r>
        <w:rPr>
          <w:noProof/>
          <w:vertAlign w:val="superscript"/>
        </w:rPr>
        <w:footnoteReference w:id="94"/>
      </w:r>
      <w:r>
        <w:rPr>
          <w:noProof/>
        </w:rPr>
        <w:t xml:space="preserve"> Комисията ще обсъди как резултатите и данните, събрани в рамките на проекта, могат да бъдат използвани и актуализирани, за да подкрепят бъдещите цикли за преглед на изпълнението на политиките в областта на околната среда.</w:t>
      </w:r>
    </w:p>
    <w:p>
      <w:pPr>
        <w:rPr>
          <w:rFonts w:cs="Times New Roman"/>
          <w:noProof/>
        </w:rPr>
      </w:pPr>
      <w:r>
        <w:rPr>
          <w:noProof/>
        </w:rPr>
        <w:t>Що се отнася до напредъка след 2017 г., важните стандарти за прозрачност, участие на обществеността и достъп до правосъдие, установени от Конвенцията от Орхус</w:t>
      </w:r>
      <w:r>
        <w:rPr>
          <w:noProof/>
          <w:vertAlign w:val="superscript"/>
        </w:rPr>
        <w:footnoteReference w:id="95"/>
      </w:r>
      <w:r>
        <w:rPr>
          <w:noProof/>
        </w:rPr>
        <w:t>, все още не са напълно приложени навсякъде в ЕС. Полагането на допълнителни усилия в тези области ще бъде от полза за гражданите, предприятията и администрациите. Все по-широко признание получава правото на заинтересованите страни да предявяват съдебни искове пред националните съдилища, често въз основа на решенията на Съда на ЕС. С цел да се улесни предприемането на съдебни действия от страна на физически и юридически лица, през 2017 г. беше прието тълкувателно съобщение относно достъпа до правосъдие по въпросите на околната среда</w:t>
      </w:r>
      <w:r>
        <w:rPr>
          <w:noProof/>
          <w:vertAlign w:val="superscript"/>
        </w:rPr>
        <w:footnoteReference w:id="96"/>
      </w:r>
      <w:r>
        <w:rPr>
          <w:noProof/>
        </w:rPr>
        <w:t xml:space="preserve">. </w:t>
      </w:r>
    </w:p>
    <w:p>
      <w:pPr>
        <w:rPr>
          <w:rFonts w:cs="Times New Roman"/>
          <w:noProof/>
        </w:rPr>
      </w:pPr>
      <w:r>
        <w:rPr>
          <w:noProof/>
        </w:rPr>
        <w:t>Наред с това Планът за действие за гарантиране на съответствието</w:t>
      </w:r>
      <w:r>
        <w:rPr>
          <w:noProof/>
          <w:vertAlign w:val="superscript"/>
        </w:rPr>
        <w:footnoteReference w:id="97"/>
      </w:r>
      <w:r>
        <w:rPr>
          <w:noProof/>
        </w:rPr>
        <w:t xml:space="preserve">, приет в началото на 2018 г., има за цел да осигури добри практики и насоки относно разглеждането на жалби, борбата с престъпленията срещу околната среда и гарантираното спазване на законодателството в селските райони, както и по-широка рамка за оценка на спазването на правилата в областта на околната среда от страна на държавите членки. </w:t>
      </w:r>
    </w:p>
    <w:p>
      <w:pPr>
        <w:rPr>
          <w:rFonts w:cs="Times New Roman"/>
          <w:noProof/>
        </w:rPr>
      </w:pPr>
      <w:r>
        <w:rPr>
          <w:noProof/>
        </w:rPr>
        <w:t>През декември 2018 г. влезе в сила Регламентът относно управлението на енергийния съюз и действията в областта на климата, който ще засили значително интеграцията между политиките в областта на енергетиката, климата и околната среда, по-специално чрез задължението държавите членки да изготвят национални планове в областта на енергетиката и климата</w:t>
      </w:r>
      <w:r>
        <w:rPr>
          <w:noProof/>
          <w:vertAlign w:val="superscript"/>
        </w:rPr>
        <w:footnoteReference w:id="98"/>
      </w:r>
      <w:r>
        <w:rPr>
          <w:noProof/>
        </w:rPr>
        <w:t>.</w:t>
      </w:r>
    </w:p>
    <w:p>
      <w:pPr>
        <w:rPr>
          <w:rFonts w:cs="Times New Roman"/>
          <w:noProof/>
        </w:rPr>
      </w:pPr>
      <w:r>
        <w:rPr>
          <w:noProof/>
        </w:rPr>
        <w:t>Необходимостта от действия спрямо престъпленията срещу околната среда, и по-специално спрямо трафика на видове от дивата флора и фауна и на отпадъци, беше призната за приоритет като част от политиката на ЕС срещу организираната престъпност за периода 2018—2021 г.</w:t>
      </w:r>
      <w:r>
        <w:rPr>
          <w:noProof/>
          <w:vertAlign w:val="superscript"/>
        </w:rPr>
        <w:footnoteReference w:id="99"/>
      </w:r>
      <w:r>
        <w:rPr>
          <w:noProof/>
        </w:rPr>
        <w:t xml:space="preserve">. В резултат на това с подкрепата на Европол и с финансиране от ЕС бяха осъществени редица конкретни действия в рамките на Съюза под ръководството на правоприлагащите органи в държавите членки, които бяха насочени срещу различни видове престъпления срещу околната среда. </w:t>
      </w:r>
    </w:p>
    <w:p>
      <w:pPr>
        <w:rPr>
          <w:rFonts w:cs="Times New Roman"/>
          <w:noProof/>
        </w:rPr>
      </w:pPr>
      <w:r>
        <w:rPr>
          <w:noProof/>
        </w:rPr>
        <w:t>Не на последно място, от решаващо значение е работата на мрежите от специалисти (например IMPEL</w:t>
      </w:r>
      <w:r>
        <w:rPr>
          <w:noProof/>
          <w:vertAlign w:val="superscript"/>
        </w:rPr>
        <w:footnoteReference w:id="100"/>
      </w:r>
      <w:r>
        <w:rPr>
          <w:noProof/>
        </w:rPr>
        <w:t>), като Комисията възнамерява да засили тяхната роля. За създаването на по-ефективна и по-интегрирана администрация за правоприлагане могат да спомогнат и услугите, свързани с цифровизацията и електронното управление. За тази цел държавите членки получават подпомагане по линия на няколко инициативи на ЕС</w:t>
      </w:r>
      <w:r>
        <w:rPr>
          <w:noProof/>
          <w:vertAlign w:val="superscript"/>
        </w:rPr>
        <w:footnoteReference w:id="101"/>
      </w:r>
      <w:r>
        <w:rPr>
          <w:noProof/>
        </w:rPr>
        <w:t xml:space="preserve">. </w:t>
      </w:r>
    </w:p>
    <w:p>
      <w:pPr>
        <w:spacing w:after="200" w:line="240" w:lineRule="auto"/>
        <w:jc w:val="left"/>
        <w:rPr>
          <w:rFonts w:cs="Times New Roman"/>
          <w:i/>
          <w:iCs/>
          <w:noProof/>
        </w:rPr>
      </w:pPr>
      <w:r>
        <w:rPr>
          <w:i/>
          <w:noProof/>
        </w:rPr>
        <w:t>Констатации относно политиката:</w:t>
      </w:r>
    </w:p>
    <w:p>
      <w:pPr>
        <w:pStyle w:val="ListParagraph"/>
        <w:numPr>
          <w:ilvl w:val="0"/>
          <w:numId w:val="3"/>
        </w:numPr>
        <w:spacing w:line="240" w:lineRule="auto"/>
        <w:contextualSpacing w:val="0"/>
        <w:rPr>
          <w:rFonts w:cs="Times New Roman"/>
          <w:noProof/>
        </w:rPr>
      </w:pPr>
      <w:r>
        <w:rPr>
          <w:i/>
          <w:noProof/>
        </w:rPr>
        <w:t xml:space="preserve">По-ефективното управление в областта на околната среда в държавите членки подобрява изпълнението на политиката в тази област. Държавите членки могат допълнително да подобрят управлението в областта на околната среда като цяло. </w:t>
      </w:r>
    </w:p>
    <w:p>
      <w:pPr>
        <w:pStyle w:val="ListParagraph"/>
        <w:numPr>
          <w:ilvl w:val="0"/>
          <w:numId w:val="3"/>
        </w:numPr>
        <w:spacing w:line="240" w:lineRule="auto"/>
        <w:contextualSpacing w:val="0"/>
        <w:rPr>
          <w:rFonts w:cs="Times New Roman"/>
          <w:i/>
          <w:iCs/>
          <w:noProof/>
        </w:rPr>
      </w:pPr>
      <w:r>
        <w:rPr>
          <w:i/>
          <w:noProof/>
        </w:rPr>
        <w:t>Несъмнен фактор при изпълнението е по-голямата прозрачност, която подобрява знанията, отговорността, участието и подкрепата на обществото. Държавите членки трябва да използват по-добре цифровите възможности за подобряване на прозрачността чрез по-добро информиране на обществеността за реалното състояние на околната среда на местно/регионално равнище, като се стимулира промяна в поведението.</w:t>
      </w:r>
    </w:p>
    <w:p>
      <w:pPr>
        <w:pStyle w:val="ListParagraph"/>
        <w:numPr>
          <w:ilvl w:val="0"/>
          <w:numId w:val="3"/>
        </w:numPr>
        <w:spacing w:line="240" w:lineRule="auto"/>
        <w:contextualSpacing w:val="0"/>
        <w:rPr>
          <w:rFonts w:cs="Times New Roman"/>
          <w:i/>
          <w:iCs/>
          <w:noProof/>
        </w:rPr>
      </w:pPr>
      <w:r>
        <w:rPr>
          <w:i/>
          <w:noProof/>
        </w:rPr>
        <w:t>Въпреки цялостния напредък все още е необходимо държавите членки да подобрят достъпа до информация за околната среда, по-специално достъпа до пространствените данни и услуги, така че те да могат лесно и свободно да се използват повторно (в съответствие с INSPIRE</w:t>
      </w:r>
      <w:r>
        <w:rPr>
          <w:i/>
          <w:noProof/>
          <w:vertAlign w:val="superscript"/>
        </w:rPr>
        <w:footnoteReference w:id="102"/>
      </w:r>
      <w:r>
        <w:rPr>
          <w:i/>
          <w:noProof/>
        </w:rPr>
        <w:t>, Директивата за достъп до информация за околната среда и Директивата за информацията в обществения сектор)</w:t>
      </w:r>
      <w:r>
        <w:rPr>
          <w:i/>
          <w:noProof/>
          <w:vertAlign w:val="superscript"/>
        </w:rPr>
        <w:footnoteReference w:id="103"/>
      </w:r>
      <w:r>
        <w:rPr>
          <w:i/>
          <w:noProof/>
        </w:rPr>
        <w:t>.</w:t>
      </w:r>
    </w:p>
    <w:p>
      <w:pPr>
        <w:pStyle w:val="ListParagraph"/>
        <w:numPr>
          <w:ilvl w:val="0"/>
          <w:numId w:val="3"/>
        </w:numPr>
        <w:spacing w:line="240" w:lineRule="auto"/>
        <w:contextualSpacing w:val="0"/>
        <w:rPr>
          <w:rFonts w:cs="Times New Roman"/>
          <w:noProof/>
        </w:rPr>
      </w:pPr>
      <w:r>
        <w:rPr>
          <w:i/>
          <w:noProof/>
        </w:rPr>
        <w:t>Няколко държави членки</w:t>
      </w:r>
      <w:r>
        <w:rPr>
          <w:i/>
          <w:noProof/>
          <w:vertAlign w:val="superscript"/>
        </w:rPr>
        <w:footnoteReference w:id="104"/>
      </w:r>
      <w:r>
        <w:rPr>
          <w:i/>
          <w:noProof/>
        </w:rPr>
        <w:t xml:space="preserve"> следва да гарантират, че неправителствените организации в областта на околната среда имат процесуална легитимация да предявяват съдебни искове по въпросите на околната среда и че ищците в съдебни спорове по въпросите на околната среда няма да се сблъскват с пречки, като например твърде високи разходи. </w:t>
      </w:r>
    </w:p>
    <w:p>
      <w:pPr>
        <w:pStyle w:val="ListParagraph"/>
        <w:numPr>
          <w:ilvl w:val="0"/>
          <w:numId w:val="3"/>
        </w:numPr>
        <w:spacing w:line="240" w:lineRule="auto"/>
        <w:contextualSpacing w:val="0"/>
        <w:rPr>
          <w:rFonts w:cs="Times New Roman"/>
          <w:noProof/>
        </w:rPr>
      </w:pPr>
      <w:r>
        <w:rPr>
          <w:i/>
          <w:noProof/>
        </w:rPr>
        <w:t>Двадесет и шест държави членки</w:t>
      </w:r>
      <w:r>
        <w:rPr>
          <w:i/>
          <w:noProof/>
          <w:vertAlign w:val="superscript"/>
        </w:rPr>
        <w:footnoteReference w:id="105"/>
      </w:r>
      <w:r>
        <w:rPr>
          <w:i/>
          <w:noProof/>
        </w:rPr>
        <w:t xml:space="preserve"> следва да подобрят прилагането на Директивата относно екологичната отговорност в една или повече от следните области: финансова сигурност, насоки и събиране и публикуване на информация за екологични щети.</w:t>
      </w:r>
    </w:p>
    <w:p>
      <w:pPr>
        <w:spacing w:line="240" w:lineRule="auto"/>
        <w:rPr>
          <w:rFonts w:cs="Times New Roman"/>
          <w:noProof/>
        </w:rPr>
      </w:pPr>
    </w:p>
    <w:p>
      <w:pPr>
        <w:spacing w:before="240"/>
        <w:rPr>
          <w:rFonts w:cs="Times New Roman"/>
          <w:b/>
          <w:noProof/>
          <w:sz w:val="24"/>
        </w:rPr>
      </w:pPr>
      <w:r>
        <w:rPr>
          <w:b/>
          <w:noProof/>
        </w:rPr>
        <w:t>3.2. Интегриране на екологичните аспекти</w:t>
      </w:r>
    </w:p>
    <w:p>
      <w:pPr>
        <w:rPr>
          <w:rFonts w:eastAsia="Times New Roman" w:cs="Times New Roman"/>
          <w:noProof/>
        </w:rPr>
      </w:pPr>
      <w:r>
        <w:rPr>
          <w:noProof/>
        </w:rPr>
        <w:t>Постигането на целите в областта на околната среда и климата не зависи единствено от изпълнението на законодателството в областта на околната среда, а налага също така интегриране на екологичните въпроси в други политики, както многократно се подчертава в програмите на Комисията за действие в областта на околната среда</w:t>
      </w:r>
      <w:r>
        <w:rPr>
          <w:noProof/>
          <w:vertAlign w:val="superscript"/>
        </w:rPr>
        <w:footnoteReference w:id="106"/>
      </w:r>
      <w:r>
        <w:rPr>
          <w:noProof/>
        </w:rPr>
        <w:t>. Като пример може да се посочи общата селскостопанска политика и по-конкретно обстоятелството, че земеделските земи заемат приблизително половината от цялата площ на Съюза. Общата селскостопанска политика може значително да допринесе за целите в областта на околната среда и климата чрез спиране на загубата на биологично разнообразие, намаляване на деградацията на земята и почвата, гарантиране на качеството на водите, намаляване на емисиите на амоняк и управление и намаляване на емисиите на парникови газове. Неотдавнашните реформи на общата селскостопанска политика доведоха до положителни промени в нейната рамка, които се изразяват в по-добра съгласуваност с целите, свързани с околната среда и климата. Тази съгласуваност ще бъде засилена още повече в законодателните предложения за общата селскостопанска политика за периода след 2020 г.  Друг опит за интегриране на екологични, социални и икономически цели по последователен начин и чрез обхващане на различни политики е актуализираната стратегия за биоикономиката</w:t>
      </w:r>
      <w:r>
        <w:rPr>
          <w:noProof/>
          <w:vertAlign w:val="superscript"/>
        </w:rPr>
        <w:footnoteReference w:id="107"/>
      </w:r>
      <w:r>
        <w:rPr>
          <w:noProof/>
        </w:rPr>
        <w:t>.</w:t>
      </w:r>
    </w:p>
    <w:p>
      <w:pPr>
        <w:rPr>
          <w:rFonts w:eastAsia="Times New Roman" w:cs="Times New Roman"/>
          <w:noProof/>
        </w:rPr>
      </w:pPr>
      <w:r>
        <w:rPr>
          <w:noProof/>
        </w:rPr>
        <w:t xml:space="preserve">Политиката и законодателните актове, приети от различни органи в различните сектори, следва да бъдат съгласувани и да се основават на обща логика, научни доказателства и добро използване на наличните технологии, както е подчертано и в член 11 от Договора за функционирането на ЕС. Макар интегрирането на екологичните аспекти да изисква ефективно сътрудничество между органите, практиката показва, че различните министерства и поднационални органи продължават да работят в изолирани сфери. Недостатъчната съгласуваност между политиките и институциите е една от основните причини за пропуските при постигането на целите на политиката и законодателството на ЕС в областта на околната среда. </w:t>
      </w:r>
    </w:p>
    <w:p>
      <w:pPr>
        <w:rPr>
          <w:rFonts w:eastAsia="Times New Roman" w:cs="Times New Roman"/>
          <w:noProof/>
        </w:rPr>
      </w:pPr>
      <w:r>
        <w:rPr>
          <w:noProof/>
        </w:rPr>
        <w:t>Насърчаването на съгласуваността между политиките и между институциите е постоянно предизвикателство. Докладите по държави показват, че в редица държави членки натискът върху околната среда е тясно свързан с икономическите сектори (селско стопанство, транспорт, промишленост, хранително-вкусов сектор, енергетика и др.). Като пример в това отношение може да бъде посочена зависимостта на кръговата икономика от продуктовите иновации, ефективното управление на отпадъците и стимулирането чрез устойчиви обществени поръчки. На равнище ЕС анализът на взаимовръзката между селското стопанство и водите показа, че е възможен по-интегриран подход</w:t>
      </w:r>
      <w:r>
        <w:rPr>
          <w:noProof/>
          <w:vertAlign w:val="superscript"/>
        </w:rPr>
        <w:footnoteReference w:id="108"/>
      </w:r>
      <w:r>
        <w:rPr>
          <w:noProof/>
        </w:rPr>
        <w:t xml:space="preserve">. В много случаи подходът на сътрудничество, отчитащ различни интереси, би могъл да представлява по-добро решение, отколкото приемането на ново законодателство. </w:t>
      </w:r>
    </w:p>
    <w:p>
      <w:pPr>
        <w:rPr>
          <w:rFonts w:eastAsia="Times New Roman" w:cs="Times New Roman"/>
          <w:noProof/>
        </w:rPr>
      </w:pPr>
      <w:r>
        <w:rPr>
          <w:noProof/>
        </w:rPr>
        <w:t xml:space="preserve">Междусекторните срещи на политическо равнище (например съвместни заседания на съставите на Съвета) и съвместните експертни екипи по проекти също осигуряват начини за идентифициране, анализиране и решаване на случаи на слабо интегриране на екологичните аспекти.  </w:t>
      </w:r>
    </w:p>
    <w:p>
      <w:pPr>
        <w:rPr>
          <w:rFonts w:cs="Times New Roman"/>
          <w:noProof/>
        </w:rPr>
      </w:pPr>
      <w:r>
        <w:rPr>
          <w:noProof/>
          <w:lang w:val="en-GB" w:eastAsia="en-GB" w:bidi="ar-SA"/>
        </w:rPr>
        <w:drawing>
          <wp:anchor distT="0" distB="0" distL="114300" distR="114300" simplePos="0" relativeHeight="251665408" behindDoc="1" locked="0" layoutInCell="1" allowOverlap="1">
            <wp:simplePos x="0" y="0"/>
            <wp:positionH relativeFrom="column">
              <wp:posOffset>2061845</wp:posOffset>
            </wp:positionH>
            <wp:positionV relativeFrom="paragraph">
              <wp:posOffset>393065</wp:posOffset>
            </wp:positionV>
            <wp:extent cx="3662045" cy="2390775"/>
            <wp:effectExtent l="0" t="0" r="0" b="9525"/>
            <wp:wrapThrough wrapText="bothSides">
              <wp:wrapPolygon edited="0">
                <wp:start x="0" y="0"/>
                <wp:lineTo x="0" y="21514"/>
                <wp:lineTo x="21461" y="21514"/>
                <wp:lineTo x="21461"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62045" cy="2390775"/>
                    </a:xfrm>
                    <a:prstGeom prst="rect">
                      <a:avLst/>
                    </a:prstGeom>
                    <a:noFill/>
                  </pic:spPr>
                </pic:pic>
              </a:graphicData>
            </a:graphic>
            <wp14:sizeRelH relativeFrom="page">
              <wp14:pctWidth>0</wp14:pctWidth>
            </wp14:sizeRelH>
            <wp14:sizeRelV relativeFrom="page">
              <wp14:pctHeight>0</wp14:pctHeight>
            </wp14:sizeRelV>
          </wp:anchor>
        </w:drawing>
      </w:r>
      <w:r>
        <w:rPr>
          <w:noProof/>
        </w:rPr>
        <w:t>Обучението между партньори се утвърди като важен инструмент за подобряване на изпълнението на политиките в областта на околната среда. Инструментът за партньорство TAIEX-EIR, въведен по време на първия цикъл за преглед на изпълнението на политиките в областта на околната среда, беше добре приет от органите в тази сфера.</w:t>
      </w:r>
      <w:r>
        <w:rPr>
          <w:b/>
          <w:noProof/>
        </w:rPr>
        <w:t xml:space="preserve"> </w:t>
      </w:r>
      <w:r>
        <w:rPr>
          <w:noProof/>
        </w:rPr>
        <w:t>През 2018 г., която беше първата година на функциониране на инструмента, всички държави членки участваха в поне едно събитие, като над 50 % от събитията представляваха многонационални семинари. Макар че в 19-те проекта, изпълнени през 2018 г., инструментът беше използван главно от органите в областта на околната среда, той може да е от полза за по-доброто интегриране чрез ангажирането на други органи, както е посочено в констатациите относно политиката.</w:t>
      </w:r>
    </w:p>
    <w:p>
      <w:pPr>
        <w:rPr>
          <w:rFonts w:cs="Times New Roman"/>
          <w:noProof/>
        </w:rPr>
      </w:pPr>
    </w:p>
    <w:p>
      <w:pPr>
        <w:spacing w:after="200" w:line="240" w:lineRule="auto"/>
        <w:jc w:val="left"/>
        <w:rPr>
          <w:rFonts w:cs="Times New Roman"/>
          <w:i/>
          <w:iCs/>
          <w:noProof/>
        </w:rPr>
      </w:pPr>
      <w:r>
        <w:rPr>
          <w:i/>
          <w:noProof/>
        </w:rPr>
        <w:t>Констатации относно политиката:</w:t>
      </w:r>
    </w:p>
    <w:p>
      <w:pPr>
        <w:pStyle w:val="ListParagraph"/>
        <w:numPr>
          <w:ilvl w:val="0"/>
          <w:numId w:val="3"/>
        </w:numPr>
        <w:spacing w:line="240" w:lineRule="auto"/>
        <w:contextualSpacing w:val="0"/>
        <w:rPr>
          <w:rFonts w:cs="Times New Roman"/>
          <w:i/>
          <w:iCs/>
          <w:noProof/>
        </w:rPr>
      </w:pPr>
      <w:r>
        <w:rPr>
          <w:i/>
          <w:noProof/>
        </w:rPr>
        <w:t>Всички държави членки могат допълнително да подобрят управлението в областта на околната среда като цяло. В няколко държави членки органите в областта на околната среда не разполагат с достатъчен персонал и тази липса на капацитет и ресурси ограничава способността им за изпълнение и принудително прилагане на политиките. В повечето държави членки съществуват координационни структури между секторните администрации и на различни равнища, но тяхната ефективност не е еднаква. Към три държави членки</w:t>
      </w:r>
      <w:r>
        <w:rPr>
          <w:i/>
          <w:noProof/>
          <w:vertAlign w:val="superscript"/>
        </w:rPr>
        <w:footnoteReference w:id="109"/>
      </w:r>
      <w:r>
        <w:rPr>
          <w:i/>
          <w:noProof/>
        </w:rPr>
        <w:t xml:space="preserve"> е отправен настойчив призив да предприемат мерки срещу разпокъсването на регионално и местно равнище чрез разработване на по-добри механизми за координация по отношение на околната среда.</w:t>
      </w:r>
    </w:p>
    <w:p>
      <w:pPr>
        <w:pStyle w:val="ListParagraph"/>
        <w:numPr>
          <w:ilvl w:val="0"/>
          <w:numId w:val="3"/>
        </w:numPr>
        <w:spacing w:line="240" w:lineRule="auto"/>
        <w:contextualSpacing w:val="0"/>
        <w:rPr>
          <w:rFonts w:cs="Times New Roman"/>
          <w:i/>
          <w:iCs/>
          <w:noProof/>
        </w:rPr>
      </w:pPr>
      <w:r>
        <w:rPr>
          <w:i/>
          <w:noProof/>
        </w:rPr>
        <w:t>Две държави членки</w:t>
      </w:r>
      <w:r>
        <w:rPr>
          <w:i/>
          <w:noProof/>
          <w:vertAlign w:val="superscript"/>
        </w:rPr>
        <w:footnoteReference w:id="110"/>
      </w:r>
      <w:r>
        <w:rPr>
          <w:i/>
          <w:noProof/>
        </w:rPr>
        <w:t xml:space="preserve"> все още не са завършили транспонирането на преработената Директива за оценка на въздействието върху околната среда (ОВОС) в националното законодателство. Необходимо е да се рационализират процедурите за екологична оценка и да се осигури ефективно обществено участие в целия ЕС.</w:t>
      </w:r>
    </w:p>
    <w:p>
      <w:pPr>
        <w:pStyle w:val="ListParagraph"/>
        <w:numPr>
          <w:ilvl w:val="0"/>
          <w:numId w:val="3"/>
        </w:numPr>
        <w:spacing w:line="240" w:lineRule="auto"/>
        <w:contextualSpacing w:val="0"/>
        <w:rPr>
          <w:rFonts w:cs="Times New Roman"/>
          <w:i/>
          <w:iCs/>
          <w:noProof/>
        </w:rPr>
      </w:pPr>
      <w:r>
        <w:rPr>
          <w:i/>
          <w:noProof/>
        </w:rPr>
        <w:t>Партньорският обмен се използва главно за тематичните предизвикателства, но инструментът може да бъде използван и за обмен на информация относно основните причини за слабото изпълнение в областта на качеството на публичната администрация и механизмите за управление.</w:t>
      </w:r>
    </w:p>
    <w:tbl>
      <w:tblPr>
        <w:tblStyle w:val="TableGrid"/>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Успешни практики:</w:t>
            </w:r>
          </w:p>
          <w:p>
            <w:pPr>
              <w:spacing w:after="200" w:line="240" w:lineRule="auto"/>
              <w:rPr>
                <w:rFonts w:cs="Times New Roman"/>
                <w:noProof/>
              </w:rPr>
            </w:pPr>
            <w:r>
              <w:rPr>
                <w:noProof/>
              </w:rPr>
              <w:t xml:space="preserve">В </w:t>
            </w:r>
            <w:r>
              <w:rPr>
                <w:b/>
                <w:noProof/>
              </w:rPr>
              <w:t>България</w:t>
            </w:r>
            <w:r>
              <w:rPr>
                <w:noProof/>
              </w:rPr>
              <w:t xml:space="preserve"> са предприети стъпки за осигуряване на рационализирани екологични оценки чрез включване в процедурите за ОВОС на подходящата оценка съгласно Директивата за местообитанията, процеса на разрешаване на комплексно предотвратяване и контрол на замърсяването и процеса Seveso за химическа безопасност. Рационализирането спомага за намаляване на административната тежест, засилва съгласуваността и ускорява процеса на вземане на решения, като усилията следва да се насочат към адекватното прилагане на тези разпоредби.</w:t>
            </w:r>
          </w:p>
        </w:tc>
      </w:tr>
    </w:tbl>
    <w:p>
      <w:pPr>
        <w:pStyle w:val="ListParagraph"/>
        <w:ind w:left="360"/>
        <w:rPr>
          <w:rFonts w:cs="Times New Roman"/>
          <w:b/>
          <w:noProof/>
          <w:sz w:val="28"/>
          <w:szCs w:val="28"/>
        </w:rPr>
      </w:pPr>
    </w:p>
    <w:p>
      <w:pPr>
        <w:pStyle w:val="ListParagraph"/>
        <w:numPr>
          <w:ilvl w:val="0"/>
          <w:numId w:val="18"/>
        </w:numPr>
        <w:rPr>
          <w:rFonts w:cs="Times New Roman"/>
          <w:b/>
          <w:bCs/>
          <w:noProof/>
          <w:sz w:val="28"/>
          <w:szCs w:val="28"/>
        </w:rPr>
      </w:pPr>
      <w:r>
        <w:rPr>
          <w:b/>
          <w:noProof/>
          <w:sz w:val="28"/>
        </w:rPr>
        <w:t>Бъдещи действия</w:t>
      </w:r>
    </w:p>
    <w:p>
      <w:pPr>
        <w:rPr>
          <w:rFonts w:cs="Times New Roman"/>
          <w:noProof/>
        </w:rPr>
      </w:pPr>
      <w:r>
        <w:rPr>
          <w:noProof/>
        </w:rPr>
        <w:t xml:space="preserve">Посредством прегледа на изпълнението на политиките в областта на околната среда бяха идентифицирани няколко основни проблема, които изискват специално внимание през следващите години, и вниманието на ключовите органи и гражданите беше насочено към пропуските в изпълнението на тези политики в техните държави. </w:t>
      </w:r>
    </w:p>
    <w:p>
      <w:pPr>
        <w:rPr>
          <w:rFonts w:cs="Times New Roman"/>
          <w:noProof/>
        </w:rPr>
      </w:pPr>
      <w:r>
        <w:rPr>
          <w:b/>
          <w:noProof/>
        </w:rPr>
        <w:t>Интегрирането на екологичните цели</w:t>
      </w:r>
      <w:r>
        <w:rPr>
          <w:noProof/>
        </w:rPr>
        <w:t xml:space="preserve"> с други легитимни цели на политиката често е слабо и това оказва отрицателно въздействие върху изпълнението. По-доброто интегриране на всички тези цели на етапите на планиране и изпълнение на политиката е от съществено значение за успеха на всяка от съответните области на политиката и, в крайна сметка, за нашите общества. Перспективите, посочени в последния доклад относно състоянието на околната среда</w:t>
      </w:r>
      <w:r>
        <w:rPr>
          <w:noProof/>
          <w:vertAlign w:val="superscript"/>
        </w:rPr>
        <w:footnoteReference w:id="111"/>
      </w:r>
      <w:r>
        <w:rPr>
          <w:noProof/>
        </w:rPr>
        <w:t xml:space="preserve"> и доклада за показателите за околната среда за 2018 г.</w:t>
      </w:r>
      <w:r>
        <w:rPr>
          <w:noProof/>
          <w:vertAlign w:val="superscript"/>
        </w:rPr>
        <w:footnoteReference w:id="112"/>
      </w:r>
      <w:r>
        <w:rPr>
          <w:noProof/>
        </w:rPr>
        <w:t xml:space="preserve">, са доста мрачни, като цялостното изпълнение на действащото законодателство на ЕС в областта на околната среда е само отправна точка за промяна на тенденциите. </w:t>
      </w:r>
    </w:p>
    <w:p>
      <w:pPr>
        <w:rPr>
          <w:rFonts w:cs="Times New Roman"/>
          <w:noProof/>
        </w:rPr>
      </w:pPr>
      <w:r>
        <w:rPr>
          <w:noProof/>
        </w:rPr>
        <w:t>Настоящият напредък по действителното изпълнение е твърде бавен и по-доброто интегриране на екологичните аспекти може да представлява повратен момент. Ситуацията може да бъде подобрена само ако въпросите, свързани с околната среда, бъдат взети предвид при формулирането и изпълнението на публични политики със значителен отпечатък върху околната среда като енергетика, транспорт и селско стопанство. Като водещ принцип може да бъде утвърден т. нар. „ориентиран към връзките подход“</w:t>
      </w:r>
      <w:r>
        <w:rPr>
          <w:noProof/>
          <w:vertAlign w:val="superscript"/>
        </w:rPr>
        <w:footnoteReference w:id="113"/>
      </w:r>
      <w:r>
        <w:rPr>
          <w:noProof/>
        </w:rPr>
        <w:t xml:space="preserve">, който се изразява в систематично и предварително проучване на проблемите, с цел да се набележат допълнителни интегрирани решения за засегнатите сектори и да се подкрепят инвестициите, свързани с околната среда, на европейско, национално, регионално и местно равнище. </w:t>
      </w:r>
    </w:p>
    <w:p>
      <w:pPr>
        <w:rPr>
          <w:rFonts w:cs="Times New Roman"/>
          <w:noProof/>
        </w:rPr>
      </w:pPr>
      <w:r>
        <w:rPr>
          <w:noProof/>
        </w:rPr>
        <w:t xml:space="preserve">Основен фактор за цялостното изпълнение е </w:t>
      </w:r>
      <w:r>
        <w:rPr>
          <w:b/>
          <w:noProof/>
        </w:rPr>
        <w:t>качеството на съответните системи за управление</w:t>
      </w:r>
      <w:r>
        <w:rPr>
          <w:noProof/>
        </w:rPr>
        <w:t>. В докладите по държави се посочва, че друга важна причина за незадоволителното изпълнение е свързана с неефективността и неефикасността на публичните администрации. Комисията вече работи за подобряване на качеството на публичната администрация и управление в контекста на европейския семестър чрез структурните и инвестиционните фондове, програмата за подкрепа на структурните реформи и специфичните инструменти за предоставяне на насоки</w:t>
      </w:r>
      <w:r>
        <w:rPr>
          <w:noProof/>
          <w:vertAlign w:val="superscript"/>
        </w:rPr>
        <w:footnoteReference w:id="114"/>
      </w:r>
      <w:r>
        <w:rPr>
          <w:noProof/>
        </w:rPr>
        <w:t>. По-специално е ясно, че макар нуждите в различните системи да се различават, не могат да бъдат постигнати подобрения в това отношение, без да се осигурят необходимите човешки и финансови ресурси за съответните администрации.</w:t>
      </w:r>
    </w:p>
    <w:p>
      <w:pPr>
        <w:rPr>
          <w:rFonts w:cs="Times New Roman"/>
          <w:noProof/>
          <w:color w:val="FF0000"/>
        </w:rPr>
      </w:pPr>
      <w:r>
        <w:rPr>
          <w:noProof/>
        </w:rPr>
        <w:t xml:space="preserve">Изпълнението на политиките в областта на околната среда зависи от активното участие на широк кръг от публични и частни заинтересовани страни — от лицата, вземащи решения, до гражданите, предприятията и промишлените сектори. Такъв широк кръг от заинтересовани страни може да бъде ангажиран само ако съответната информация им бъде предоставена по ефективен начин. </w:t>
      </w:r>
      <w:r>
        <w:rPr>
          <w:b/>
          <w:noProof/>
        </w:rPr>
        <w:t>Прозрачността на информацията, имаща отношение към околната среда</w:t>
      </w:r>
      <w:r>
        <w:rPr>
          <w:noProof/>
        </w:rPr>
        <w:t xml:space="preserve">, надхвърля рамките на законовите задължения: тя е предпоставка за ефективно сътрудничество при изпълнението на политиките в тази област. Липсата на прозрачност води до загуба на доверие и невъзможност за мобилизиране на заинтересованите страни. </w:t>
      </w:r>
    </w:p>
    <w:p>
      <w:pPr>
        <w:rPr>
          <w:rFonts w:cs="Times New Roman"/>
          <w:noProof/>
        </w:rPr>
      </w:pPr>
      <w:r>
        <w:rPr>
          <w:noProof/>
        </w:rPr>
        <w:t>Преодоляването на пропуските в изпълнението изисква солидни доказателства, за да се определи „разстоянието до целта“, основните трудности и наличните възможности и впоследствие да се наблюдава ефективността на избраните решения. Поради това Комисията призовава държавите членки да действат по прозрачен начин при прилагането на европейските правила и политики, като използват портала за отворени данни на ЕС</w:t>
      </w:r>
      <w:r>
        <w:rPr>
          <w:noProof/>
          <w:vertAlign w:val="superscript"/>
        </w:rPr>
        <w:footnoteReference w:id="115"/>
      </w:r>
      <w:r>
        <w:rPr>
          <w:noProof/>
        </w:rPr>
        <w:t xml:space="preserve"> и съвременните информационни технологии за целите на комуникацията, данните и информацията. Чрез тях Комисията ще може да приспособи своята подкрепа към реалните обстоятелства по места. </w:t>
      </w:r>
    </w:p>
    <w:p>
      <w:pPr>
        <w:rPr>
          <w:rFonts w:cs="Times New Roman"/>
          <w:noProof/>
        </w:rPr>
      </w:pPr>
      <w:r>
        <w:rPr>
          <w:noProof/>
        </w:rPr>
        <w:t xml:space="preserve">Комисията се ангажира да подкрепя държавите членки за подобряване на изпълнението на политиките в областта на околната среда. Израз на този ангажимент са тематичните диалози за преглед на изпълнението на посочените политики и специалният инструмент за партньорство, които подпомагат оценката на проблемите, обмена на добри практики и партньорското обучение. Въпреки това успешният диалог между държавите изисква </w:t>
      </w:r>
      <w:r>
        <w:rPr>
          <w:b/>
          <w:noProof/>
        </w:rPr>
        <w:t>активна ангажираност на регионалните и местните органи, както и на други заинтересовани страни</w:t>
      </w:r>
      <w:r>
        <w:rPr>
          <w:noProof/>
        </w:rPr>
        <w:t>. Необходимо е провеждането на повече тематични разисквания на всички нива и между всички нива на администрацията, които следва да доведат до оперативни заключения, последвани от действия.</w:t>
      </w:r>
      <w:r>
        <w:rPr>
          <w:noProof/>
          <w:color w:val="000000"/>
        </w:rPr>
        <w:t xml:space="preserve"> При разискванията следва да се вземат предвид възможностите за по-нататъшно интегриране на екологичните аспекти в други области на политиката. </w:t>
      </w:r>
      <w:r>
        <w:rPr>
          <w:noProof/>
        </w:rPr>
        <w:t>Комисията публикува документи, които могат да послужат като отправна точка, включително съобщението за чистия въздух (2018 г.)</w:t>
      </w:r>
      <w:r>
        <w:rPr>
          <w:noProof/>
          <w:color w:val="000000"/>
          <w:vertAlign w:val="superscript"/>
        </w:rPr>
        <w:footnoteReference w:id="116"/>
      </w:r>
      <w:r>
        <w:rPr>
          <w:noProof/>
        </w:rPr>
        <w:t>, работния документ относно селското стопанство и водите (2017 г.)</w:t>
      </w:r>
      <w:r>
        <w:rPr>
          <w:noProof/>
          <w:color w:val="000000"/>
          <w:vertAlign w:val="superscript"/>
        </w:rPr>
        <w:footnoteReference w:id="117"/>
      </w:r>
      <w:r>
        <w:rPr>
          <w:noProof/>
        </w:rPr>
        <w:t>, Плана за действие за природата, хората и икономиката</w:t>
      </w:r>
      <w:r>
        <w:rPr>
          <w:noProof/>
          <w:vertAlign w:val="superscript"/>
        </w:rPr>
        <w:footnoteReference w:id="118"/>
      </w:r>
      <w:r>
        <w:rPr>
          <w:noProof/>
        </w:rPr>
        <w:t xml:space="preserve"> и докладите за ранно предупреждение относно повторната употреба/рециклирането на отпадъци</w:t>
      </w:r>
      <w:r>
        <w:rPr>
          <w:noProof/>
          <w:color w:val="000000"/>
          <w:vertAlign w:val="superscript"/>
        </w:rPr>
        <w:footnoteReference w:id="119"/>
      </w:r>
      <w:r>
        <w:rPr>
          <w:noProof/>
        </w:rPr>
        <w:t>.</w:t>
      </w:r>
      <w:r>
        <w:rPr>
          <w:noProof/>
          <w:color w:val="000000"/>
        </w:rPr>
        <w:t xml:space="preserve"> </w:t>
      </w:r>
    </w:p>
    <w:p>
      <w:pPr>
        <w:rPr>
          <w:rFonts w:cs="Times New Roman"/>
          <w:noProof/>
        </w:rPr>
      </w:pPr>
      <w:r>
        <w:rPr>
          <w:noProof/>
        </w:rPr>
        <w:t xml:space="preserve">Комисията приканва държавите членки да предприемат действия във връзка с констатациите от прегледа на изпълнението на политиките в областта на околната среда и да използват докладите по държави като основа за по-нататъшно обсъждане. Също така държавите членки се насърчават да продължат да работят по прилагането на действащите правила в областта на околната среда, за да осигурят по-добри екологични резултати за гражданите, да защитят здравето им и да смекчат и компенсират натиска върху околната среда, който струва скъпо на нашите общества и икономики. </w:t>
      </w:r>
    </w:p>
    <w:p>
      <w:pPr>
        <w:rPr>
          <w:rFonts w:cs="Times New Roman"/>
          <w:noProof/>
        </w:rPr>
      </w:pPr>
      <w:r>
        <w:rPr>
          <w:noProof/>
          <w:color w:val="000000"/>
        </w:rPr>
        <w:t xml:space="preserve">Доброто състояние на околната среда е общ актив на хората в ЕС — както на настоящите, така и на бъдещите поколения, и представлява основа от критично значение за останалите социални и икономически дейности. ЕС въведе всеобхватно законодателство в областта на околната среда, чиято цел е да гарантира, че въздухът е безвреден, водата е безопасна, храната е здравословна, потребителските стоки не крият рискове, а замърсяване не се допуска. Ефективността на тези стандарти зависи от тяхното изпълнение. </w:t>
      </w:r>
      <w:r>
        <w:rPr>
          <w:noProof/>
        </w:rPr>
        <w:t xml:space="preserve">Осъществяването на изпълнението е в нашите ръце, независимо дали действаме като публични или частни лица. </w:t>
      </w:r>
    </w:p>
    <w:p>
      <w:pPr>
        <w:rPr>
          <w:rFonts w:cs="Times New Roman"/>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761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left"/>
        <w:rPr>
          <w:rFonts w:eastAsia="Times New Roman" w:cs="Times New Roman"/>
          <w:sz w:val="16"/>
          <w:szCs w:val="16"/>
        </w:rPr>
      </w:pPr>
      <w:r>
        <w:rPr>
          <w:sz w:val="16"/>
          <w:szCs w:val="16"/>
          <w:vertAlign w:val="superscript"/>
        </w:rPr>
        <w:footnoteRef/>
      </w:r>
      <w:r>
        <w:rPr>
          <w:sz w:val="16"/>
          <w:szCs w:val="16"/>
        </w:rPr>
        <w:t xml:space="preserve"> COWI и Eunomia, Costs of not implementing EU environmental law (Разходи, произтичащи от неизпълнението на законодателството в областта на околната среда), 2019 г.</w:t>
      </w:r>
    </w:p>
  </w:footnote>
  <w:footnote w:id="3">
    <w:p>
      <w:pPr>
        <w:pStyle w:val="FootnoteText"/>
        <w:jc w:val="left"/>
        <w:rPr>
          <w:rFonts w:eastAsia="Times New Roman" w:cs="Times New Roman"/>
          <w:sz w:val="16"/>
          <w:szCs w:val="16"/>
        </w:rPr>
      </w:pPr>
      <w:r>
        <w:rPr>
          <w:sz w:val="16"/>
          <w:szCs w:val="16"/>
          <w:vertAlign w:val="superscript"/>
        </w:rPr>
        <w:footnoteRef/>
      </w:r>
      <w:r>
        <w:rPr>
          <w:sz w:val="16"/>
          <w:szCs w:val="16"/>
        </w:rPr>
        <w:t xml:space="preserve"> </w:t>
      </w:r>
      <w:hyperlink r:id="rId1">
        <w:r>
          <w:rPr>
            <w:rStyle w:val="Hyperlink"/>
            <w:sz w:val="16"/>
            <w:szCs w:val="16"/>
          </w:rPr>
          <w:t>COM(2017) 63</w:t>
        </w:r>
      </w:hyperlink>
      <w:r>
        <w:rPr>
          <w:sz w:val="16"/>
          <w:szCs w:val="16"/>
        </w:rPr>
        <w:t xml:space="preserve">. </w:t>
      </w:r>
    </w:p>
  </w:footnote>
  <w:footnote w:id="4">
    <w:p>
      <w:pPr>
        <w:pStyle w:val="FootnoteText"/>
        <w:rPr>
          <w:rFonts w:cs="Times New Roman"/>
          <w:sz w:val="16"/>
          <w:szCs w:val="16"/>
        </w:rPr>
      </w:pPr>
      <w:r>
        <w:rPr>
          <w:sz w:val="16"/>
          <w:szCs w:val="16"/>
          <w:vertAlign w:val="superscript"/>
        </w:rPr>
        <w:footnoteRef/>
      </w:r>
      <w:r>
        <w:rPr>
          <w:sz w:val="16"/>
          <w:szCs w:val="16"/>
        </w:rPr>
        <w:t xml:space="preserve"> </w:t>
      </w:r>
      <w:hyperlink r:id="rId2">
        <w:r>
          <w:rPr>
            <w:rStyle w:val="Hyperlink"/>
            <w:sz w:val="16"/>
            <w:szCs w:val="16"/>
          </w:rPr>
          <w:t>Инструмент за партньорство TAIEX-EIR</w:t>
        </w:r>
      </w:hyperlink>
      <w:r>
        <w:rPr>
          <w:sz w:val="16"/>
          <w:szCs w:val="16"/>
        </w:rPr>
        <w:t xml:space="preserve"> </w:t>
      </w:r>
    </w:p>
  </w:footnote>
  <w:footnote w:id="5">
    <w:p>
      <w:pPr>
        <w:pStyle w:val="FootnoteText"/>
        <w:rPr>
          <w:sz w:val="16"/>
          <w:szCs w:val="16"/>
          <w:lang w:val="ru-RU"/>
        </w:rPr>
      </w:pPr>
      <w:r>
        <w:rPr>
          <w:sz w:val="16"/>
          <w:szCs w:val="16"/>
          <w:vertAlign w:val="superscript"/>
        </w:rPr>
        <w:footnoteRef/>
      </w:r>
      <w:r>
        <w:rPr>
          <w:sz w:val="16"/>
          <w:szCs w:val="16"/>
        </w:rPr>
        <w:t xml:space="preserve"> </w:t>
      </w:r>
      <w:hyperlink r:id="rId3">
        <w:r>
          <w:rPr>
            <w:rStyle w:val="Hyperlink"/>
            <w:sz w:val="16"/>
            <w:szCs w:val="16"/>
          </w:rPr>
          <w:t>COM(2016) 316</w:t>
        </w:r>
      </w:hyperlink>
      <w:r>
        <w:rPr>
          <w:sz w:val="16"/>
          <w:szCs w:val="16"/>
        </w:rPr>
        <w:t>.</w:t>
      </w:r>
    </w:p>
  </w:footnote>
  <w:footnote w:id="6">
    <w:p>
      <w:pPr>
        <w:pStyle w:val="FootnoteText"/>
        <w:rPr>
          <w:sz w:val="16"/>
          <w:szCs w:val="16"/>
        </w:rPr>
      </w:pPr>
      <w:r>
        <w:rPr>
          <w:sz w:val="16"/>
          <w:szCs w:val="16"/>
          <w:vertAlign w:val="superscript"/>
        </w:rPr>
        <w:footnoteRef/>
      </w:r>
      <w:r>
        <w:rPr>
          <w:sz w:val="16"/>
          <w:szCs w:val="16"/>
        </w:rPr>
        <w:t xml:space="preserve"> Констатациите по отношение на отделни държави членки, съдържащи се в настоящото съобщение и в приложението към него, се основават на информацията, с която Комисията е разполагала преди датата на неговото приемане и не засягат евентуалните правни действия, които тя може да предприеме след тази дата.</w:t>
      </w:r>
    </w:p>
  </w:footnote>
  <w:footnote w:id="7">
    <w:p>
      <w:pPr>
        <w:pStyle w:val="FootnoteText"/>
        <w:ind w:left="170" w:hanging="170"/>
        <w:jc w:val="left"/>
        <w:rPr>
          <w:rFonts w:eastAsia="Times New Roman" w:cs="Times New Roman"/>
          <w:sz w:val="16"/>
          <w:szCs w:val="16"/>
        </w:rPr>
      </w:pPr>
      <w:r>
        <w:rPr>
          <w:sz w:val="16"/>
          <w:szCs w:val="16"/>
          <w:vertAlign w:val="superscript"/>
        </w:rPr>
        <w:footnoteRef/>
      </w:r>
      <w:r>
        <w:rPr>
          <w:sz w:val="16"/>
          <w:szCs w:val="16"/>
        </w:rPr>
        <w:t xml:space="preserve"> </w:t>
      </w:r>
      <w:hyperlink r:id="rId4">
        <w:r>
          <w:rPr>
            <w:rStyle w:val="Hyperlink"/>
            <w:sz w:val="16"/>
            <w:szCs w:val="16"/>
          </w:rPr>
          <w:t>COM(2015) 614</w:t>
        </w:r>
      </w:hyperlink>
      <w:r>
        <w:rPr>
          <w:sz w:val="16"/>
          <w:szCs w:val="16"/>
        </w:rPr>
        <w:t>.</w:t>
      </w:r>
    </w:p>
  </w:footnote>
  <w:footnote w:id="8">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5">
        <w:r>
          <w:rPr>
            <w:rStyle w:val="Hyperlink"/>
            <w:sz w:val="16"/>
            <w:szCs w:val="16"/>
          </w:rPr>
          <w:t>COM(2018) 028</w:t>
        </w:r>
      </w:hyperlink>
      <w:r>
        <w:rPr>
          <w:sz w:val="16"/>
          <w:szCs w:val="16"/>
        </w:rPr>
        <w:t>.</w:t>
      </w:r>
    </w:p>
  </w:footnote>
  <w:footnote w:id="9">
    <w:p>
      <w:pPr>
        <w:pStyle w:val="FootnoteText"/>
        <w:rPr>
          <w:rFonts w:eastAsia="Times New Roman" w:cs="Times New Roman"/>
          <w:sz w:val="16"/>
          <w:szCs w:val="16"/>
        </w:rPr>
      </w:pPr>
      <w:r>
        <w:rPr>
          <w:sz w:val="16"/>
          <w:szCs w:val="16"/>
          <w:vertAlign w:val="superscript"/>
        </w:rPr>
        <w:footnoteRef/>
      </w:r>
      <w:r>
        <w:rPr>
          <w:sz w:val="16"/>
          <w:szCs w:val="16"/>
        </w:rPr>
        <w:t xml:space="preserve"> Служба за публикации на Европейския съюз, </w:t>
      </w:r>
      <w:hyperlink r:id="rId6">
        <w:r>
          <w:rPr>
            <w:rStyle w:val="Hyperlink"/>
            <w:sz w:val="16"/>
            <w:szCs w:val="16"/>
          </w:rPr>
          <w:t>Пакет за отпадъците</w:t>
        </w:r>
      </w:hyperlink>
      <w:r>
        <w:rPr>
          <w:sz w:val="16"/>
          <w:szCs w:val="16"/>
        </w:rPr>
        <w:t xml:space="preserve"> (</w:t>
      </w:r>
      <w:r>
        <w:rPr>
          <w:i/>
          <w:sz w:val="16"/>
          <w:szCs w:val="16"/>
        </w:rPr>
        <w:t>Официален вестник на Европейския съюз</w:t>
      </w:r>
      <w:r>
        <w:rPr>
          <w:sz w:val="16"/>
          <w:szCs w:val="16"/>
        </w:rPr>
        <w:t>, L 150, 14.6.2018 г.).</w:t>
      </w:r>
    </w:p>
  </w:footnote>
  <w:footnote w:id="10">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7">
        <w:r>
          <w:rPr>
            <w:rStyle w:val="Hyperlink"/>
            <w:sz w:val="16"/>
            <w:szCs w:val="16"/>
          </w:rPr>
          <w:t>Рамка за мониторинг на кръговата икономика</w:t>
        </w:r>
      </w:hyperlink>
      <w:r>
        <w:rPr>
          <w:sz w:val="16"/>
          <w:szCs w:val="16"/>
        </w:rPr>
        <w:t>.</w:t>
      </w:r>
    </w:p>
  </w:footnote>
  <w:footnote w:id="11">
    <w:p>
      <w:pPr>
        <w:pStyle w:val="FootnoteText"/>
        <w:rPr>
          <w:sz w:val="16"/>
          <w:szCs w:val="16"/>
        </w:rPr>
      </w:pPr>
      <w:r>
        <w:rPr>
          <w:sz w:val="16"/>
          <w:szCs w:val="16"/>
          <w:vertAlign w:val="superscript"/>
        </w:rPr>
        <w:footnoteRef/>
      </w:r>
      <w:r>
        <w:rPr>
          <w:sz w:val="16"/>
          <w:szCs w:val="16"/>
        </w:rPr>
        <w:t xml:space="preserve"> </w:t>
      </w:r>
      <w:r>
        <w:rPr>
          <w:rStyle w:val="Hyperlink"/>
          <w:sz w:val="16"/>
          <w:szCs w:val="16"/>
        </w:rPr>
        <w:t>COM(2018) 673</w:t>
      </w:r>
      <w:r>
        <w:rPr>
          <w:rStyle w:val="Hyperlink"/>
          <w:color w:val="auto"/>
          <w:sz w:val="16"/>
          <w:szCs w:val="16"/>
          <w:u w:val="none"/>
        </w:rPr>
        <w:t>.</w:t>
      </w:r>
      <w:r>
        <w:rPr>
          <w:rStyle w:val="Hyperlink"/>
          <w:sz w:val="16"/>
          <w:szCs w:val="16"/>
        </w:rPr>
        <w:t xml:space="preserve"> </w:t>
      </w:r>
    </w:p>
  </w:footnote>
  <w:footnote w:id="12">
    <w:p>
      <w:pPr>
        <w:pStyle w:val="FootnoteText"/>
        <w:rPr>
          <w:sz w:val="16"/>
          <w:szCs w:val="16"/>
        </w:rPr>
      </w:pPr>
      <w:r>
        <w:rPr>
          <w:sz w:val="16"/>
          <w:szCs w:val="16"/>
          <w:vertAlign w:val="superscript"/>
        </w:rPr>
        <w:footnoteRef/>
      </w:r>
      <w:r>
        <w:rPr>
          <w:sz w:val="16"/>
          <w:szCs w:val="16"/>
        </w:rPr>
        <w:t xml:space="preserve"> </w:t>
      </w:r>
      <w:hyperlink r:id="rId8">
        <w:r>
          <w:rPr>
            <w:rStyle w:val="Hyperlink"/>
            <w:sz w:val="16"/>
            <w:szCs w:val="16"/>
          </w:rPr>
          <w:t>Временно междуинституционално споразумение от 19 декември 2018 г</w:t>
        </w:r>
      </w:hyperlink>
      <w:r>
        <w:rPr>
          <w:sz w:val="16"/>
          <w:szCs w:val="16"/>
        </w:rPr>
        <w:t>.</w:t>
      </w:r>
    </w:p>
  </w:footnote>
  <w:footnote w:id="13">
    <w:p>
      <w:pPr>
        <w:pStyle w:val="NoSpacing"/>
        <w:rPr>
          <w:sz w:val="16"/>
          <w:szCs w:val="16"/>
        </w:rPr>
      </w:pPr>
      <w:r>
        <w:rPr>
          <w:sz w:val="16"/>
          <w:szCs w:val="16"/>
          <w:vertAlign w:val="superscript"/>
        </w:rPr>
        <w:footnoteRef/>
      </w:r>
      <w:r>
        <w:rPr>
          <w:sz w:val="16"/>
          <w:szCs w:val="16"/>
        </w:rPr>
        <w:t xml:space="preserve"> Те включват изисквания за екопроектиране в разпоредбите относно продуктите, с които се допринася за по-добрата пригодност за ремонтиране, предоставянето на полезна информация относно ремонта, както и доставката на резервни части.</w:t>
      </w:r>
    </w:p>
  </w:footnote>
  <w:footnote w:id="14">
    <w:p>
      <w:pPr>
        <w:pStyle w:val="FootnoteText"/>
        <w:rPr>
          <w:sz w:val="16"/>
          <w:szCs w:val="16"/>
        </w:rPr>
      </w:pPr>
      <w:r>
        <w:rPr>
          <w:sz w:val="16"/>
          <w:szCs w:val="16"/>
          <w:vertAlign w:val="superscript"/>
        </w:rPr>
        <w:footnoteRef/>
      </w:r>
      <w:r>
        <w:rPr>
          <w:sz w:val="16"/>
          <w:szCs w:val="16"/>
        </w:rPr>
        <w:t> В този контекст през октомври 2018 г. Комисията проведе семинар с органите за защита на потребителите на държавите членки относно планираното/преждевременно остаряване на продуктите.</w:t>
      </w:r>
    </w:p>
  </w:footnote>
  <w:footnote w:id="15">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9">
        <w:r>
          <w:rPr>
            <w:rStyle w:val="Hyperlink"/>
            <w:sz w:val="16"/>
            <w:szCs w:val="16"/>
          </w:rPr>
          <w:t>Recycling rate of municipal waste</w:t>
        </w:r>
      </w:hyperlink>
      <w:r>
        <w:rPr>
          <w:sz w:val="16"/>
          <w:szCs w:val="16"/>
        </w:rPr>
        <w:t xml:space="preserve"> (Дял на рециклиране на битовите отпадъци).</w:t>
      </w:r>
    </w:p>
  </w:footnote>
  <w:footnote w:id="16">
    <w:p>
      <w:pPr>
        <w:pStyle w:val="FootnoteText"/>
        <w:rPr>
          <w:rFonts w:eastAsia="Times New Roman" w:cs="Times New Roman"/>
          <w:sz w:val="16"/>
          <w:szCs w:val="16"/>
          <w:lang w:val="ru-RU"/>
        </w:rPr>
      </w:pPr>
      <w:r>
        <w:rPr>
          <w:sz w:val="16"/>
          <w:szCs w:val="16"/>
          <w:vertAlign w:val="superscript"/>
        </w:rPr>
        <w:footnoteRef/>
      </w:r>
      <w:r>
        <w:rPr>
          <w:sz w:val="16"/>
          <w:szCs w:val="16"/>
        </w:rPr>
        <w:t xml:space="preserve"> </w:t>
      </w:r>
      <w:hyperlink r:id="rId10">
        <w:r>
          <w:rPr>
            <w:rStyle w:val="Hyperlink"/>
            <w:sz w:val="16"/>
            <w:szCs w:val="16"/>
          </w:rPr>
          <w:t>COM(2018) 656</w:t>
        </w:r>
      </w:hyperlink>
      <w:r>
        <w:rPr>
          <w:sz w:val="16"/>
          <w:szCs w:val="16"/>
        </w:rPr>
        <w:t xml:space="preserve">. </w:t>
      </w:r>
    </w:p>
  </w:footnote>
  <w:footnote w:id="17">
    <w:p>
      <w:pPr>
        <w:pStyle w:val="FootnoteText"/>
        <w:rPr>
          <w:rFonts w:eastAsia="Times New Roman" w:cs="Times New Roman"/>
          <w:sz w:val="16"/>
          <w:szCs w:val="16"/>
          <w:lang w:val="ru-RU"/>
        </w:rPr>
      </w:pPr>
      <w:r>
        <w:rPr>
          <w:sz w:val="16"/>
          <w:szCs w:val="16"/>
          <w:vertAlign w:val="superscript"/>
        </w:rPr>
        <w:footnoteRef/>
      </w:r>
      <w:r>
        <w:rPr>
          <w:sz w:val="16"/>
          <w:szCs w:val="16"/>
        </w:rPr>
        <w:t xml:space="preserve"> Австрия, България, Германия, Гърция, Естония, Ирландия, Испания, Кипър, Латвия, Малта, Полша, Португалия, Румъния, Словакия, Унгария, Хърватия и Чехия.</w:t>
      </w:r>
    </w:p>
  </w:footnote>
  <w:footnote w:id="18">
    <w:p>
      <w:pPr>
        <w:pStyle w:val="FootnoteText"/>
        <w:rPr>
          <w:rFonts w:eastAsia="Times New Roman" w:cs="Times New Roman"/>
          <w:sz w:val="16"/>
          <w:szCs w:val="16"/>
          <w:lang w:val="ru-RU"/>
        </w:rPr>
      </w:pPr>
      <w:r>
        <w:rPr>
          <w:sz w:val="16"/>
          <w:szCs w:val="16"/>
          <w:vertAlign w:val="superscript"/>
        </w:rPr>
        <w:footnoteRef/>
      </w:r>
      <w:r>
        <w:rPr>
          <w:sz w:val="16"/>
          <w:szCs w:val="16"/>
        </w:rPr>
        <w:t xml:space="preserve"> Австрия, Гърция, Италия, Кипър, Малта, Нидерландия, Румъния, Словакия и Унгария.</w:t>
      </w:r>
    </w:p>
  </w:footnote>
  <w:footnote w:id="19">
    <w:p>
      <w:pPr>
        <w:pStyle w:val="FootnoteText"/>
        <w:jc w:val="left"/>
        <w:rPr>
          <w:rFonts w:eastAsia="Times New Roman" w:cs="Times New Roman"/>
          <w:sz w:val="16"/>
          <w:szCs w:val="16"/>
        </w:rPr>
      </w:pPr>
      <w:r>
        <w:rPr>
          <w:sz w:val="16"/>
          <w:szCs w:val="16"/>
          <w:vertAlign w:val="superscript"/>
        </w:rPr>
        <w:footnoteRef/>
      </w:r>
      <w:r>
        <w:rPr>
          <w:sz w:val="16"/>
          <w:szCs w:val="16"/>
        </w:rPr>
        <w:t xml:space="preserve"> </w:t>
      </w:r>
      <w:r>
        <w:rPr>
          <w:rFonts w:ascii="Times New Roman," w:hAnsi="Times New Roman,"/>
          <w:sz w:val="16"/>
          <w:szCs w:val="16"/>
        </w:rPr>
        <w:t xml:space="preserve">Европейска комисия, </w:t>
      </w:r>
      <w:hyperlink r:id="rId11">
        <w:r>
          <w:rPr>
            <w:rStyle w:val="Hyperlink"/>
            <w:rFonts w:ascii="Times New Roman," w:hAnsi="Times New Roman,"/>
            <w:sz w:val="16"/>
            <w:szCs w:val="16"/>
          </w:rPr>
          <w:t>Municipal waste, by waste operations</w:t>
        </w:r>
      </w:hyperlink>
      <w:r>
        <w:rPr>
          <w:sz w:val="16"/>
          <w:szCs w:val="16"/>
        </w:rPr>
        <w:t xml:space="preserve"> (Битови отпадъци по операции, свързани с отпадъците)</w:t>
      </w:r>
      <w:r>
        <w:rPr>
          <w:rFonts w:ascii="Times New Roman," w:hAnsi="Times New Roman,"/>
          <w:sz w:val="16"/>
          <w:szCs w:val="16"/>
        </w:rPr>
        <w:t>.</w:t>
      </w:r>
      <w:r>
        <w:rPr>
          <w:sz w:val="16"/>
          <w:szCs w:val="16"/>
        </w:rPr>
        <w:t xml:space="preserve"> Австрия, Германия, Дания, Кипър, Люксембург и Малта. </w:t>
      </w:r>
    </w:p>
  </w:footnote>
  <w:footnote w:id="20">
    <w:p>
      <w:pPr>
        <w:pStyle w:val="FootnoteText"/>
        <w:rPr>
          <w:rFonts w:eastAsia="Times New Roman" w:cs="Times New Roman"/>
          <w:sz w:val="16"/>
          <w:szCs w:val="16"/>
        </w:rPr>
      </w:pPr>
      <w:r>
        <w:rPr>
          <w:sz w:val="16"/>
          <w:szCs w:val="16"/>
          <w:vertAlign w:val="superscript"/>
        </w:rPr>
        <w:footnoteRef/>
      </w:r>
      <w:r>
        <w:rPr>
          <w:sz w:val="16"/>
          <w:szCs w:val="16"/>
        </w:rPr>
        <w:t xml:space="preserve"> Белгия, България, Германия, Дания, Испания, Люксембург, Нидерландия, Унгария и Франция. </w:t>
      </w:r>
    </w:p>
  </w:footnote>
  <w:footnote w:id="21">
    <w:p>
      <w:pPr>
        <w:pStyle w:val="FootnoteText"/>
        <w:rPr>
          <w:rFonts w:eastAsia="Times New Roman" w:cs="Times New Roman"/>
          <w:sz w:val="16"/>
          <w:szCs w:val="16"/>
        </w:rPr>
      </w:pPr>
      <w:r>
        <w:rPr>
          <w:sz w:val="16"/>
          <w:szCs w:val="16"/>
          <w:vertAlign w:val="superscript"/>
        </w:rPr>
        <w:footnoteRef/>
      </w:r>
      <w:r>
        <w:rPr>
          <w:sz w:val="16"/>
          <w:szCs w:val="16"/>
        </w:rPr>
        <w:t xml:space="preserve"> Австрия, Белгия, Германия, Нидерландия и Словения.</w:t>
      </w:r>
    </w:p>
  </w:footnote>
  <w:footnote w:id="22">
    <w:p>
      <w:pPr>
        <w:pStyle w:val="FootnoteText"/>
        <w:rPr>
          <w:rFonts w:eastAsia="Times New Roman" w:cs="Times New Roman"/>
          <w:sz w:val="16"/>
          <w:szCs w:val="16"/>
        </w:rPr>
      </w:pPr>
      <w:r>
        <w:rPr>
          <w:sz w:val="16"/>
          <w:szCs w:val="16"/>
          <w:vertAlign w:val="superscript"/>
        </w:rPr>
        <w:footnoteRef/>
      </w:r>
      <w:r>
        <w:rPr>
          <w:sz w:val="16"/>
          <w:szCs w:val="16"/>
        </w:rPr>
        <w:t xml:space="preserve"> Комисията представи доклади за ранно предупреждение за България, Гърция, Естония, Испания, Кипър, Латвия, Малта, Полша, Португалия, Румъния, Словакия, Унгария, Финландия и Хърватия. Вж. </w:t>
      </w:r>
      <w:hyperlink r:id="rId12">
        <w:r>
          <w:rPr>
            <w:rStyle w:val="Hyperlink"/>
            <w:sz w:val="16"/>
            <w:szCs w:val="16"/>
          </w:rPr>
          <w:t>COM(2018) 656</w:t>
        </w:r>
      </w:hyperlink>
      <w:r>
        <w:rPr>
          <w:sz w:val="16"/>
          <w:szCs w:val="16"/>
        </w:rPr>
        <w:t>.</w:t>
      </w:r>
    </w:p>
  </w:footnote>
  <w:footnote w:id="23">
    <w:p>
      <w:pPr>
        <w:pStyle w:val="FootnoteText"/>
        <w:rPr>
          <w:rFonts w:eastAsia="Times New Roman" w:cs="Times New Roman"/>
          <w:sz w:val="16"/>
          <w:szCs w:val="16"/>
        </w:rPr>
      </w:pPr>
      <w:r>
        <w:rPr>
          <w:sz w:val="16"/>
          <w:szCs w:val="16"/>
          <w:vertAlign w:val="superscript"/>
        </w:rPr>
        <w:footnoteRef/>
      </w:r>
      <w:r>
        <w:rPr>
          <w:sz w:val="16"/>
          <w:szCs w:val="16"/>
        </w:rPr>
        <w:t xml:space="preserve"> България, Гърция, Естония, Ирландия, Испания, Италия, Кипър, Латвия, Литва, Малта, Обединеното кралство, Полша, Португалия, Румъния, Словакия, Словения, Унгария, Финландия, Франция, Хърватия, Чехия.</w:t>
      </w:r>
    </w:p>
  </w:footnote>
  <w:footnote w:id="24">
    <w:p>
      <w:pPr>
        <w:pStyle w:val="FootnoteText"/>
        <w:rPr>
          <w:sz w:val="16"/>
          <w:szCs w:val="16"/>
        </w:rPr>
      </w:pPr>
      <w:r>
        <w:rPr>
          <w:sz w:val="16"/>
          <w:szCs w:val="16"/>
          <w:vertAlign w:val="superscript"/>
        </w:rPr>
        <w:footnoteRef/>
      </w:r>
      <w:r>
        <w:rPr>
          <w:sz w:val="16"/>
          <w:szCs w:val="16"/>
        </w:rPr>
        <w:t xml:space="preserve"> </w:t>
      </w:r>
      <w:hyperlink r:id="rId13">
        <w:r>
          <w:rPr>
            <w:rStyle w:val="Hyperlink"/>
            <w:sz w:val="16"/>
            <w:szCs w:val="16"/>
          </w:rPr>
          <w:t>Директива 1999/31/ЕО</w:t>
        </w:r>
      </w:hyperlink>
      <w:r>
        <w:rPr>
          <w:sz w:val="16"/>
          <w:szCs w:val="16"/>
        </w:rPr>
        <w:t>.</w:t>
      </w:r>
    </w:p>
  </w:footnote>
  <w:footnote w:id="25">
    <w:p>
      <w:pPr>
        <w:pStyle w:val="FootnoteText"/>
        <w:rPr>
          <w:rFonts w:eastAsia="Times New Roman" w:cs="Times New Roman"/>
          <w:sz w:val="16"/>
          <w:szCs w:val="16"/>
        </w:rPr>
      </w:pPr>
      <w:r>
        <w:rPr>
          <w:sz w:val="16"/>
          <w:szCs w:val="16"/>
          <w:vertAlign w:val="superscript"/>
        </w:rPr>
        <w:footnoteRef/>
      </w:r>
      <w:r>
        <w:rPr>
          <w:sz w:val="16"/>
          <w:szCs w:val="16"/>
        </w:rPr>
        <w:t xml:space="preserve"> Министерство на Франция за екологичен и солидарен преход, </w:t>
      </w:r>
      <w:hyperlink r:id="rId14">
        <w:r>
          <w:rPr>
            <w:rStyle w:val="Hyperlink"/>
            <w:sz w:val="16"/>
            <w:szCs w:val="16"/>
          </w:rPr>
          <w:t xml:space="preserve">Пътна карта за кръговата икономика, </w:t>
        </w:r>
      </w:hyperlink>
      <w:r>
        <w:rPr>
          <w:sz w:val="16"/>
          <w:szCs w:val="16"/>
        </w:rPr>
        <w:t xml:space="preserve">2018 г. </w:t>
      </w:r>
    </w:p>
  </w:footnote>
  <w:footnote w:id="26">
    <w:p>
      <w:pPr>
        <w:pStyle w:val="FootnoteText"/>
        <w:rPr>
          <w:rFonts w:eastAsia="Times New Roman" w:cs="Times New Roman"/>
          <w:sz w:val="16"/>
          <w:szCs w:val="16"/>
        </w:rPr>
      </w:pPr>
      <w:r>
        <w:rPr>
          <w:sz w:val="16"/>
          <w:szCs w:val="16"/>
          <w:vertAlign w:val="superscript"/>
        </w:rPr>
        <w:footnoteRef/>
      </w:r>
      <w:r>
        <w:rPr>
          <w:sz w:val="16"/>
          <w:szCs w:val="16"/>
        </w:rPr>
        <w:t xml:space="preserve"> Междуправителствен комитет по изменение на климата, </w:t>
      </w:r>
      <w:hyperlink r:id="rId15">
        <w:r>
          <w:rPr>
            <w:rStyle w:val="Hyperlink"/>
            <w:sz w:val="16"/>
            <w:szCs w:val="16"/>
          </w:rPr>
          <w:t>Special report on a Global Warming of 1.5°C</w:t>
        </w:r>
      </w:hyperlink>
      <w:r>
        <w:rPr>
          <w:sz w:val="16"/>
          <w:szCs w:val="16"/>
        </w:rPr>
        <w:t xml:space="preserve"> (Специален доклад за глобално затопляне с 1,5 °C).</w:t>
      </w:r>
    </w:p>
  </w:footnote>
  <w:footnote w:id="27">
    <w:p>
      <w:pPr>
        <w:pStyle w:val="FootnoteText"/>
        <w:rPr>
          <w:rFonts w:eastAsia="Times New Roman" w:cs="Times New Roman"/>
          <w:sz w:val="16"/>
          <w:szCs w:val="16"/>
          <w:lang w:val="ru-RU"/>
        </w:rPr>
      </w:pPr>
      <w:r>
        <w:rPr>
          <w:sz w:val="16"/>
          <w:szCs w:val="16"/>
          <w:vertAlign w:val="superscript"/>
        </w:rPr>
        <w:footnoteRef/>
      </w:r>
      <w:r>
        <w:rPr>
          <w:sz w:val="16"/>
          <w:szCs w:val="16"/>
        </w:rPr>
        <w:t xml:space="preserve"> </w:t>
      </w:r>
      <w:hyperlink r:id="rId16">
        <w:r>
          <w:rPr>
            <w:rStyle w:val="Hyperlink"/>
            <w:sz w:val="16"/>
            <w:szCs w:val="16"/>
          </w:rPr>
          <w:t>COM(2018)773.</w:t>
        </w:r>
      </w:hyperlink>
      <w:r>
        <w:rPr>
          <w:sz w:val="16"/>
          <w:szCs w:val="16"/>
        </w:rPr>
        <w:t xml:space="preserve"> </w:t>
      </w:r>
    </w:p>
  </w:footnote>
  <w:footnote w:id="28">
    <w:p>
      <w:pPr>
        <w:pStyle w:val="FootnoteText"/>
        <w:rPr>
          <w:rFonts w:eastAsia="Times New Roman" w:cs="Times New Roman"/>
          <w:sz w:val="16"/>
          <w:szCs w:val="16"/>
          <w:lang w:val="ru-RU"/>
        </w:rPr>
      </w:pPr>
      <w:r>
        <w:rPr>
          <w:sz w:val="16"/>
          <w:szCs w:val="16"/>
          <w:vertAlign w:val="superscript"/>
        </w:rPr>
        <w:footnoteRef/>
      </w:r>
      <w:r>
        <w:rPr>
          <w:sz w:val="16"/>
          <w:szCs w:val="16"/>
        </w:rPr>
        <w:t xml:space="preserve"> </w:t>
      </w:r>
      <w:hyperlink r:id="rId17">
        <w:r>
          <w:rPr>
            <w:rStyle w:val="Hyperlink"/>
            <w:sz w:val="16"/>
            <w:szCs w:val="16"/>
          </w:rPr>
          <w:t>Директива (ЕС) 2018/410</w:t>
        </w:r>
      </w:hyperlink>
      <w:r>
        <w:rPr>
          <w:sz w:val="16"/>
          <w:szCs w:val="16"/>
        </w:rPr>
        <w:t>.</w:t>
      </w:r>
    </w:p>
  </w:footnote>
  <w:footnote w:id="29">
    <w:p>
      <w:pPr>
        <w:pStyle w:val="FootnoteText"/>
        <w:rPr>
          <w:rFonts w:eastAsia="Times New Roman" w:cs="Times New Roman"/>
          <w:sz w:val="16"/>
          <w:szCs w:val="16"/>
          <w:lang w:val="ru-RU"/>
        </w:rPr>
      </w:pPr>
      <w:r>
        <w:rPr>
          <w:sz w:val="16"/>
          <w:szCs w:val="16"/>
          <w:vertAlign w:val="superscript"/>
        </w:rPr>
        <w:footnoteRef/>
      </w:r>
      <w:r>
        <w:rPr>
          <w:sz w:val="16"/>
          <w:szCs w:val="16"/>
        </w:rPr>
        <w:t xml:space="preserve"> </w:t>
      </w:r>
      <w:hyperlink r:id="rId18">
        <w:r>
          <w:rPr>
            <w:rStyle w:val="Hyperlink"/>
            <w:sz w:val="16"/>
            <w:szCs w:val="16"/>
          </w:rPr>
          <w:t>COM(2018) 738</w:t>
        </w:r>
      </w:hyperlink>
      <w:r>
        <w:rPr>
          <w:sz w:val="16"/>
          <w:szCs w:val="16"/>
        </w:rPr>
        <w:t>.</w:t>
      </w:r>
    </w:p>
  </w:footnote>
  <w:footnote w:id="30">
    <w:p>
      <w:pPr>
        <w:pStyle w:val="FootnoteText"/>
        <w:rPr>
          <w:rFonts w:eastAsia="Times New Roman" w:cs="Times New Roman"/>
          <w:sz w:val="16"/>
          <w:szCs w:val="16"/>
          <w:lang w:val="ru-RU"/>
        </w:rPr>
      </w:pPr>
      <w:r>
        <w:rPr>
          <w:sz w:val="16"/>
          <w:szCs w:val="16"/>
          <w:vertAlign w:val="superscript"/>
        </w:rPr>
        <w:footnoteRef/>
      </w:r>
      <w:r>
        <w:rPr>
          <w:sz w:val="16"/>
          <w:szCs w:val="16"/>
        </w:rPr>
        <w:t xml:space="preserve"> </w:t>
      </w:r>
      <w:hyperlink r:id="rId19">
        <w:r>
          <w:rPr>
            <w:rStyle w:val="Hyperlink"/>
            <w:sz w:val="16"/>
            <w:szCs w:val="16"/>
          </w:rPr>
          <w:t>Регламент (ЕС) 2018/1999</w:t>
        </w:r>
      </w:hyperlink>
      <w:r>
        <w:rPr>
          <w:sz w:val="16"/>
          <w:szCs w:val="16"/>
        </w:rPr>
        <w:t>.</w:t>
      </w:r>
    </w:p>
  </w:footnote>
  <w:footnote w:id="31">
    <w:p>
      <w:pPr>
        <w:pStyle w:val="FootnoteText"/>
        <w:rPr>
          <w:rFonts w:eastAsia="Times New Roman" w:cs="Times New Roman"/>
          <w:sz w:val="16"/>
          <w:szCs w:val="16"/>
        </w:rPr>
      </w:pPr>
      <w:r>
        <w:rPr>
          <w:sz w:val="16"/>
          <w:szCs w:val="16"/>
          <w:vertAlign w:val="superscript"/>
        </w:rPr>
        <w:footnoteRef/>
      </w:r>
      <w:r>
        <w:rPr>
          <w:sz w:val="16"/>
          <w:szCs w:val="16"/>
        </w:rPr>
        <w:t xml:space="preserve"> През 2016 г. в Белгия, Германия, Ирландия, Малта, Полша и Финландия са били регистрирани по-високи емисии в сравнение с годишно разпределените количества емисии за тези държави. Неокончателните данни за 2017 г. показват, че емисиите в Австрия, България, Германия, Естония, Ирландия, Кипър, Литва, Малта, Полша и Финландия са били по-високи в сравнение със съответното годишно разпределение. </w:t>
      </w:r>
    </w:p>
  </w:footnote>
  <w:footnote w:id="32">
    <w:p>
      <w:pPr>
        <w:pStyle w:val="FootnoteText"/>
        <w:rPr>
          <w:rFonts w:eastAsia="Times New Roman" w:cs="Times New Roman"/>
          <w:sz w:val="16"/>
          <w:szCs w:val="16"/>
        </w:rPr>
      </w:pPr>
      <w:r>
        <w:rPr>
          <w:sz w:val="16"/>
          <w:szCs w:val="16"/>
          <w:vertAlign w:val="superscript"/>
        </w:rPr>
        <w:footnoteRef/>
      </w:r>
      <w:r>
        <w:rPr>
          <w:sz w:val="16"/>
          <w:szCs w:val="16"/>
        </w:rPr>
        <w:t xml:space="preserve"> Всички държави членки, с изключение на България, Латвия и Хърватия.</w:t>
      </w:r>
    </w:p>
  </w:footnote>
  <w:footnote w:id="33">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20">
        <w:r>
          <w:rPr>
            <w:rStyle w:val="Hyperlink"/>
            <w:sz w:val="16"/>
            <w:szCs w:val="16"/>
          </w:rPr>
          <w:t>Macro-regional strategies</w:t>
        </w:r>
      </w:hyperlink>
      <w:r>
        <w:rPr>
          <w:sz w:val="16"/>
          <w:szCs w:val="16"/>
        </w:rPr>
        <w:t xml:space="preserve"> (Макрорегионални стратегии). </w:t>
      </w:r>
    </w:p>
  </w:footnote>
  <w:footnote w:id="34">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21">
        <w:r>
          <w:rPr>
            <w:rStyle w:val="Hyperlink"/>
            <w:sz w:val="16"/>
            <w:szCs w:val="16"/>
          </w:rPr>
          <w:t>Уебсайт на Алпийската конвенция</w:t>
        </w:r>
      </w:hyperlink>
      <w:r>
        <w:rPr>
          <w:sz w:val="16"/>
          <w:szCs w:val="16"/>
        </w:rPr>
        <w:t xml:space="preserve">. </w:t>
      </w:r>
    </w:p>
  </w:footnote>
  <w:footnote w:id="35">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22">
        <w:r>
          <w:rPr>
            <w:rStyle w:val="Hyperlink"/>
            <w:sz w:val="16"/>
            <w:szCs w:val="16"/>
          </w:rPr>
          <w:t>Уебсайт на Карпатската конвенция</w:t>
        </w:r>
      </w:hyperlink>
      <w:r>
        <w:rPr>
          <w:sz w:val="16"/>
          <w:szCs w:val="16"/>
        </w:rPr>
        <w:t xml:space="preserve">. </w:t>
      </w:r>
    </w:p>
  </w:footnote>
  <w:footnote w:id="36">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23">
        <w:r>
          <w:rPr>
            <w:rStyle w:val="Hyperlink"/>
            <w:sz w:val="16"/>
            <w:szCs w:val="16"/>
          </w:rPr>
          <w:t>COM(2011) 244</w:t>
        </w:r>
      </w:hyperlink>
      <w:r>
        <w:rPr>
          <w:sz w:val="16"/>
          <w:szCs w:val="16"/>
        </w:rPr>
        <w:t>.</w:t>
      </w:r>
    </w:p>
  </w:footnote>
  <w:footnote w:id="37">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24">
        <w:r>
          <w:rPr>
            <w:rStyle w:val="Hyperlink"/>
            <w:sz w:val="16"/>
            <w:szCs w:val="16"/>
          </w:rPr>
          <w:t>Директива 92/43/ЕИО</w:t>
        </w:r>
      </w:hyperlink>
      <w:r>
        <w:rPr>
          <w:sz w:val="16"/>
          <w:szCs w:val="16"/>
        </w:rPr>
        <w:t xml:space="preserve"> и </w:t>
      </w:r>
      <w:hyperlink r:id="rId25">
        <w:r>
          <w:rPr>
            <w:rStyle w:val="Hyperlink"/>
            <w:sz w:val="16"/>
            <w:szCs w:val="16"/>
          </w:rPr>
          <w:t>Директива 2009/147/ЕО</w:t>
        </w:r>
      </w:hyperlink>
      <w:r>
        <w:rPr>
          <w:sz w:val="16"/>
          <w:szCs w:val="16"/>
        </w:rPr>
        <w:t>.</w:t>
      </w:r>
    </w:p>
  </w:footnote>
  <w:footnote w:id="38">
    <w:p>
      <w:pPr>
        <w:pStyle w:val="FootnoteText"/>
        <w:rPr>
          <w:sz w:val="16"/>
          <w:szCs w:val="16"/>
        </w:rPr>
      </w:pPr>
      <w:r>
        <w:rPr>
          <w:sz w:val="16"/>
          <w:szCs w:val="16"/>
          <w:vertAlign w:val="superscript"/>
        </w:rPr>
        <w:footnoteRef/>
      </w:r>
      <w:r>
        <w:rPr>
          <w:sz w:val="16"/>
          <w:szCs w:val="16"/>
        </w:rPr>
        <w:t xml:space="preserve"> </w:t>
      </w:r>
      <w:hyperlink r:id="rId26">
        <w:r>
          <w:rPr>
            <w:rStyle w:val="Hyperlink"/>
            <w:sz w:val="16"/>
            <w:szCs w:val="16"/>
          </w:rPr>
          <w:t>COM(2017) 198</w:t>
        </w:r>
      </w:hyperlink>
      <w:r>
        <w:rPr>
          <w:sz w:val="16"/>
          <w:szCs w:val="16"/>
        </w:rPr>
        <w:t>.</w:t>
      </w:r>
    </w:p>
  </w:footnote>
  <w:footnote w:id="39">
    <w:p>
      <w:pPr>
        <w:pStyle w:val="FootnoteText"/>
        <w:rPr>
          <w:sz w:val="16"/>
          <w:szCs w:val="16"/>
        </w:rPr>
      </w:pPr>
      <w:r>
        <w:rPr>
          <w:sz w:val="16"/>
          <w:szCs w:val="16"/>
          <w:vertAlign w:val="superscript"/>
        </w:rPr>
        <w:footnoteRef/>
      </w:r>
      <w:r>
        <w:rPr>
          <w:sz w:val="16"/>
          <w:szCs w:val="16"/>
        </w:rPr>
        <w:t xml:space="preserve"> </w:t>
      </w:r>
      <w:hyperlink r:id="rId27">
        <w:r>
          <w:rPr>
            <w:rStyle w:val="Hyperlink"/>
            <w:sz w:val="16"/>
            <w:szCs w:val="16"/>
          </w:rPr>
          <w:t>COM(2011) 244</w:t>
        </w:r>
      </w:hyperlink>
      <w:r>
        <w:rPr>
          <w:sz w:val="16"/>
          <w:szCs w:val="16"/>
        </w:rPr>
        <w:t>.</w:t>
      </w:r>
    </w:p>
  </w:footnote>
  <w:footnote w:id="40">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28">
        <w:r>
          <w:rPr>
            <w:rStyle w:val="Hyperlink"/>
            <w:sz w:val="16"/>
            <w:szCs w:val="16"/>
          </w:rPr>
          <w:t>Регламент (ЕС) № 1143/2014</w:t>
        </w:r>
      </w:hyperlink>
      <w:r>
        <w:rPr>
          <w:sz w:val="16"/>
          <w:szCs w:val="16"/>
        </w:rPr>
        <w:t>.</w:t>
      </w:r>
    </w:p>
  </w:footnote>
  <w:footnote w:id="41">
    <w:p>
      <w:pPr>
        <w:pStyle w:val="FootnoteText"/>
        <w:rPr>
          <w:rFonts w:eastAsia="Times New Roman" w:cs="Times New Roman"/>
          <w:sz w:val="16"/>
          <w:szCs w:val="16"/>
        </w:rPr>
      </w:pPr>
      <w:r>
        <w:rPr>
          <w:sz w:val="16"/>
          <w:szCs w:val="16"/>
          <w:vertAlign w:val="superscript"/>
        </w:rPr>
        <w:footnoteRef/>
      </w:r>
      <w:r>
        <w:rPr>
          <w:sz w:val="16"/>
          <w:szCs w:val="16"/>
        </w:rPr>
        <w:t xml:space="preserve"> Австрия, Белгия, България, Германия, Гърция, Дания, Естония, Ирландия, Испания, Италия, Кипър, Латвия, Литва, Малта, Нидерландия, Обединеното кралство, Полша, Португалия, Румъния, Словакия, Словения, Унгария, Финландия, Хърватия, Чехия и Швеция.</w:t>
      </w:r>
    </w:p>
  </w:footnote>
  <w:footnote w:id="42">
    <w:p>
      <w:pPr>
        <w:pStyle w:val="FootnoteText"/>
        <w:rPr>
          <w:rFonts w:eastAsia="Times New Roman" w:cs="Times New Roman"/>
          <w:sz w:val="16"/>
          <w:szCs w:val="16"/>
          <w:lang w:val="ru-RU"/>
        </w:rPr>
      </w:pPr>
      <w:r>
        <w:rPr>
          <w:sz w:val="16"/>
          <w:szCs w:val="16"/>
          <w:vertAlign w:val="superscript"/>
        </w:rPr>
        <w:footnoteRef/>
      </w:r>
      <w:r>
        <w:rPr>
          <w:sz w:val="16"/>
          <w:szCs w:val="16"/>
        </w:rPr>
        <w:t xml:space="preserve"> България, Гърция, Естония, Италия, Кипър, Литва, Португалия, Румъния, Словения и Унгария.</w:t>
      </w:r>
    </w:p>
  </w:footnote>
  <w:footnote w:id="43">
    <w:p>
      <w:pPr>
        <w:pStyle w:val="FootnoteText"/>
        <w:rPr>
          <w:rFonts w:eastAsia="Times New Roman" w:cs="Times New Roman"/>
          <w:sz w:val="16"/>
          <w:szCs w:val="16"/>
          <w:lang w:val="ru-RU"/>
        </w:rPr>
      </w:pPr>
      <w:r>
        <w:rPr>
          <w:sz w:val="16"/>
          <w:szCs w:val="16"/>
          <w:vertAlign w:val="superscript"/>
        </w:rPr>
        <w:footnoteRef/>
      </w:r>
      <w:r>
        <w:rPr>
          <w:sz w:val="16"/>
          <w:szCs w:val="16"/>
        </w:rPr>
        <w:t xml:space="preserve"> България, Гърция, Естония, Ирландия, Испания, Италия, Литва, Люксембург, Малта, Румъния, Словакия, Словения, Унгария, Франция и Хърватия.</w:t>
      </w:r>
    </w:p>
  </w:footnote>
  <w:footnote w:id="44">
    <w:p>
      <w:pPr>
        <w:pStyle w:val="FootnoteText"/>
        <w:rPr>
          <w:rFonts w:eastAsia="Times New Roman" w:cs="Times New Roman"/>
          <w:sz w:val="16"/>
          <w:szCs w:val="16"/>
          <w:lang w:val="ru-RU"/>
        </w:rPr>
      </w:pPr>
      <w:r>
        <w:rPr>
          <w:sz w:val="16"/>
          <w:szCs w:val="16"/>
          <w:vertAlign w:val="superscript"/>
        </w:rPr>
        <w:footnoteRef/>
      </w:r>
      <w:r>
        <w:rPr>
          <w:sz w:val="16"/>
          <w:szCs w:val="16"/>
        </w:rPr>
        <w:t xml:space="preserve"> Австрия, Белгия, Дания, Естония, Португалия, Словакия, Унгария, Чехия и Швеция.</w:t>
      </w:r>
    </w:p>
  </w:footnote>
  <w:footnote w:id="45">
    <w:p>
      <w:pPr>
        <w:pStyle w:val="FootnoteText"/>
        <w:rPr>
          <w:rFonts w:eastAsia="Times New Roman" w:cs="Times New Roman"/>
          <w:sz w:val="16"/>
          <w:szCs w:val="16"/>
          <w:lang w:val="ru-RU"/>
        </w:rPr>
      </w:pPr>
      <w:r>
        <w:rPr>
          <w:sz w:val="16"/>
          <w:szCs w:val="16"/>
          <w:vertAlign w:val="superscript"/>
        </w:rPr>
        <w:footnoteRef/>
      </w:r>
      <w:r>
        <w:rPr>
          <w:sz w:val="16"/>
          <w:szCs w:val="16"/>
        </w:rPr>
        <w:t xml:space="preserve"> Латвия, Литва, Полша, Словакия, Финландия и Швеция.</w:t>
      </w:r>
    </w:p>
  </w:footnote>
  <w:footnote w:id="46">
    <w:p>
      <w:pPr>
        <w:pStyle w:val="FootnoteText"/>
        <w:rPr>
          <w:rFonts w:eastAsia="Times New Roman" w:cs="Times New Roman"/>
          <w:sz w:val="16"/>
          <w:szCs w:val="16"/>
          <w:lang w:val="ru-RU"/>
        </w:rPr>
      </w:pPr>
      <w:r>
        <w:rPr>
          <w:sz w:val="16"/>
          <w:szCs w:val="16"/>
          <w:vertAlign w:val="superscript"/>
        </w:rPr>
        <w:footnoteRef/>
      </w:r>
      <w:r>
        <w:rPr>
          <w:sz w:val="16"/>
          <w:szCs w:val="16"/>
        </w:rPr>
        <w:t xml:space="preserve"> </w:t>
      </w:r>
      <w:hyperlink r:id="rId29">
        <w:r>
          <w:rPr>
            <w:rStyle w:val="Hyperlink"/>
            <w:sz w:val="16"/>
            <w:szCs w:val="16"/>
          </w:rPr>
          <w:t>COM(2013) 659</w:t>
        </w:r>
      </w:hyperlink>
      <w:r>
        <w:rPr>
          <w:sz w:val="16"/>
          <w:szCs w:val="16"/>
        </w:rPr>
        <w:t>.</w:t>
      </w:r>
    </w:p>
  </w:footnote>
  <w:footnote w:id="47">
    <w:p>
      <w:pPr>
        <w:pStyle w:val="FootnoteText"/>
        <w:rPr>
          <w:rFonts w:eastAsia="Times New Roman" w:cs="Times New Roman"/>
          <w:sz w:val="16"/>
          <w:szCs w:val="16"/>
          <w:lang w:val="ru-RU"/>
        </w:rPr>
      </w:pPr>
      <w:r>
        <w:rPr>
          <w:sz w:val="16"/>
          <w:szCs w:val="16"/>
          <w:vertAlign w:val="superscript"/>
        </w:rPr>
        <w:footnoteRef/>
      </w:r>
      <w:r>
        <w:rPr>
          <w:sz w:val="16"/>
          <w:szCs w:val="16"/>
        </w:rPr>
        <w:t xml:space="preserve"> Австрия, Белгия, Гърция, Ирландия, Обединеното кралство, Португалия, Румъния, Словакия, Чехия и Швеция. </w:t>
      </w:r>
    </w:p>
  </w:footnote>
  <w:footnote w:id="48">
    <w:p>
      <w:pPr>
        <w:pStyle w:val="FootnoteText"/>
        <w:rPr>
          <w:rFonts w:eastAsia="Times New Roman" w:cs="Times New Roman"/>
          <w:sz w:val="16"/>
          <w:szCs w:val="16"/>
        </w:rPr>
      </w:pPr>
      <w:r>
        <w:rPr>
          <w:sz w:val="16"/>
          <w:szCs w:val="16"/>
          <w:vertAlign w:val="superscript"/>
        </w:rPr>
        <w:footnoteRef/>
      </w:r>
      <w:r>
        <w:rPr>
          <w:sz w:val="16"/>
          <w:szCs w:val="16"/>
        </w:rPr>
        <w:t xml:space="preserve"> Германия, Гърция, Дания, Испания, Португалия, Унгария, Франция и Чехия. </w:t>
      </w:r>
    </w:p>
  </w:footnote>
  <w:footnote w:id="49">
    <w:p>
      <w:pPr>
        <w:pStyle w:val="FootnoteText"/>
        <w:rPr>
          <w:rFonts w:eastAsia="Times New Roman" w:cs="Times New Roman"/>
          <w:sz w:val="16"/>
          <w:szCs w:val="16"/>
          <w:lang w:val="ru-RU"/>
        </w:rPr>
      </w:pPr>
      <w:r>
        <w:rPr>
          <w:sz w:val="16"/>
          <w:szCs w:val="16"/>
          <w:vertAlign w:val="superscript"/>
        </w:rPr>
        <w:footnoteRef/>
      </w:r>
      <w:r>
        <w:rPr>
          <w:sz w:val="16"/>
          <w:szCs w:val="16"/>
        </w:rPr>
        <w:t xml:space="preserve"> Гърция, Дания, Естония, Литва, Румъния, Словения и Хърватия.</w:t>
      </w:r>
    </w:p>
  </w:footnote>
  <w:footnote w:id="50">
    <w:p>
      <w:pPr>
        <w:pStyle w:val="FootnoteText"/>
        <w:rPr>
          <w:sz w:val="16"/>
          <w:szCs w:val="16"/>
        </w:rPr>
      </w:pPr>
      <w:r>
        <w:rPr>
          <w:sz w:val="16"/>
          <w:szCs w:val="16"/>
          <w:vertAlign w:val="superscript"/>
        </w:rPr>
        <w:footnoteRef/>
      </w:r>
      <w:r>
        <w:rPr>
          <w:sz w:val="16"/>
          <w:szCs w:val="16"/>
        </w:rPr>
        <w:t xml:space="preserve"> Както се изисква от Рамковата директива за морска стратегия (</w:t>
      </w:r>
      <w:hyperlink r:id="rId30">
        <w:r>
          <w:rPr>
            <w:rStyle w:val="Hyperlink"/>
            <w:sz w:val="16"/>
            <w:szCs w:val="16"/>
          </w:rPr>
          <w:t>Директива 2008/56/ЕО</w:t>
        </w:r>
      </w:hyperlink>
      <w:r>
        <w:rPr>
          <w:sz w:val="16"/>
          <w:szCs w:val="16"/>
        </w:rPr>
        <w:t>).</w:t>
      </w:r>
    </w:p>
  </w:footnote>
  <w:footnote w:id="51">
    <w:p>
      <w:pPr>
        <w:pStyle w:val="FootnoteText"/>
        <w:rPr>
          <w:rFonts w:eastAsia="Times New Roman" w:cs="Times New Roman"/>
          <w:sz w:val="16"/>
          <w:szCs w:val="16"/>
        </w:rPr>
      </w:pPr>
      <w:r>
        <w:rPr>
          <w:sz w:val="16"/>
          <w:szCs w:val="16"/>
          <w:vertAlign w:val="superscript"/>
        </w:rPr>
        <w:footnoteRef/>
      </w:r>
      <w:r>
        <w:rPr>
          <w:sz w:val="16"/>
          <w:szCs w:val="16"/>
        </w:rPr>
        <w:t xml:space="preserve"> Белгия, България, Дания, Ирландия, Испания, Италия, Кипър, Латвия, Малта, Нидерландия, Обединеното кралство, Полша, Португалия, Финландия, Франция и Швеция.</w:t>
      </w:r>
    </w:p>
  </w:footnote>
  <w:footnote w:id="52">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31">
        <w:r>
          <w:rPr>
            <w:rStyle w:val="Hyperlink"/>
            <w:sz w:val="16"/>
            <w:szCs w:val="16"/>
          </w:rPr>
          <w:t>Уебсайт на проекта Connect Carpathians по програмата LIFE</w:t>
        </w:r>
      </w:hyperlink>
      <w:r>
        <w:rPr>
          <w:sz w:val="16"/>
          <w:szCs w:val="16"/>
        </w:rPr>
        <w:t>.</w:t>
      </w:r>
    </w:p>
  </w:footnote>
  <w:footnote w:id="53">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32" w:anchor="Ammonia">
        <w:r>
          <w:rPr>
            <w:rStyle w:val="Hyperlink"/>
            <w:sz w:val="16"/>
            <w:szCs w:val="16"/>
          </w:rPr>
          <w:t>Emissions of air pollutants, EU-28, 1990-2016</w:t>
        </w:r>
      </w:hyperlink>
      <w:r>
        <w:rPr>
          <w:sz w:val="16"/>
          <w:szCs w:val="16"/>
        </w:rPr>
        <w:t xml:space="preserve"> (Емисии на атмосферни замърсители, ЕС-28, 1990—2016 г.).</w:t>
      </w:r>
    </w:p>
  </w:footnote>
  <w:footnote w:id="54">
    <w:p>
      <w:pPr>
        <w:pStyle w:val="FootnoteText"/>
        <w:rPr>
          <w:sz w:val="16"/>
          <w:szCs w:val="16"/>
        </w:rPr>
      </w:pPr>
      <w:r>
        <w:rPr>
          <w:sz w:val="16"/>
          <w:szCs w:val="16"/>
          <w:vertAlign w:val="superscript"/>
        </w:rPr>
        <w:footnoteRef/>
      </w:r>
      <w:r>
        <w:rPr>
          <w:sz w:val="16"/>
          <w:szCs w:val="16"/>
        </w:rPr>
        <w:t xml:space="preserve"> </w:t>
      </w:r>
      <w:hyperlink r:id="rId33">
        <w:r>
          <w:rPr>
            <w:rStyle w:val="Hyperlink"/>
            <w:sz w:val="16"/>
            <w:szCs w:val="16"/>
          </w:rPr>
          <w:t>COM(2018) 330</w:t>
        </w:r>
      </w:hyperlink>
      <w:r>
        <w:rPr>
          <w:sz w:val="16"/>
          <w:szCs w:val="16"/>
        </w:rPr>
        <w:t>.</w:t>
      </w:r>
    </w:p>
  </w:footnote>
  <w:footnote w:id="55">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34">
        <w:r>
          <w:rPr>
            <w:rStyle w:val="Hyperlink"/>
            <w:sz w:val="16"/>
            <w:szCs w:val="16"/>
          </w:rPr>
          <w:t>Air quality fitness check</w:t>
        </w:r>
      </w:hyperlink>
      <w:r>
        <w:rPr>
          <w:sz w:val="16"/>
          <w:szCs w:val="16"/>
        </w:rPr>
        <w:t xml:space="preserve"> (Проверка за пригодност по отношение на качеството на въздуха). </w:t>
      </w:r>
    </w:p>
  </w:footnote>
  <w:footnote w:id="56">
    <w:p>
      <w:pPr>
        <w:pStyle w:val="FootnoteText"/>
        <w:rPr>
          <w:sz w:val="16"/>
          <w:szCs w:val="16"/>
        </w:rPr>
      </w:pPr>
      <w:r>
        <w:rPr>
          <w:sz w:val="16"/>
          <w:szCs w:val="16"/>
          <w:vertAlign w:val="superscript"/>
        </w:rPr>
        <w:footnoteRef/>
      </w:r>
      <w:r>
        <w:rPr>
          <w:sz w:val="16"/>
          <w:szCs w:val="16"/>
        </w:rPr>
        <w:t xml:space="preserve"> Така например наградата „Хоризонт“ за модернизиране на двигатели с цел осигуряване на чист въздух беше присъдена на новаторска система за модернизиране на дизелови автомобили с прекомерни емисии на NOx, която показа много добри резултати. Вж. Европейска комисия, </w:t>
      </w:r>
      <w:hyperlink r:id="rId35">
        <w:r>
          <w:rPr>
            <w:sz w:val="16"/>
            <w:szCs w:val="16"/>
          </w:rPr>
          <w:t>награда за модернизиране на двигатели с цел осигуряване на чист въздух</w:t>
        </w:r>
      </w:hyperlink>
      <w:r>
        <w:rPr>
          <w:sz w:val="16"/>
          <w:szCs w:val="16"/>
        </w:rPr>
        <w:t xml:space="preserve"> — </w:t>
      </w:r>
      <w:hyperlink r:id="rId36">
        <w:r>
          <w:rPr>
            <w:rStyle w:val="Hyperlink"/>
            <w:sz w:val="16"/>
            <w:szCs w:val="16"/>
          </w:rPr>
          <w:t>Evaluation of NOx emissions, Horizon Prize</w:t>
        </w:r>
      </w:hyperlink>
      <w:r>
        <w:rPr>
          <w:sz w:val="16"/>
          <w:szCs w:val="16"/>
        </w:rPr>
        <w:t xml:space="preserve"> (Оценка на емисиите на NOx, награда „Хоризонт“). </w:t>
      </w:r>
    </w:p>
  </w:footnote>
  <w:footnote w:id="57">
    <w:p>
      <w:pPr>
        <w:pStyle w:val="FootnoteText"/>
        <w:rPr>
          <w:rFonts w:eastAsia="Times New Roman" w:cs="Times New Roman"/>
          <w:sz w:val="16"/>
          <w:szCs w:val="16"/>
        </w:rPr>
      </w:pPr>
      <w:r>
        <w:rPr>
          <w:sz w:val="16"/>
          <w:szCs w:val="16"/>
          <w:vertAlign w:val="superscript"/>
        </w:rPr>
        <w:footnoteRef/>
      </w:r>
      <w:r>
        <w:rPr>
          <w:sz w:val="16"/>
          <w:szCs w:val="16"/>
        </w:rPr>
        <w:t xml:space="preserve"> Тази констатация беше изтъкната и от Европейската сметна палата (</w:t>
      </w:r>
      <w:hyperlink r:id="rId37">
        <w:r>
          <w:rPr>
            <w:rStyle w:val="Hyperlink"/>
            <w:sz w:val="16"/>
            <w:szCs w:val="16"/>
          </w:rPr>
          <w:t>Специален доклад 23/2018</w:t>
        </w:r>
      </w:hyperlink>
      <w:r>
        <w:rPr>
          <w:sz w:val="16"/>
          <w:szCs w:val="16"/>
        </w:rPr>
        <w:t xml:space="preserve">). </w:t>
      </w:r>
    </w:p>
  </w:footnote>
  <w:footnote w:id="58">
    <w:p>
      <w:pPr>
        <w:pStyle w:val="FootnoteText"/>
        <w:rPr>
          <w:rFonts w:eastAsia="Times New Roman" w:cs="Times New Roman"/>
          <w:sz w:val="16"/>
          <w:szCs w:val="16"/>
        </w:rPr>
      </w:pPr>
      <w:r>
        <w:rPr>
          <w:sz w:val="16"/>
          <w:szCs w:val="16"/>
          <w:vertAlign w:val="superscript"/>
        </w:rPr>
        <w:footnoteRef/>
      </w:r>
      <w:r>
        <w:rPr>
          <w:sz w:val="16"/>
          <w:szCs w:val="16"/>
        </w:rPr>
        <w:t xml:space="preserve"> Австрия, Белгия, България, Германия, Гърция, Ирландия, Испания, Италия, Люксембург, Нидерландия, Обединеното кралство, Полша, Португалия, Румъния, Унгария, Франция, Хърватия и Чехия.</w:t>
      </w:r>
    </w:p>
  </w:footnote>
  <w:footnote w:id="59">
    <w:p>
      <w:pPr>
        <w:pStyle w:val="FootnoteText"/>
        <w:rPr>
          <w:rFonts w:eastAsia="Times New Roman" w:cs="Times New Roman"/>
          <w:sz w:val="16"/>
          <w:szCs w:val="16"/>
          <w:lang w:val="ru-RU"/>
        </w:rPr>
      </w:pPr>
      <w:r>
        <w:rPr>
          <w:sz w:val="16"/>
          <w:szCs w:val="16"/>
          <w:vertAlign w:val="superscript"/>
        </w:rPr>
        <w:footnoteRef/>
      </w:r>
      <w:r>
        <w:rPr>
          <w:sz w:val="16"/>
          <w:szCs w:val="16"/>
        </w:rPr>
        <w:t xml:space="preserve"> Австрия, България, Германия, Гърция, Испания, Италия, Полша, Румъния, Словакия, Словения, Унгария, Франция, Хърватия, Чехия и Швеция.</w:t>
      </w:r>
    </w:p>
  </w:footnote>
  <w:footnote w:id="60">
    <w:p>
      <w:pPr>
        <w:pStyle w:val="FootnoteText"/>
        <w:rPr>
          <w:rFonts w:eastAsia="Times New Roman" w:cs="Times New Roman"/>
          <w:sz w:val="16"/>
          <w:szCs w:val="16"/>
        </w:rPr>
      </w:pPr>
      <w:r>
        <w:rPr>
          <w:sz w:val="16"/>
          <w:szCs w:val="16"/>
          <w:vertAlign w:val="superscript"/>
        </w:rPr>
        <w:footnoteRef/>
      </w:r>
      <w:r>
        <w:rPr>
          <w:sz w:val="16"/>
          <w:szCs w:val="16"/>
        </w:rPr>
        <w:t xml:space="preserve"> Австрия, Германия, Дания, Ирландия, Испания и Хърватия.</w:t>
      </w:r>
    </w:p>
  </w:footnote>
  <w:footnote w:id="61">
    <w:p>
      <w:pPr>
        <w:pStyle w:val="FootnoteText"/>
        <w:rPr>
          <w:rFonts w:eastAsia="Times New Roman" w:cs="Times New Roman"/>
          <w:sz w:val="16"/>
          <w:szCs w:val="16"/>
        </w:rPr>
      </w:pPr>
      <w:r>
        <w:rPr>
          <w:sz w:val="16"/>
          <w:szCs w:val="16"/>
          <w:vertAlign w:val="superscript"/>
        </w:rPr>
        <w:footnoteRef/>
      </w:r>
      <w:r>
        <w:rPr>
          <w:sz w:val="16"/>
          <w:szCs w:val="16"/>
        </w:rPr>
        <w:t xml:space="preserve"> Белгия, Германия, Гърция, Испания, Италия, Кипър, Полша, Португалия, Румъния, Словакия, Франция, Чехия и Швеция.</w:t>
      </w:r>
      <w:r>
        <w:rPr>
          <w:i/>
          <w:sz w:val="16"/>
          <w:szCs w:val="16"/>
        </w:rPr>
        <w:t xml:space="preserve"> </w:t>
      </w:r>
    </w:p>
  </w:footnote>
  <w:footnote w:id="62">
    <w:p>
      <w:pPr>
        <w:pStyle w:val="FootnoteText"/>
        <w:rPr>
          <w:rFonts w:eastAsia="Times New Roman" w:cs="Times New Roman"/>
          <w:sz w:val="16"/>
          <w:szCs w:val="16"/>
        </w:rPr>
      </w:pPr>
      <w:r>
        <w:rPr>
          <w:sz w:val="16"/>
          <w:szCs w:val="16"/>
          <w:vertAlign w:val="superscript"/>
        </w:rPr>
        <w:footnoteRef/>
      </w:r>
      <w:r>
        <w:rPr>
          <w:sz w:val="16"/>
          <w:szCs w:val="16"/>
        </w:rPr>
        <w:t xml:space="preserve"> Белгия, Гърция, Испания, Италия, Португалия, Румъния и Словакия.</w:t>
      </w:r>
    </w:p>
  </w:footnote>
  <w:footnote w:id="63">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38">
        <w:r>
          <w:rPr>
            <w:rStyle w:val="Hyperlink"/>
            <w:sz w:val="16"/>
            <w:szCs w:val="16"/>
          </w:rPr>
          <w:t xml:space="preserve">Проект за регион Малополша по програмата </w:t>
        </w:r>
        <w:r>
          <w:rPr>
            <w:rStyle w:val="Hyperlink"/>
            <w:sz w:val="16"/>
            <w:szCs w:val="16"/>
            <w:lang w:val="en-GB"/>
          </w:rPr>
          <w:t>LIFE</w:t>
        </w:r>
      </w:hyperlink>
      <w:r>
        <w:rPr>
          <w:sz w:val="16"/>
          <w:szCs w:val="16"/>
        </w:rPr>
        <w:t>.</w:t>
      </w:r>
    </w:p>
  </w:footnote>
  <w:footnote w:id="64">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39">
        <w:r>
          <w:rPr>
            <w:rStyle w:val="Hyperlink"/>
            <w:sz w:val="16"/>
            <w:szCs w:val="16"/>
          </w:rPr>
          <w:t>По-чиста промишленост: Каква е ползата за вас?</w:t>
        </w:r>
      </w:hyperlink>
      <w:r>
        <w:rPr>
          <w:sz w:val="16"/>
          <w:szCs w:val="16"/>
        </w:rPr>
        <w:t xml:space="preserve">, 2018 г., стр. 2. </w:t>
      </w:r>
    </w:p>
  </w:footnote>
  <w:footnote w:id="65">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40">
        <w:r>
          <w:rPr>
            <w:rStyle w:val="Hyperlink"/>
            <w:sz w:val="16"/>
            <w:szCs w:val="16"/>
          </w:rPr>
          <w:t>Директива 2010/75/ЕС</w:t>
        </w:r>
      </w:hyperlink>
      <w:r>
        <w:rPr>
          <w:sz w:val="16"/>
          <w:szCs w:val="16"/>
        </w:rPr>
        <w:t>.</w:t>
      </w:r>
    </w:p>
  </w:footnote>
  <w:footnote w:id="66">
    <w:p>
      <w:pPr>
        <w:pStyle w:val="FootnoteText"/>
        <w:rPr>
          <w:sz w:val="16"/>
          <w:szCs w:val="16"/>
        </w:rPr>
      </w:pPr>
      <w:r>
        <w:rPr>
          <w:sz w:val="16"/>
          <w:szCs w:val="16"/>
          <w:vertAlign w:val="superscript"/>
        </w:rPr>
        <w:footnoteRef/>
      </w:r>
      <w:r>
        <w:rPr>
          <w:sz w:val="16"/>
          <w:szCs w:val="16"/>
        </w:rPr>
        <w:t xml:space="preserve"> Служба за публикации на Европейския съюз, </w:t>
      </w:r>
      <w:hyperlink r:id="rId41">
        <w:r>
          <w:rPr>
            <w:rStyle w:val="Hyperlink"/>
            <w:sz w:val="16"/>
            <w:szCs w:val="16"/>
          </w:rPr>
          <w:t>По-чиста промишленост: Каква е ползата за вас?</w:t>
        </w:r>
      </w:hyperlink>
      <w:r>
        <w:rPr>
          <w:sz w:val="16"/>
          <w:szCs w:val="16"/>
        </w:rPr>
        <w:t>, 2018 г., стр. 2.</w:t>
      </w:r>
    </w:p>
  </w:footnote>
  <w:footnote w:id="67">
    <w:p>
      <w:pPr>
        <w:pStyle w:val="FootnoteText"/>
        <w:rPr>
          <w:rFonts w:eastAsia="Times New Roman" w:cs="Times New Roman"/>
          <w:sz w:val="16"/>
          <w:szCs w:val="16"/>
        </w:rPr>
      </w:pPr>
      <w:r>
        <w:rPr>
          <w:sz w:val="16"/>
          <w:szCs w:val="16"/>
          <w:vertAlign w:val="superscript"/>
        </w:rPr>
        <w:footnoteRef/>
      </w:r>
      <w:r>
        <w:rPr>
          <w:sz w:val="16"/>
          <w:szCs w:val="16"/>
        </w:rPr>
        <w:t xml:space="preserve"> България, Гърция, Естония, Ирландия, Обединеното кралство, Португалия, Румъния, Словакия, Финландия и Чехия.</w:t>
      </w:r>
    </w:p>
  </w:footnote>
  <w:footnote w:id="68">
    <w:p>
      <w:pPr>
        <w:pStyle w:val="FootnoteText"/>
        <w:rPr>
          <w:rFonts w:eastAsia="Times New Roman" w:cs="Times New Roman"/>
          <w:sz w:val="16"/>
          <w:szCs w:val="16"/>
        </w:rPr>
      </w:pPr>
      <w:r>
        <w:rPr>
          <w:sz w:val="16"/>
          <w:szCs w:val="16"/>
          <w:vertAlign w:val="superscript"/>
        </w:rPr>
        <w:footnoteRef/>
      </w:r>
      <w:r>
        <w:rPr>
          <w:sz w:val="16"/>
          <w:szCs w:val="16"/>
        </w:rPr>
        <w:t xml:space="preserve"> Германия, Естония, Испания, Кипър, Латвия, Нидерландия и Унгария.</w:t>
      </w:r>
    </w:p>
  </w:footnote>
  <w:footnote w:id="69">
    <w:p>
      <w:pPr>
        <w:pStyle w:val="FootnoteText"/>
        <w:rPr>
          <w:rFonts w:eastAsia="Times New Roman" w:cs="Times New Roman"/>
          <w:sz w:val="16"/>
          <w:szCs w:val="16"/>
          <w:lang w:val="ru-RU"/>
        </w:rPr>
      </w:pPr>
      <w:r>
        <w:rPr>
          <w:sz w:val="16"/>
          <w:szCs w:val="16"/>
          <w:vertAlign w:val="superscript"/>
        </w:rPr>
        <w:footnoteRef/>
      </w:r>
      <w:r>
        <w:rPr>
          <w:sz w:val="16"/>
          <w:szCs w:val="16"/>
        </w:rPr>
        <w:t xml:space="preserve"> Италия и Люксембург.</w:t>
      </w:r>
    </w:p>
  </w:footnote>
  <w:footnote w:id="70">
    <w:p>
      <w:pPr>
        <w:pStyle w:val="FootnoteText"/>
        <w:rPr>
          <w:rFonts w:eastAsia="Times New Roman" w:cs="Times New Roman"/>
          <w:sz w:val="16"/>
          <w:szCs w:val="16"/>
          <w:lang w:val="ru-RU"/>
        </w:rPr>
      </w:pPr>
      <w:r>
        <w:rPr>
          <w:sz w:val="16"/>
          <w:szCs w:val="16"/>
          <w:vertAlign w:val="superscript"/>
        </w:rPr>
        <w:footnoteRef/>
      </w:r>
      <w:r>
        <w:rPr>
          <w:sz w:val="16"/>
          <w:szCs w:val="16"/>
        </w:rPr>
        <w:t xml:space="preserve"> Естония, Испания и Латвия.</w:t>
      </w:r>
    </w:p>
  </w:footnote>
  <w:footnote w:id="71">
    <w:p>
      <w:pPr>
        <w:pStyle w:val="FootnoteText"/>
        <w:rPr>
          <w:rFonts w:eastAsia="Times New Roman" w:cs="Times New Roman"/>
          <w:sz w:val="16"/>
          <w:szCs w:val="16"/>
        </w:rPr>
      </w:pPr>
      <w:r>
        <w:rPr>
          <w:sz w:val="16"/>
          <w:szCs w:val="16"/>
          <w:vertAlign w:val="superscript"/>
        </w:rPr>
        <w:footnoteRef/>
      </w:r>
      <w:r>
        <w:rPr>
          <w:sz w:val="16"/>
          <w:szCs w:val="16"/>
        </w:rPr>
        <w:t xml:space="preserve"> Това включва </w:t>
      </w:r>
      <w:hyperlink r:id="rId42">
        <w:r>
          <w:rPr>
            <w:rStyle w:val="Hyperlink"/>
            <w:sz w:val="16"/>
            <w:szCs w:val="16"/>
          </w:rPr>
          <w:t>Директивата за водите за къпане (2006/7/ЕО)</w:t>
        </w:r>
      </w:hyperlink>
      <w:r>
        <w:rPr>
          <w:sz w:val="16"/>
          <w:szCs w:val="16"/>
        </w:rPr>
        <w:t xml:space="preserve">, </w:t>
      </w:r>
      <w:hyperlink r:id="rId43">
        <w:r>
          <w:rPr>
            <w:rStyle w:val="Hyperlink"/>
            <w:sz w:val="16"/>
            <w:szCs w:val="16"/>
          </w:rPr>
          <w:t>Директивата за пречистването на градските отпадъчни води (91/271/ЕИО)</w:t>
        </w:r>
      </w:hyperlink>
      <w:r>
        <w:rPr>
          <w:sz w:val="16"/>
          <w:szCs w:val="16"/>
        </w:rPr>
        <w:t xml:space="preserve">, </w:t>
      </w:r>
      <w:hyperlink r:id="rId44">
        <w:r>
          <w:rPr>
            <w:rStyle w:val="Hyperlink"/>
            <w:sz w:val="16"/>
            <w:szCs w:val="16"/>
          </w:rPr>
          <w:t>Директива за питейната вода (98/83/ЕО)</w:t>
        </w:r>
      </w:hyperlink>
      <w:r>
        <w:rPr>
          <w:sz w:val="16"/>
          <w:szCs w:val="16"/>
        </w:rPr>
        <w:t xml:space="preserve">, </w:t>
      </w:r>
      <w:hyperlink r:id="rId45">
        <w:r>
          <w:rPr>
            <w:rStyle w:val="Hyperlink"/>
            <w:sz w:val="16"/>
            <w:szCs w:val="16"/>
          </w:rPr>
          <w:t>Рамковата директива за водите (2000/60/ЕО)</w:t>
        </w:r>
      </w:hyperlink>
      <w:r>
        <w:rPr>
          <w:sz w:val="16"/>
          <w:szCs w:val="16"/>
        </w:rPr>
        <w:t xml:space="preserve">, </w:t>
      </w:r>
      <w:hyperlink r:id="rId46">
        <w:r>
          <w:rPr>
            <w:rStyle w:val="Hyperlink"/>
            <w:sz w:val="16"/>
            <w:szCs w:val="16"/>
          </w:rPr>
          <w:t>Директивата за нитратите (91/676/ЕИО)</w:t>
        </w:r>
      </w:hyperlink>
      <w:r>
        <w:rPr>
          <w:sz w:val="16"/>
          <w:szCs w:val="16"/>
        </w:rPr>
        <w:t xml:space="preserve"> и </w:t>
      </w:r>
      <w:hyperlink r:id="rId47">
        <w:r>
          <w:rPr>
            <w:rStyle w:val="Hyperlink"/>
            <w:sz w:val="16"/>
            <w:szCs w:val="16"/>
          </w:rPr>
          <w:t>Директивата за наводненията (2007/60/ЕО)</w:t>
        </w:r>
      </w:hyperlink>
      <w:r>
        <w:rPr>
          <w:rStyle w:val="Hyperlink"/>
          <w:sz w:val="16"/>
          <w:szCs w:val="16"/>
        </w:rPr>
        <w:t>.</w:t>
      </w:r>
    </w:p>
  </w:footnote>
  <w:footnote w:id="72">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48">
        <w:r>
          <w:rPr>
            <w:rStyle w:val="Hyperlink"/>
            <w:sz w:val="16"/>
            <w:szCs w:val="16"/>
          </w:rPr>
          <w:t>Water reuse: background and policy context</w:t>
        </w:r>
      </w:hyperlink>
      <w:r>
        <w:rPr>
          <w:sz w:val="16"/>
          <w:szCs w:val="16"/>
        </w:rPr>
        <w:t xml:space="preserve"> (Повторно използване на водата: обща информация и контекст на политиката).</w:t>
      </w:r>
    </w:p>
  </w:footnote>
  <w:footnote w:id="73">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49">
        <w:r>
          <w:rPr>
            <w:rStyle w:val="Hyperlink"/>
            <w:sz w:val="16"/>
            <w:szCs w:val="16"/>
          </w:rPr>
          <w:t>Конференция на ЕС за водите 2018 г.</w:t>
        </w:r>
      </w:hyperlink>
      <w:r>
        <w:rPr>
          <w:sz w:val="16"/>
          <w:szCs w:val="16"/>
        </w:rPr>
        <w:t xml:space="preserve">, 20—21 септември 2018 г. </w:t>
      </w:r>
    </w:p>
  </w:footnote>
  <w:footnote w:id="74">
    <w:p>
      <w:pPr>
        <w:pStyle w:val="FootnoteText"/>
        <w:rPr>
          <w:rFonts w:eastAsia="Times New Roman" w:cs="Times New Roman"/>
          <w:sz w:val="16"/>
          <w:szCs w:val="16"/>
        </w:rPr>
      </w:pPr>
      <w:r>
        <w:rPr>
          <w:sz w:val="16"/>
          <w:szCs w:val="16"/>
          <w:vertAlign w:val="superscript"/>
        </w:rPr>
        <w:footnoteRef/>
      </w:r>
      <w:r>
        <w:rPr>
          <w:sz w:val="16"/>
          <w:szCs w:val="16"/>
        </w:rPr>
        <w:t xml:space="preserve"> Доклад на ЕС относно Рамковата директива за водите и Директивата за наводненията (януари 2019 г.).</w:t>
      </w:r>
    </w:p>
  </w:footnote>
  <w:footnote w:id="75">
    <w:p>
      <w:pPr>
        <w:pStyle w:val="FootnoteText"/>
        <w:rPr>
          <w:rFonts w:eastAsia="Times New Roman" w:cs="Times New Roman"/>
          <w:sz w:val="16"/>
          <w:szCs w:val="16"/>
          <w:lang w:val="ru-RU"/>
        </w:rPr>
      </w:pPr>
      <w:r>
        <w:rPr>
          <w:sz w:val="16"/>
          <w:szCs w:val="16"/>
          <w:vertAlign w:val="superscript"/>
        </w:rPr>
        <w:footnoteRef/>
      </w:r>
      <w:r>
        <w:rPr>
          <w:sz w:val="16"/>
          <w:szCs w:val="16"/>
        </w:rPr>
        <w:t xml:space="preserve"> България, Гърция, Ирландия, Испания, Италия, Кипър, Латвия, Литва, Люксембург, Малта, Полша, Португалия, Румъния, Словакия, Словения, Унгария, Франция и Хърватия.</w:t>
      </w:r>
    </w:p>
  </w:footnote>
  <w:footnote w:id="76">
    <w:p>
      <w:pPr>
        <w:pStyle w:val="FootnoteText"/>
        <w:rPr>
          <w:rFonts w:eastAsia="Times New Roman" w:cs="Times New Roman"/>
          <w:sz w:val="16"/>
          <w:szCs w:val="16"/>
          <w:lang w:val="ru-RU"/>
        </w:rPr>
      </w:pPr>
      <w:r>
        <w:rPr>
          <w:sz w:val="16"/>
          <w:szCs w:val="16"/>
          <w:vertAlign w:val="superscript"/>
        </w:rPr>
        <w:footnoteRef/>
      </w:r>
      <w:r>
        <w:rPr>
          <w:sz w:val="16"/>
          <w:szCs w:val="16"/>
        </w:rPr>
        <w:t xml:space="preserve"> По-специално Австрия, Белгия, Германия, Гърция, Дания, Естония, Испания, Италия, Кипър, Литва, Малта, Нидерландия, Обединеното кралство, Полша, Португалия, Словакия, Словения, Финландия, Франция, Чехия и Швеция.</w:t>
      </w:r>
    </w:p>
  </w:footnote>
  <w:footnote w:id="77">
    <w:p>
      <w:pPr>
        <w:pStyle w:val="FootnoteText"/>
        <w:rPr>
          <w:rFonts w:eastAsia="Times New Roman" w:cs="Times New Roman"/>
          <w:sz w:val="16"/>
          <w:szCs w:val="16"/>
        </w:rPr>
      </w:pPr>
      <w:r>
        <w:rPr>
          <w:sz w:val="16"/>
          <w:szCs w:val="16"/>
          <w:vertAlign w:val="superscript"/>
        </w:rPr>
        <w:footnoteRef/>
      </w:r>
      <w:r>
        <w:rPr>
          <w:sz w:val="16"/>
          <w:szCs w:val="16"/>
        </w:rPr>
        <w:t xml:space="preserve"> </w:t>
      </w:r>
      <w:r>
        <w:rPr>
          <w:rStyle w:val="Hyperlink"/>
          <w:sz w:val="16"/>
          <w:szCs w:val="16"/>
        </w:rPr>
        <w:t>Регламент (ЕО) № 1907/2006.</w:t>
      </w:r>
    </w:p>
  </w:footnote>
  <w:footnote w:id="78">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50">
        <w:r>
          <w:rPr>
            <w:rStyle w:val="Hyperlink"/>
            <w:sz w:val="16"/>
            <w:szCs w:val="16"/>
          </w:rPr>
          <w:t>Регламент (ЕО) № 1272/2008</w:t>
        </w:r>
      </w:hyperlink>
      <w:r>
        <w:rPr>
          <w:sz w:val="16"/>
          <w:szCs w:val="16"/>
        </w:rPr>
        <w:t>.</w:t>
      </w:r>
    </w:p>
  </w:footnote>
  <w:footnote w:id="79">
    <w:p>
      <w:pPr>
        <w:pStyle w:val="FootnoteText"/>
        <w:rPr>
          <w:rFonts w:eastAsia="Times New Roman" w:cs="Times New Roman"/>
          <w:sz w:val="16"/>
          <w:szCs w:val="16"/>
        </w:rPr>
      </w:pPr>
      <w:r>
        <w:rPr>
          <w:sz w:val="16"/>
          <w:szCs w:val="16"/>
        </w:rPr>
        <w:footnoteRef/>
      </w:r>
      <w:r>
        <w:rPr>
          <w:sz w:val="16"/>
          <w:szCs w:val="16"/>
        </w:rPr>
        <w:t xml:space="preserve"> Европейска комисия, </w:t>
      </w:r>
      <w:hyperlink r:id="rId51">
        <w:r>
          <w:rPr>
            <w:rStyle w:val="Hyperlink"/>
            <w:sz w:val="16"/>
            <w:szCs w:val="16"/>
          </w:rPr>
          <w:t>Законодателство за химикалите</w:t>
        </w:r>
      </w:hyperlink>
      <w:r>
        <w:rPr>
          <w:sz w:val="16"/>
          <w:szCs w:val="16"/>
        </w:rPr>
        <w:t xml:space="preserve">. </w:t>
      </w:r>
    </w:p>
  </w:footnote>
  <w:footnote w:id="80">
    <w:p>
      <w:pPr>
        <w:pStyle w:val="FootnoteText"/>
        <w:rPr>
          <w:rFonts w:eastAsia="Times New Roman" w:cs="Times New Roman"/>
          <w:sz w:val="16"/>
          <w:szCs w:val="16"/>
        </w:rPr>
      </w:pPr>
      <w:r>
        <w:rPr>
          <w:sz w:val="16"/>
          <w:szCs w:val="16"/>
        </w:rPr>
        <w:footnoteRef/>
      </w:r>
      <w:r>
        <w:rPr>
          <w:sz w:val="16"/>
          <w:szCs w:val="16"/>
        </w:rPr>
        <w:t xml:space="preserve"> </w:t>
      </w:r>
      <w:hyperlink r:id="rId52">
        <w:r>
          <w:rPr>
            <w:rStyle w:val="Hyperlink"/>
            <w:sz w:val="16"/>
            <w:szCs w:val="16"/>
          </w:rPr>
          <w:t>COM(2018) 116</w:t>
        </w:r>
      </w:hyperlink>
      <w:r>
        <w:rPr>
          <w:rStyle w:val="Hyperlink"/>
          <w:color w:val="auto"/>
          <w:sz w:val="16"/>
          <w:szCs w:val="16"/>
          <w:u w:val="none"/>
        </w:rPr>
        <w:t>, стр. 6 и 9</w:t>
      </w:r>
      <w:r>
        <w:rPr>
          <w:sz w:val="16"/>
          <w:szCs w:val="16"/>
        </w:rPr>
        <w:t xml:space="preserve">. </w:t>
      </w:r>
    </w:p>
  </w:footnote>
  <w:footnote w:id="81">
    <w:p>
      <w:pPr>
        <w:pStyle w:val="FootnoteText"/>
        <w:jc w:val="left"/>
        <w:rPr>
          <w:rFonts w:eastAsia="Times New Roman" w:cs="Times New Roman"/>
          <w:sz w:val="16"/>
          <w:szCs w:val="16"/>
        </w:rPr>
      </w:pPr>
      <w:r>
        <w:rPr>
          <w:sz w:val="16"/>
          <w:szCs w:val="16"/>
        </w:rPr>
        <w:footnoteRef/>
      </w:r>
      <w:r>
        <w:rPr>
          <w:sz w:val="16"/>
          <w:szCs w:val="16"/>
        </w:rPr>
        <w:t xml:space="preserve"> Правителство на Нидерландия, </w:t>
      </w:r>
      <w:hyperlink r:id="rId53" w:anchor="overlay-context=content/bijeenkomsten-en-presentaties">
        <w:r>
          <w:rPr>
            <w:rStyle w:val="Hyperlink"/>
            <w:sz w:val="16"/>
            <w:szCs w:val="16"/>
          </w:rPr>
          <w:t>Workshop towards a Safe Chemicals Innovation Agenda from Substitution to Safe-by-design</w:t>
        </w:r>
      </w:hyperlink>
      <w:r>
        <w:rPr>
          <w:sz w:val="16"/>
          <w:szCs w:val="16"/>
        </w:rPr>
        <w:t xml:space="preserve"> (Семинар за иновационната програма за безопасни химикали — от замяната до безопасност още при проектирането.</w:t>
      </w:r>
    </w:p>
  </w:footnote>
  <w:footnote w:id="82">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54">
        <w:r>
          <w:rPr>
            <w:rStyle w:val="Hyperlink"/>
            <w:sz w:val="16"/>
            <w:szCs w:val="16"/>
          </w:rPr>
          <w:t>Evaluation study of the payment for agricultural practices beneficial for the climate and the environment</w:t>
        </w:r>
      </w:hyperlink>
      <w:r>
        <w:rPr>
          <w:sz w:val="16"/>
          <w:szCs w:val="16"/>
        </w:rPr>
        <w:t xml:space="preserve"> (Проучване за оценка на плащанията за селскостопански практики, благоприятни за климата и околната среда), 2017 г. </w:t>
      </w:r>
    </w:p>
  </w:footnote>
  <w:footnote w:id="83">
    <w:p>
      <w:pPr>
        <w:pStyle w:val="FootnoteText"/>
        <w:rPr>
          <w:rFonts w:eastAsia="Times New Roman" w:cs="Times New Roman"/>
          <w:sz w:val="16"/>
          <w:szCs w:val="16"/>
        </w:rPr>
      </w:pPr>
      <w:r>
        <w:rPr>
          <w:sz w:val="16"/>
          <w:szCs w:val="16"/>
          <w:vertAlign w:val="superscript"/>
        </w:rPr>
        <w:footnoteRef/>
      </w:r>
      <w:r>
        <w:rPr>
          <w:sz w:val="16"/>
          <w:szCs w:val="16"/>
        </w:rPr>
        <w:t xml:space="preserve"> Белгия, Дания, Естония, Ирландия, Литва, Люксембург, Малта, Нидерландия, Обединеното кралство, Румъния, Финландия, Франция и Швеция. Европейска комисия, </w:t>
      </w:r>
      <w:hyperlink r:id="rId55">
        <w:r>
          <w:rPr>
            <w:rStyle w:val="Hyperlink"/>
            <w:sz w:val="16"/>
            <w:szCs w:val="16"/>
          </w:rPr>
          <w:t>Taxation Trends in the European Union</w:t>
        </w:r>
      </w:hyperlink>
      <w:r>
        <w:rPr>
          <w:sz w:val="16"/>
          <w:szCs w:val="16"/>
        </w:rPr>
        <w:t xml:space="preserve"> (Тенденции в данъчното облагане в Европейския съюз), издание от 2018 г.</w:t>
      </w:r>
    </w:p>
  </w:footnote>
  <w:footnote w:id="84">
    <w:p>
      <w:pPr>
        <w:pStyle w:val="FootnoteText"/>
        <w:rPr>
          <w:rFonts w:eastAsia="Times New Roman" w:cs="Times New Roman"/>
          <w:sz w:val="16"/>
          <w:szCs w:val="16"/>
        </w:rPr>
      </w:pPr>
      <w:r>
        <w:rPr>
          <w:sz w:val="16"/>
          <w:szCs w:val="16"/>
          <w:vertAlign w:val="superscript"/>
        </w:rPr>
        <w:footnoteRef/>
      </w:r>
      <w:r>
        <w:rPr>
          <w:sz w:val="16"/>
          <w:szCs w:val="16"/>
        </w:rPr>
        <w:t xml:space="preserve"> Белгия, Ирландия, Полша, Португалия, Словакия, Унгария, Франция и Чехия. </w:t>
      </w:r>
    </w:p>
  </w:footnote>
  <w:footnote w:id="85">
    <w:p>
      <w:pPr>
        <w:pStyle w:val="FootnoteText"/>
        <w:rPr>
          <w:rFonts w:eastAsia="Times New Roman" w:cs="Times New Roman"/>
          <w:sz w:val="16"/>
          <w:szCs w:val="16"/>
        </w:rPr>
      </w:pPr>
      <w:r>
        <w:rPr>
          <w:sz w:val="16"/>
          <w:szCs w:val="16"/>
          <w:vertAlign w:val="superscript"/>
        </w:rPr>
        <w:footnoteRef/>
      </w:r>
      <w:r>
        <w:rPr>
          <w:sz w:val="16"/>
          <w:szCs w:val="16"/>
        </w:rPr>
        <w:t xml:space="preserve"> Австрия, България, Гърция, Дания, Ирландия, Кипър, Люксембург, Малта, Финландия, Франция, Хърватия и Швеция. </w:t>
      </w:r>
    </w:p>
  </w:footnote>
  <w:footnote w:id="86">
    <w:p>
      <w:pPr>
        <w:pStyle w:val="FootnoteText"/>
        <w:rPr>
          <w:rFonts w:eastAsia="Times New Roman" w:cs="Times New Roman"/>
          <w:sz w:val="16"/>
          <w:szCs w:val="16"/>
          <w:lang w:val="ru-RU"/>
        </w:rPr>
      </w:pPr>
      <w:r>
        <w:rPr>
          <w:sz w:val="16"/>
          <w:szCs w:val="16"/>
          <w:vertAlign w:val="superscript"/>
        </w:rPr>
        <w:footnoteRef/>
      </w:r>
      <w:r>
        <w:rPr>
          <w:sz w:val="16"/>
          <w:szCs w:val="16"/>
        </w:rPr>
        <w:t xml:space="preserve"> България, Естония, Латвия, Литва, Полша, Португалия, Румъния, Словакия, Словения, Унгария и Хърватия. </w:t>
      </w:r>
    </w:p>
  </w:footnote>
  <w:footnote w:id="87">
    <w:p>
      <w:pPr>
        <w:pStyle w:val="FootnoteText"/>
        <w:rPr>
          <w:rFonts w:eastAsia="Times New Roman" w:cs="Times New Roman"/>
          <w:sz w:val="16"/>
          <w:szCs w:val="16"/>
          <w:lang w:val="ru-RU"/>
        </w:rPr>
      </w:pPr>
      <w:r>
        <w:rPr>
          <w:sz w:val="16"/>
          <w:szCs w:val="16"/>
        </w:rPr>
        <w:footnoteRef/>
      </w:r>
      <w:r>
        <w:rPr>
          <w:sz w:val="16"/>
          <w:szCs w:val="16"/>
        </w:rPr>
        <w:t xml:space="preserve"> Австрия, България, Германия, Гърция, Испания, Италия, Люксембург, Нидерландия, Обединеното кралство, Португалия, Румъния, Словения, Унгария, Финландия, Франция и Швеция.</w:t>
      </w:r>
    </w:p>
  </w:footnote>
  <w:footnote w:id="88">
    <w:p>
      <w:pPr>
        <w:pStyle w:val="FootnoteText"/>
        <w:rPr>
          <w:rFonts w:eastAsia="Times New Roman" w:cs="Times New Roman"/>
          <w:sz w:val="16"/>
          <w:szCs w:val="16"/>
          <w:lang w:val="ru-RU"/>
        </w:rPr>
      </w:pPr>
      <w:r>
        <w:rPr>
          <w:sz w:val="16"/>
          <w:szCs w:val="16"/>
        </w:rPr>
        <w:footnoteRef/>
      </w:r>
      <w:r>
        <w:rPr>
          <w:sz w:val="16"/>
          <w:szCs w:val="16"/>
        </w:rPr>
        <w:t xml:space="preserve"> Гърция, Естония, Латвия, Литва, Полша, Румъния, Словакия, Хърватия и Чехия. </w:t>
      </w:r>
    </w:p>
  </w:footnote>
  <w:footnote w:id="89">
    <w:p>
      <w:pPr>
        <w:pStyle w:val="FootnoteText"/>
        <w:rPr>
          <w:rFonts w:eastAsia="Times New Roman" w:cs="Times New Roman"/>
          <w:sz w:val="16"/>
          <w:szCs w:val="16"/>
          <w:lang w:val="ru-RU"/>
        </w:rPr>
      </w:pPr>
      <w:r>
        <w:rPr>
          <w:sz w:val="16"/>
          <w:szCs w:val="16"/>
          <w:vertAlign w:val="superscript"/>
        </w:rPr>
        <w:footnoteRef/>
      </w:r>
      <w:r>
        <w:rPr>
          <w:sz w:val="16"/>
          <w:szCs w:val="16"/>
        </w:rPr>
        <w:t xml:space="preserve"> Австрия, Белгия, Гърция, Ирландия, Испания, Италия, Кипър, Латвия, Литва, Малта, Полша, Португалия, Румъния, Словакия, Словения, Франция и Чехия.</w:t>
      </w:r>
    </w:p>
  </w:footnote>
  <w:footnote w:id="90">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56">
        <w:r>
          <w:rPr>
            <w:rStyle w:val="Hyperlink"/>
            <w:sz w:val="16"/>
            <w:szCs w:val="16"/>
          </w:rPr>
          <w:t>A Comparative Overview of Public Administration Characteristics and Performance in EU28</w:t>
        </w:r>
      </w:hyperlink>
      <w:r>
        <w:rPr>
          <w:sz w:val="16"/>
          <w:szCs w:val="16"/>
        </w:rPr>
        <w:t xml:space="preserve"> (Сравнителен преглед на характеристиките и ефективността на публичната администрация в ЕС-28).</w:t>
      </w:r>
    </w:p>
  </w:footnote>
  <w:footnote w:id="91">
    <w:p>
      <w:pPr>
        <w:pStyle w:val="FootnoteText"/>
        <w:rPr>
          <w:rFonts w:eastAsia="Times New Roman" w:cs="Times New Roman"/>
          <w:sz w:val="16"/>
          <w:szCs w:val="16"/>
        </w:rPr>
      </w:pPr>
      <w:r>
        <w:rPr>
          <w:sz w:val="16"/>
          <w:szCs w:val="16"/>
          <w:vertAlign w:val="superscript"/>
        </w:rPr>
        <w:footnoteRef/>
      </w:r>
      <w:r>
        <w:rPr>
          <w:sz w:val="16"/>
          <w:szCs w:val="16"/>
        </w:rPr>
        <w:t xml:space="preserve"> Неефективна координация между местните, регионалните и националните органи, липса на административен капацитет и недостатъчно финансиране, липса на знания и данни, недостатъчни механизми за гарантиране на спазването и липса на интегриране и съгласуваност на политиките. (вж </w:t>
      </w:r>
      <w:hyperlink r:id="rId57">
        <w:r>
          <w:rPr>
            <w:rStyle w:val="Hyperlink"/>
            <w:sz w:val="16"/>
            <w:szCs w:val="16"/>
          </w:rPr>
          <w:t>COM(2017) 63</w:t>
        </w:r>
      </w:hyperlink>
      <w:r>
        <w:rPr>
          <w:sz w:val="16"/>
          <w:szCs w:val="16"/>
        </w:rPr>
        <w:t xml:space="preserve">) </w:t>
      </w:r>
    </w:p>
  </w:footnote>
  <w:footnote w:id="92">
    <w:p>
      <w:pPr>
        <w:spacing w:after="0" w:line="240" w:lineRule="auto"/>
        <w:rPr>
          <w:rFonts w:eastAsia="Times New Roman" w:cs="Times New Roman"/>
          <w:sz w:val="16"/>
          <w:szCs w:val="16"/>
        </w:rPr>
      </w:pPr>
      <w:r>
        <w:rPr>
          <w:sz w:val="16"/>
          <w:szCs w:val="16"/>
          <w:vertAlign w:val="superscript"/>
        </w:rPr>
        <w:footnoteRef/>
      </w:r>
      <w:r>
        <w:rPr>
          <w:sz w:val="16"/>
          <w:szCs w:val="16"/>
        </w:rPr>
        <w:t xml:space="preserve"> Европейска комисия, проект за провеждане на проучване „Development of an assessment framework on environmental governance in EU Member States“ (Разработване на рамка за оценка на управлението в областта на околната среда в държавите — членки на ЕС) (вж. </w:t>
      </w:r>
      <w:hyperlink r:id="rId58">
        <w:r>
          <w:rPr>
            <w:rStyle w:val="Hyperlink"/>
            <w:sz w:val="16"/>
            <w:szCs w:val="16"/>
          </w:rPr>
          <w:t>материалите във връзка с проекта</w:t>
        </w:r>
      </w:hyperlink>
      <w:r>
        <w:rPr>
          <w:sz w:val="16"/>
          <w:szCs w:val="16"/>
        </w:rPr>
        <w:t>).</w:t>
      </w:r>
    </w:p>
  </w:footnote>
  <w:footnote w:id="93">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59">
        <w:r>
          <w:rPr>
            <w:rStyle w:val="Hyperlink"/>
            <w:sz w:val="16"/>
            <w:szCs w:val="16"/>
          </w:rPr>
          <w:t>Уебсайт на Форума по спазване на законодателството и управление в областта на околната среда</w:t>
        </w:r>
      </w:hyperlink>
      <w:r>
        <w:rPr>
          <w:sz w:val="16"/>
          <w:szCs w:val="16"/>
        </w:rPr>
        <w:t>.</w:t>
      </w:r>
    </w:p>
  </w:footnote>
  <w:footnote w:id="94">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60">
        <w:r>
          <w:rPr>
            <w:rStyle w:val="Hyperlink"/>
            <w:sz w:val="16"/>
            <w:szCs w:val="16"/>
          </w:rPr>
          <w:t>експертна група „Екологизиране на европейския семестър“/ПИПООС</w:t>
        </w:r>
      </w:hyperlink>
      <w:r>
        <w:rPr>
          <w:sz w:val="16"/>
          <w:szCs w:val="16"/>
        </w:rPr>
        <w:t>.</w:t>
      </w:r>
    </w:p>
  </w:footnote>
  <w:footnote w:id="95">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61">
        <w:r>
          <w:rPr>
            <w:rStyle w:val="Hyperlink"/>
            <w:sz w:val="16"/>
            <w:szCs w:val="16"/>
          </w:rPr>
          <w:t>Конвеция от Орхус</w:t>
        </w:r>
      </w:hyperlink>
      <w:r>
        <w:rPr>
          <w:sz w:val="16"/>
          <w:szCs w:val="16"/>
        </w:rPr>
        <w:t>.</w:t>
      </w:r>
    </w:p>
  </w:footnote>
  <w:footnote w:id="96">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62">
        <w:r>
          <w:rPr>
            <w:rStyle w:val="Hyperlink"/>
            <w:sz w:val="16"/>
            <w:szCs w:val="16"/>
          </w:rPr>
          <w:t>COM(2017) 2616</w:t>
        </w:r>
      </w:hyperlink>
      <w:r>
        <w:rPr>
          <w:sz w:val="16"/>
          <w:szCs w:val="16"/>
        </w:rPr>
        <w:t>.</w:t>
      </w:r>
    </w:p>
  </w:footnote>
  <w:footnote w:id="97">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63">
        <w:r>
          <w:rPr>
            <w:rStyle w:val="Hyperlink"/>
            <w:sz w:val="16"/>
            <w:szCs w:val="16"/>
          </w:rPr>
          <w:t>COM(2018) 10</w:t>
        </w:r>
      </w:hyperlink>
      <w:r>
        <w:rPr>
          <w:sz w:val="16"/>
          <w:szCs w:val="16"/>
        </w:rPr>
        <w:t>.</w:t>
      </w:r>
    </w:p>
  </w:footnote>
  <w:footnote w:id="98">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64">
        <w:r>
          <w:rPr>
            <w:rStyle w:val="Hyperlink"/>
            <w:sz w:val="16"/>
            <w:szCs w:val="16"/>
          </w:rPr>
          <w:t>Регламент (ЕС) 2018/1999</w:t>
        </w:r>
      </w:hyperlink>
      <w:r>
        <w:rPr>
          <w:sz w:val="16"/>
          <w:szCs w:val="16"/>
        </w:rPr>
        <w:t>.</w:t>
      </w:r>
    </w:p>
  </w:footnote>
  <w:footnote w:id="99">
    <w:p>
      <w:pPr>
        <w:pStyle w:val="FootnoteText"/>
        <w:rPr>
          <w:rFonts w:eastAsia="Times New Roman" w:cs="Times New Roman"/>
          <w:sz w:val="16"/>
          <w:szCs w:val="16"/>
        </w:rPr>
      </w:pPr>
      <w:r>
        <w:rPr>
          <w:sz w:val="16"/>
          <w:szCs w:val="16"/>
          <w:vertAlign w:val="superscript"/>
        </w:rPr>
        <w:footnoteRef/>
      </w:r>
      <w:r>
        <w:rPr>
          <w:sz w:val="16"/>
          <w:szCs w:val="16"/>
        </w:rPr>
        <w:t xml:space="preserve"> Съвет на Европейския съюз, </w:t>
      </w:r>
      <w:hyperlink r:id="rId65">
        <w:r>
          <w:rPr>
            <w:rStyle w:val="Hyperlink"/>
            <w:sz w:val="16"/>
            <w:szCs w:val="16"/>
          </w:rPr>
          <w:t>Заключения на Съвета за определяне на приоритетите на ЕС в борбата срещу организираната и тежката международна престъпност за периода 2018—2021 г.</w:t>
        </w:r>
      </w:hyperlink>
      <w:r>
        <w:rPr>
          <w:sz w:val="16"/>
          <w:szCs w:val="16"/>
        </w:rPr>
        <w:t xml:space="preserve"> </w:t>
      </w:r>
    </w:p>
  </w:footnote>
  <w:footnote w:id="100">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66">
        <w:r>
          <w:rPr>
            <w:rStyle w:val="Hyperlink"/>
            <w:sz w:val="16"/>
            <w:szCs w:val="16"/>
          </w:rPr>
          <w:t>Мрежа на Европейския съюз за изпълнение и прилагане на законодателството в областта на околната среда</w:t>
        </w:r>
      </w:hyperlink>
      <w:r>
        <w:rPr>
          <w:sz w:val="16"/>
          <w:szCs w:val="16"/>
        </w:rPr>
        <w:t>.</w:t>
      </w:r>
    </w:p>
  </w:footnote>
  <w:footnote w:id="101">
    <w:p>
      <w:pPr>
        <w:pStyle w:val="FootnoteText"/>
        <w:rPr>
          <w:rFonts w:eastAsia="Times New Roman" w:cs="Times New Roman"/>
          <w:sz w:val="16"/>
          <w:szCs w:val="16"/>
        </w:rPr>
      </w:pPr>
      <w:r>
        <w:rPr>
          <w:sz w:val="16"/>
          <w:szCs w:val="16"/>
          <w:vertAlign w:val="superscript"/>
        </w:rPr>
        <w:footnoteRef/>
      </w:r>
      <w:r>
        <w:rPr>
          <w:sz w:val="16"/>
          <w:szCs w:val="16"/>
        </w:rPr>
        <w:t xml:space="preserve"> Например </w:t>
      </w:r>
      <w:hyperlink r:id="rId67">
        <w:r>
          <w:rPr>
            <w:rStyle w:val="Hyperlink"/>
            <w:sz w:val="16"/>
            <w:szCs w:val="16"/>
          </w:rPr>
          <w:t>План за действие за електронно управление</w:t>
        </w:r>
      </w:hyperlink>
      <w:r>
        <w:rPr>
          <w:sz w:val="16"/>
          <w:szCs w:val="16"/>
        </w:rPr>
        <w:t xml:space="preserve">, </w:t>
      </w:r>
      <w:hyperlink r:id="rId68">
        <w:r>
          <w:rPr>
            <w:rStyle w:val="Hyperlink"/>
            <w:sz w:val="16"/>
            <w:szCs w:val="16"/>
          </w:rPr>
          <w:t>План за действие за спазване на законодателството и управление в областта на околната среда</w:t>
        </w:r>
      </w:hyperlink>
      <w:r>
        <w:rPr>
          <w:sz w:val="16"/>
          <w:szCs w:val="16"/>
        </w:rPr>
        <w:t xml:space="preserve"> и </w:t>
      </w:r>
      <w:hyperlink r:id="rId69">
        <w:r>
          <w:rPr>
            <w:rStyle w:val="Hyperlink"/>
            <w:sz w:val="16"/>
            <w:szCs w:val="16"/>
          </w:rPr>
          <w:t>Наръчник за качеството на публичната администрация</w:t>
        </w:r>
      </w:hyperlink>
      <w:r>
        <w:rPr>
          <w:sz w:val="16"/>
          <w:szCs w:val="16"/>
        </w:rPr>
        <w:t xml:space="preserve">. </w:t>
      </w:r>
    </w:p>
  </w:footnote>
  <w:footnote w:id="102">
    <w:p>
      <w:pPr>
        <w:pStyle w:val="FootnoteText"/>
        <w:rPr>
          <w:rFonts w:eastAsia="Times New Roman" w:cs="Times New Roman"/>
          <w:sz w:val="16"/>
          <w:szCs w:val="16"/>
        </w:rPr>
      </w:pPr>
      <w:r>
        <w:rPr>
          <w:sz w:val="16"/>
          <w:szCs w:val="16"/>
          <w:vertAlign w:val="superscript"/>
        </w:rPr>
        <w:footnoteRef/>
      </w:r>
      <w:r>
        <w:rPr>
          <w:sz w:val="16"/>
          <w:szCs w:val="16"/>
        </w:rPr>
        <w:t xml:space="preserve"> INSPIRE: Инфраструктура за пространствена информация в Европейската общност.</w:t>
      </w:r>
    </w:p>
  </w:footnote>
  <w:footnote w:id="103">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70">
        <w:r>
          <w:rPr>
            <w:rStyle w:val="Hyperlink"/>
            <w:sz w:val="16"/>
            <w:szCs w:val="16"/>
          </w:rPr>
          <w:t>Директива 2007/2/ЕО</w:t>
        </w:r>
      </w:hyperlink>
      <w:r>
        <w:rPr>
          <w:sz w:val="16"/>
          <w:szCs w:val="16"/>
        </w:rPr>
        <w:t xml:space="preserve">, </w:t>
      </w:r>
      <w:hyperlink r:id="rId71">
        <w:r>
          <w:rPr>
            <w:rStyle w:val="Hyperlink"/>
            <w:sz w:val="16"/>
            <w:szCs w:val="16"/>
          </w:rPr>
          <w:t>Директива 2003/4/ЕО</w:t>
        </w:r>
      </w:hyperlink>
      <w:r>
        <w:rPr>
          <w:sz w:val="16"/>
          <w:szCs w:val="16"/>
        </w:rPr>
        <w:t xml:space="preserve">, </w:t>
      </w:r>
      <w:hyperlink r:id="rId72">
        <w:r>
          <w:rPr>
            <w:rStyle w:val="Hyperlink"/>
            <w:sz w:val="16"/>
            <w:szCs w:val="16"/>
          </w:rPr>
          <w:t>Директива 2013/37/ЕС</w:t>
        </w:r>
      </w:hyperlink>
      <w:r>
        <w:rPr>
          <w:sz w:val="16"/>
          <w:szCs w:val="16"/>
        </w:rPr>
        <w:t xml:space="preserve">. Чрез специален проект понастоящем се анализират по-подробно националните информационни системи за околната среда и се подготвят насоки за добри практики: Европейска комисия, </w:t>
      </w:r>
      <w:hyperlink r:id="rId73">
        <w:r>
          <w:rPr>
            <w:rStyle w:val="Hyperlink"/>
            <w:sz w:val="16"/>
            <w:szCs w:val="16"/>
          </w:rPr>
          <w:t>Данни от информационната система за околната среда</w:t>
        </w:r>
      </w:hyperlink>
      <w:r>
        <w:rPr>
          <w:sz w:val="16"/>
          <w:szCs w:val="16"/>
        </w:rPr>
        <w:t xml:space="preserve">. </w:t>
      </w:r>
    </w:p>
  </w:footnote>
  <w:footnote w:id="104">
    <w:p>
      <w:pPr>
        <w:pStyle w:val="FootnoteText"/>
        <w:rPr>
          <w:rFonts w:eastAsia="Times New Roman" w:cs="Times New Roman"/>
          <w:sz w:val="16"/>
          <w:szCs w:val="16"/>
        </w:rPr>
      </w:pPr>
      <w:r>
        <w:rPr>
          <w:sz w:val="16"/>
          <w:szCs w:val="16"/>
          <w:vertAlign w:val="superscript"/>
        </w:rPr>
        <w:footnoteRef/>
      </w:r>
      <w:r>
        <w:rPr>
          <w:sz w:val="16"/>
          <w:szCs w:val="16"/>
        </w:rPr>
        <w:t xml:space="preserve"> България, Ирландия, Кипър, Литва, Люксембург, Малта, Полша, Румъния, Унгария, Финландия и Хърватия.</w:t>
      </w:r>
    </w:p>
  </w:footnote>
  <w:footnote w:id="105">
    <w:p>
      <w:pPr>
        <w:pStyle w:val="FootnoteText"/>
        <w:rPr>
          <w:rFonts w:eastAsia="Times New Roman" w:cs="Times New Roman"/>
          <w:sz w:val="16"/>
          <w:szCs w:val="16"/>
          <w:lang w:val="ru-RU"/>
        </w:rPr>
      </w:pPr>
      <w:r>
        <w:rPr>
          <w:sz w:val="16"/>
          <w:szCs w:val="16"/>
          <w:vertAlign w:val="superscript"/>
        </w:rPr>
        <w:footnoteRef/>
      </w:r>
      <w:r>
        <w:rPr>
          <w:sz w:val="16"/>
          <w:szCs w:val="16"/>
        </w:rPr>
        <w:t xml:space="preserve"> Австрия, Белгия, България, Германия, Гърция, Дания, Естония, Ирландия, Италия, Кипър, Латвия, Литва, Люксембург, Малта, Нидерландия, Обединеното кралство, Полша, Румъния, Словакия, Словения, Унгария, Финландия, Франция, Хърватия, Чехия и Швеция.</w:t>
      </w:r>
    </w:p>
  </w:footnote>
  <w:footnote w:id="106">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74">
        <w:r>
          <w:rPr>
            <w:rStyle w:val="Hyperlink"/>
            <w:sz w:val="16"/>
            <w:szCs w:val="16"/>
          </w:rPr>
          <w:t>Седма програма за действие за околната среда за периода 2014—2020 г.</w:t>
        </w:r>
      </w:hyperlink>
      <w:r>
        <w:rPr>
          <w:sz w:val="16"/>
          <w:szCs w:val="16"/>
        </w:rPr>
        <w:t xml:space="preserve"> </w:t>
      </w:r>
    </w:p>
  </w:footnote>
  <w:footnote w:id="107">
    <w:p>
      <w:pPr>
        <w:pStyle w:val="FootnoteText"/>
        <w:rPr>
          <w:sz w:val="16"/>
          <w:szCs w:val="16"/>
        </w:rPr>
      </w:pPr>
      <w:r>
        <w:rPr>
          <w:sz w:val="16"/>
          <w:szCs w:val="16"/>
          <w:vertAlign w:val="superscript"/>
        </w:rPr>
        <w:footnoteRef/>
      </w:r>
      <w:r>
        <w:rPr>
          <w:sz w:val="16"/>
          <w:szCs w:val="16"/>
        </w:rPr>
        <w:t xml:space="preserve"> </w:t>
      </w:r>
      <w:hyperlink r:id="rId75">
        <w:r>
          <w:rPr>
            <w:rStyle w:val="Hyperlink"/>
            <w:sz w:val="16"/>
            <w:szCs w:val="16"/>
          </w:rPr>
          <w:t>COM(2015) 614</w:t>
        </w:r>
      </w:hyperlink>
      <w:r>
        <w:rPr>
          <w:rStyle w:val="Hyperlink"/>
          <w:sz w:val="16"/>
          <w:szCs w:val="16"/>
        </w:rPr>
        <w:t xml:space="preserve"> </w:t>
      </w:r>
    </w:p>
  </w:footnote>
  <w:footnote w:id="108">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76">
        <w:r>
          <w:rPr>
            <w:rStyle w:val="Hyperlink"/>
            <w:sz w:val="16"/>
            <w:szCs w:val="16"/>
          </w:rPr>
          <w:t>Agriculture and Sustainable Water Management in the EU</w:t>
        </w:r>
      </w:hyperlink>
      <w:r>
        <w:rPr>
          <w:sz w:val="16"/>
          <w:szCs w:val="16"/>
        </w:rPr>
        <w:t xml:space="preserve"> (Селско стопанство и устойчиво управление на водите в ЕС), 2017 г. </w:t>
      </w:r>
    </w:p>
  </w:footnote>
  <w:footnote w:id="109">
    <w:p>
      <w:pPr>
        <w:pStyle w:val="FootnoteText"/>
        <w:rPr>
          <w:rFonts w:eastAsia="Times New Roman" w:cs="Times New Roman"/>
          <w:sz w:val="16"/>
          <w:szCs w:val="16"/>
        </w:rPr>
      </w:pPr>
      <w:r>
        <w:rPr>
          <w:sz w:val="16"/>
          <w:szCs w:val="16"/>
          <w:vertAlign w:val="superscript"/>
        </w:rPr>
        <w:footnoteRef/>
      </w:r>
      <w:r>
        <w:rPr>
          <w:sz w:val="16"/>
          <w:szCs w:val="16"/>
        </w:rPr>
        <w:t xml:space="preserve"> Гърция, Испания и Италия.</w:t>
      </w:r>
    </w:p>
  </w:footnote>
  <w:footnote w:id="110">
    <w:p>
      <w:pPr>
        <w:pStyle w:val="FootnoteText"/>
        <w:rPr>
          <w:rFonts w:eastAsia="Times New Roman" w:cs="Times New Roman"/>
          <w:sz w:val="16"/>
          <w:szCs w:val="16"/>
        </w:rPr>
      </w:pPr>
      <w:r>
        <w:rPr>
          <w:sz w:val="16"/>
          <w:szCs w:val="16"/>
          <w:vertAlign w:val="superscript"/>
        </w:rPr>
        <w:footnoteRef/>
      </w:r>
      <w:r>
        <w:rPr>
          <w:sz w:val="16"/>
          <w:szCs w:val="16"/>
        </w:rPr>
        <w:t xml:space="preserve"> Германия и Литва.</w:t>
      </w:r>
    </w:p>
  </w:footnote>
  <w:footnote w:id="111">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агенция за околна среда, </w:t>
      </w:r>
      <w:hyperlink r:id="rId77">
        <w:r>
          <w:rPr>
            <w:rStyle w:val="Hyperlink"/>
            <w:sz w:val="16"/>
            <w:szCs w:val="16"/>
          </w:rPr>
          <w:t>Report on the State of the Environment</w:t>
        </w:r>
      </w:hyperlink>
      <w:r>
        <w:rPr>
          <w:sz w:val="16"/>
          <w:szCs w:val="16"/>
        </w:rPr>
        <w:t xml:space="preserve"> (Доклад относно състоянието на околната среда), 2015 г.</w:t>
      </w:r>
    </w:p>
  </w:footnote>
  <w:footnote w:id="112">
    <w:p>
      <w:pPr>
        <w:pStyle w:val="FootnoteText"/>
        <w:rPr>
          <w:sz w:val="16"/>
          <w:szCs w:val="16"/>
        </w:rPr>
      </w:pPr>
      <w:r>
        <w:rPr>
          <w:sz w:val="16"/>
          <w:szCs w:val="16"/>
          <w:vertAlign w:val="superscript"/>
        </w:rPr>
        <w:footnoteRef/>
      </w:r>
      <w:r>
        <w:rPr>
          <w:sz w:val="16"/>
          <w:szCs w:val="16"/>
        </w:rPr>
        <w:t xml:space="preserve"> Европейска агенция за околна среда, </w:t>
      </w:r>
      <w:hyperlink r:id="rId78">
        <w:r>
          <w:rPr>
            <w:rStyle w:val="Hyperlink"/>
            <w:sz w:val="16"/>
            <w:szCs w:val="16"/>
          </w:rPr>
          <w:t>Environmental Indicator Report 2018</w:t>
        </w:r>
      </w:hyperlink>
      <w:r>
        <w:rPr>
          <w:sz w:val="16"/>
          <w:szCs w:val="16"/>
        </w:rPr>
        <w:t xml:space="preserve"> (Доклад за показателите за околната среда от 2018 г.). </w:t>
      </w:r>
    </w:p>
  </w:footnote>
  <w:footnote w:id="113">
    <w:p>
      <w:pPr>
        <w:pStyle w:val="FootnoteText"/>
        <w:rPr>
          <w:rFonts w:eastAsia="Times New Roman" w:cs="Times New Roman"/>
          <w:sz w:val="16"/>
          <w:szCs w:val="16"/>
        </w:rPr>
      </w:pPr>
      <w:r>
        <w:rPr>
          <w:sz w:val="16"/>
          <w:szCs w:val="16"/>
          <w:vertAlign w:val="superscript"/>
        </w:rPr>
        <w:footnoteRef/>
      </w:r>
      <w:r>
        <w:rPr>
          <w:sz w:val="16"/>
          <w:szCs w:val="16"/>
        </w:rPr>
        <w:t xml:space="preserve"> В ориентирания към връзките подход, посочен в съобщението на Комисията „Следващи стъпки към устойчиво европейско бъдеще: Европейски действия за устойчивост“, </w:t>
      </w:r>
      <w:hyperlink r:id="rId79">
        <w:r>
          <w:rPr>
            <w:rStyle w:val="Hyperlink"/>
            <w:sz w:val="16"/>
            <w:szCs w:val="16"/>
          </w:rPr>
          <w:t>COM(2016) 739</w:t>
        </w:r>
      </w:hyperlink>
      <w:r>
        <w:rPr>
          <w:sz w:val="16"/>
          <w:szCs w:val="16"/>
        </w:rPr>
        <w:t xml:space="preserve">, се разглеждат взаимосвързаността и взаимозависимостта между различните предизвикателства. </w:t>
      </w:r>
    </w:p>
  </w:footnote>
  <w:footnote w:id="114">
    <w:p>
      <w:pPr>
        <w:pStyle w:val="FootnoteText"/>
        <w:rPr>
          <w:sz w:val="16"/>
          <w:szCs w:val="16"/>
        </w:rPr>
      </w:pPr>
      <w:r>
        <w:rPr>
          <w:sz w:val="16"/>
          <w:szCs w:val="16"/>
          <w:vertAlign w:val="superscript"/>
        </w:rPr>
        <w:footnoteRef/>
      </w:r>
      <w:r>
        <w:rPr>
          <w:sz w:val="16"/>
          <w:szCs w:val="16"/>
        </w:rPr>
        <w:t xml:space="preserve"> Например </w:t>
      </w:r>
      <w:hyperlink r:id="rId80">
        <w:r>
          <w:rPr>
            <w:rStyle w:val="Hyperlink"/>
            <w:sz w:val="16"/>
            <w:szCs w:val="16"/>
          </w:rPr>
          <w:t>Quality of Public Administration — A Toolbox for Practitioners</w:t>
        </w:r>
      </w:hyperlink>
      <w:r>
        <w:rPr>
          <w:sz w:val="16"/>
          <w:szCs w:val="16"/>
        </w:rPr>
        <w:t xml:space="preserve"> (Качество на публичната администрация — инструментариум за практикуващи специалисти) и проучването </w:t>
      </w:r>
      <w:hyperlink r:id="rId81">
        <w:r>
          <w:rPr>
            <w:rStyle w:val="Hyperlink"/>
            <w:sz w:val="16"/>
            <w:szCs w:val="16"/>
          </w:rPr>
          <w:t>Public administration characteristics and performance in EU28</w:t>
        </w:r>
      </w:hyperlink>
      <w:r>
        <w:rPr>
          <w:sz w:val="16"/>
          <w:szCs w:val="16"/>
        </w:rPr>
        <w:t xml:space="preserve"> (Характеристики и ефективност на публичната администрация в ЕС-28). </w:t>
      </w:r>
    </w:p>
  </w:footnote>
  <w:footnote w:id="115">
    <w:p>
      <w:pPr>
        <w:pStyle w:val="FootnoteText"/>
        <w:rPr>
          <w:sz w:val="16"/>
          <w:szCs w:val="16"/>
          <w:lang w:val="ru-RU"/>
        </w:rPr>
      </w:pPr>
      <w:r>
        <w:rPr>
          <w:sz w:val="16"/>
          <w:szCs w:val="16"/>
          <w:vertAlign w:val="superscript"/>
        </w:rPr>
        <w:footnoteRef/>
      </w:r>
      <w:r>
        <w:rPr>
          <w:sz w:val="16"/>
          <w:szCs w:val="16"/>
        </w:rPr>
        <w:t xml:space="preserve"> Европейска комисия, </w:t>
      </w:r>
      <w:hyperlink r:id="rId82">
        <w:r>
          <w:rPr>
            <w:rStyle w:val="Hyperlink"/>
            <w:sz w:val="16"/>
            <w:szCs w:val="16"/>
          </w:rPr>
          <w:t>Портал за отворени данни на ЕС</w:t>
        </w:r>
      </w:hyperlink>
      <w:r>
        <w:rPr>
          <w:sz w:val="16"/>
          <w:szCs w:val="16"/>
        </w:rPr>
        <w:t>.</w:t>
      </w:r>
    </w:p>
  </w:footnote>
  <w:footnote w:id="116">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83">
        <w:r>
          <w:rPr>
            <w:rStyle w:val="Hyperlink"/>
            <w:sz w:val="16"/>
            <w:szCs w:val="16"/>
          </w:rPr>
          <w:t>COM(2018) 330</w:t>
        </w:r>
      </w:hyperlink>
      <w:r>
        <w:rPr>
          <w:sz w:val="16"/>
          <w:szCs w:val="16"/>
        </w:rPr>
        <w:t>.</w:t>
      </w:r>
    </w:p>
  </w:footnote>
  <w:footnote w:id="117">
    <w:p>
      <w:pPr>
        <w:pStyle w:val="FootnoteText"/>
        <w:rPr>
          <w:rFonts w:eastAsia="Times New Roman" w:cs="Times New Roman"/>
          <w:sz w:val="16"/>
          <w:szCs w:val="16"/>
        </w:rPr>
      </w:pPr>
      <w:r>
        <w:rPr>
          <w:sz w:val="16"/>
          <w:szCs w:val="16"/>
          <w:vertAlign w:val="superscript"/>
        </w:rPr>
        <w:footnoteRef/>
      </w:r>
      <w:r>
        <w:rPr>
          <w:sz w:val="16"/>
          <w:szCs w:val="16"/>
        </w:rPr>
        <w:t xml:space="preserve"> </w:t>
      </w:r>
      <w:hyperlink r:id="rId84">
        <w:r>
          <w:rPr>
            <w:rStyle w:val="Hyperlink"/>
            <w:sz w:val="16"/>
            <w:szCs w:val="16"/>
          </w:rPr>
          <w:t>SWD(2017) 153</w:t>
        </w:r>
      </w:hyperlink>
      <w:r>
        <w:rPr>
          <w:sz w:val="16"/>
          <w:szCs w:val="16"/>
        </w:rPr>
        <w:t xml:space="preserve">. </w:t>
      </w:r>
    </w:p>
  </w:footnote>
  <w:footnote w:id="118">
    <w:p>
      <w:pPr>
        <w:pStyle w:val="Default"/>
        <w:ind w:left="142" w:hanging="142"/>
        <w:rPr>
          <w:rFonts w:ascii="Times New Roman" w:eastAsia="Times New Roman" w:hAnsi="Times New Roman" w:cs="Times New Roman"/>
          <w:sz w:val="16"/>
          <w:szCs w:val="16"/>
        </w:rPr>
      </w:pPr>
      <w:r>
        <w:rPr>
          <w:rFonts w:ascii="Times New Roman" w:hAnsi="Times New Roman"/>
          <w:sz w:val="16"/>
          <w:szCs w:val="16"/>
          <w:vertAlign w:val="superscript"/>
        </w:rPr>
        <w:footnoteRef/>
      </w:r>
      <w:r>
        <w:rPr>
          <w:rFonts w:ascii="Times New Roman" w:hAnsi="Times New Roman"/>
          <w:sz w:val="16"/>
          <w:szCs w:val="16"/>
        </w:rPr>
        <w:t xml:space="preserve"> </w:t>
      </w:r>
      <w:hyperlink r:id="rId85">
        <w:r>
          <w:rPr>
            <w:rStyle w:val="Hyperlink"/>
            <w:rFonts w:ascii="Times New Roman" w:hAnsi="Times New Roman"/>
            <w:sz w:val="16"/>
            <w:szCs w:val="16"/>
          </w:rPr>
          <w:t>COM(2017) 198</w:t>
        </w:r>
      </w:hyperlink>
      <w:r>
        <w:rPr>
          <w:rFonts w:ascii="Times New Roman" w:hAnsi="Times New Roman"/>
          <w:sz w:val="16"/>
          <w:szCs w:val="16"/>
        </w:rPr>
        <w:t xml:space="preserve"> </w:t>
      </w:r>
      <w:r>
        <w:rPr>
          <w:rStyle w:val="Hyperlink"/>
          <w:rFonts w:ascii="Times New Roman" w:hAnsi="Times New Roman"/>
          <w:color w:val="auto"/>
          <w:sz w:val="16"/>
          <w:szCs w:val="16"/>
          <w:u w:val="none"/>
        </w:rPr>
        <w:t>и</w:t>
      </w:r>
      <w:r>
        <w:rPr>
          <w:rStyle w:val="Hyperlink"/>
          <w:rFonts w:ascii="Times New Roman" w:hAnsi="Times New Roman"/>
          <w:color w:val="auto"/>
          <w:sz w:val="16"/>
          <w:szCs w:val="16"/>
        </w:rPr>
        <w:t xml:space="preserve"> </w:t>
      </w:r>
      <w:hyperlink r:id="rId86">
        <w:r>
          <w:rPr>
            <w:rStyle w:val="Hyperlink"/>
            <w:rFonts w:ascii="Times New Roman" w:hAnsi="Times New Roman"/>
            <w:sz w:val="16"/>
            <w:szCs w:val="16"/>
          </w:rPr>
          <w:t>SWD(2017) 139</w:t>
        </w:r>
      </w:hyperlink>
      <w:r>
        <w:rPr>
          <w:rFonts w:ascii="Times New Roman" w:hAnsi="Times New Roman"/>
          <w:sz w:val="16"/>
          <w:szCs w:val="16"/>
        </w:rPr>
        <w:t>.</w:t>
      </w:r>
    </w:p>
  </w:footnote>
  <w:footnote w:id="119">
    <w:p>
      <w:pPr>
        <w:pStyle w:val="FootnoteText"/>
        <w:rPr>
          <w:rFonts w:eastAsia="Times New Roman" w:cs="Times New Roman"/>
          <w:sz w:val="16"/>
          <w:szCs w:val="16"/>
        </w:rPr>
      </w:pPr>
      <w:r>
        <w:rPr>
          <w:sz w:val="16"/>
          <w:szCs w:val="16"/>
          <w:vertAlign w:val="superscript"/>
        </w:rPr>
        <w:footnoteRef/>
      </w:r>
      <w:r>
        <w:rPr>
          <w:sz w:val="16"/>
          <w:szCs w:val="16"/>
        </w:rPr>
        <w:t xml:space="preserve"> Европейска комисия, </w:t>
      </w:r>
      <w:hyperlink r:id="rId87">
        <w:r>
          <w:rPr>
            <w:rStyle w:val="Hyperlink"/>
            <w:sz w:val="16"/>
            <w:szCs w:val="16"/>
          </w:rPr>
          <w:t>Доклад за прилагането на законодателството относно отпадъците, включително за доклада за ранно предупреждение</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278"/>
    <w:multiLevelType w:val="hybridMultilevel"/>
    <w:tmpl w:val="D4F4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C05162"/>
    <w:multiLevelType w:val="hybridMultilevel"/>
    <w:tmpl w:val="BDAE5EE4"/>
    <w:lvl w:ilvl="0" w:tplc="BB24E05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4442E9"/>
    <w:multiLevelType w:val="hybridMultilevel"/>
    <w:tmpl w:val="34700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9B611B"/>
    <w:multiLevelType w:val="hybridMultilevel"/>
    <w:tmpl w:val="7826A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2F4EE0"/>
    <w:multiLevelType w:val="hybridMultilevel"/>
    <w:tmpl w:val="84EE3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69F"/>
    <w:multiLevelType w:val="multilevel"/>
    <w:tmpl w:val="64F0E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EB2B87"/>
    <w:multiLevelType w:val="hybridMultilevel"/>
    <w:tmpl w:val="1672908A"/>
    <w:lvl w:ilvl="0" w:tplc="D4F4158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A7A6E2F"/>
    <w:multiLevelType w:val="multilevel"/>
    <w:tmpl w:val="E954C2A2"/>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EE20077"/>
    <w:multiLevelType w:val="hybridMultilevel"/>
    <w:tmpl w:val="23B4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FCF503B"/>
    <w:multiLevelType w:val="hybridMultilevel"/>
    <w:tmpl w:val="6EB4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B718EA"/>
    <w:multiLevelType w:val="hybridMultilevel"/>
    <w:tmpl w:val="1FDE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12053C"/>
    <w:multiLevelType w:val="hybridMultilevel"/>
    <w:tmpl w:val="837CC254"/>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nsid w:val="3AF87101"/>
    <w:multiLevelType w:val="hybridMultilevel"/>
    <w:tmpl w:val="98C66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077000"/>
    <w:multiLevelType w:val="hybridMultilevel"/>
    <w:tmpl w:val="1E90F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F7D588C"/>
    <w:multiLevelType w:val="hybridMultilevel"/>
    <w:tmpl w:val="80AC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372BC"/>
    <w:multiLevelType w:val="hybridMultilevel"/>
    <w:tmpl w:val="F03A9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5C69AC"/>
    <w:multiLevelType w:val="hybridMultilevel"/>
    <w:tmpl w:val="66624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2A67A5A"/>
    <w:multiLevelType w:val="hybridMultilevel"/>
    <w:tmpl w:val="4454B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D80502F"/>
    <w:multiLevelType w:val="multilevel"/>
    <w:tmpl w:val="53D6A3A8"/>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E336C05"/>
    <w:multiLevelType w:val="hybridMultilevel"/>
    <w:tmpl w:val="22A46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7D0266F"/>
    <w:multiLevelType w:val="hybridMultilevel"/>
    <w:tmpl w:val="380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11"/>
  </w:num>
  <w:num w:numId="5">
    <w:abstractNumId w:val="19"/>
  </w:num>
  <w:num w:numId="6">
    <w:abstractNumId w:val="8"/>
  </w:num>
  <w:num w:numId="7">
    <w:abstractNumId w:val="0"/>
  </w:num>
  <w:num w:numId="8">
    <w:abstractNumId w:val="10"/>
  </w:num>
  <w:num w:numId="9">
    <w:abstractNumId w:val="12"/>
  </w:num>
  <w:num w:numId="10">
    <w:abstractNumId w:val="5"/>
  </w:num>
  <w:num w:numId="11">
    <w:abstractNumId w:val="1"/>
  </w:num>
  <w:num w:numId="12">
    <w:abstractNumId w:val="3"/>
  </w:num>
  <w:num w:numId="13">
    <w:abstractNumId w:val="14"/>
  </w:num>
  <w:num w:numId="14">
    <w:abstractNumId w:val="17"/>
  </w:num>
  <w:num w:numId="15">
    <w:abstractNumId w:val="9"/>
  </w:num>
  <w:num w:numId="16">
    <w:abstractNumId w:val="9"/>
  </w:num>
  <w:num w:numId="17">
    <w:abstractNumId w:val="9"/>
  </w:num>
  <w:num w:numId="18">
    <w:abstractNumId w:val="7"/>
  </w:num>
  <w:num w:numId="19">
    <w:abstractNumId w:val="15"/>
  </w:num>
  <w:num w:numId="20">
    <w:abstractNumId w:val="2"/>
  </w:num>
  <w:num w:numId="21">
    <w:abstractNumId w:val="16"/>
  </w:num>
  <w:num w:numId="22">
    <w:abstractNumId w:val="21"/>
  </w:num>
  <w:num w:numId="23">
    <w:abstractNumId w:val="18"/>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revisionView w:markup="0"/>
  <w:doNotTrackFormatting/>
  <w:defaultTabStop w:val="720"/>
  <w:characterSpacingControl w:val="doNotCompress"/>
  <w:hdrShapeDefaults>
    <o:shapedefaults v:ext="edit" spidmax="138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1BFBE0-FDF9-4991-980E-E075708CB5CC"/>
    <w:docVar w:name="LW_COVERPAGE_TYPE" w:val="1"/>
    <w:docVar w:name="LW_CROSSREFERENCE" w:val="{SWD(2019) 111 final} - {SWD(2019) 112 final} - {SWD(2019) 113 final} - {SWD(2019) 114 final} - {SWD(2019) 115 final} - {SWD(2019) 116 final} - {SWD(2019) 117 final} - {SWD(2019) 118 final} - {SWD(2019) 119 final} - {SWD(2019) 120 final} - {SWD(2019) 121 final} - {SWD(2019) 122 final} - {SWD(2019) 123 final} - {SWD(2019) 124 final} - {SWD(2019) 125 final} - {SWD(2019) 126 final} - {SWD(2019) 127 final} - {SWD(2019) 128 final} - {SWD(2019) 129 final} - {SWD(2019) 130 final} - {SWD(2019) 131 final} - {SWD(2019) 132 final} - {SWD(2019) 133 final} - {SWD(2019) 134 final} - {SWD(2019) 135 final} - {SWD(2019) 136 final} - {SWD(2019) 137 final} - {SWD(2019) 138 final} - {SWD(2019) 139 final}"/>
    <w:docVar w:name="LW_DocType" w:val="NORMAL"/>
    <w:docVar w:name="LW_EMISSION" w:val="4.4.2019"/>
    <w:docVar w:name="LW_EMISSION_ISODATE" w:val="2019-04-0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5?\u1088?\u1077?\u1075?\u1083?\u1077?\u1076? \u1085?\u1072? \u1080?\u1079?\u1087?\u1098?\u1083?\u1085?\u1077?\u1085?\u1080?\u1077?\u1090?\u1086? \u1085?\u1072? \u1087?\u1086?\u1083?\u1080?\u1090?\u1080?\u1082?\u1080?\u1090?\u1077? \u1085?\u1072? \u1045?\u1057? \u1074? \u1086?\u1073?\u1083?\u1072?\u1089?\u1090?\u1090?\u1072? \u1085?\u1072? \u1086?\u1082?\u1086?\u1083?\u1085?\u1072?\u1090?\u1072? \u1089?\u1088?\u1077?\u1076?\u1072? \u1086?\u1090? 2019 \u1075?.: &lt;/FMT&gt;_x000d__x000d__x000d__x000b_&lt;FMT:Font=Calibri Cyr&gt;\u1045?\u1074?\u1088?\u1086?\u1087?\u1072?, \u1082?\u1086?\u1103?\u1090?\u1086? \u1079?\u1072?\u1097?\u1080?\u1090?\u1072?\u1074?\u1072? \u1089?\u1074?\u1086?\u1080?\u1090?\u1077? \u1075?\u1088?\u1072?\u1078?\u1076?\u1072?\u1085?\u1080? \u1080? \u1087?\u1086?\u1074?\u1080?\u1096?\u1072?\u1074?\u1072? \u1082?\u1072?\u1095?\u1077?\u1089?\u1090?\u1074?\u1086?\u1090?\u1086? \u1080?\u1084? \u1085?\u1072? \u1078?\u1080?\u1074?\u1086?\u1090?&lt;/FMT&gt;_x000d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60" w:lineRule="exact"/>
      <w:jc w:val="both"/>
    </w:pPr>
    <w:rPr>
      <w:rFonts w:ascii="Times New Roman" w:hAnsi="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pPr>
      <w:keepNext/>
      <w:spacing w:before="240" w:line="240" w:lineRule="auto"/>
      <w:jc w:val="left"/>
      <w:outlineLvl w:val="1"/>
    </w:pPr>
    <w:rPr>
      <w:rFonts w:ascii="Calibri" w:eastAsia="Calibri" w:hAnsi="Calibri" w:cs="Times New Roman"/>
      <w:b/>
      <w:noProof/>
      <w:color w:val="1F497D"/>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eastAsia="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eastAsia="bg-BG"/>
    </w:rPr>
  </w:style>
  <w:style w:type="paragraph" w:styleId="Revision">
    <w:name w:val="Revision"/>
    <w:hidden/>
    <w:uiPriority w:val="99"/>
    <w:semiHidden/>
    <w:pPr>
      <w:spacing w:after="0" w:line="240" w:lineRule="auto"/>
    </w:pPr>
    <w:rPr>
      <w:rFonts w:ascii="Times New Roman" w:hAnsi="Times New Roman"/>
    </w:rPr>
  </w:style>
  <w:style w:type="character" w:customStyle="1" w:styleId="Funotenzeichen">
    <w:name w:val="Fußnotenzeichen"/>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jc w:val="left"/>
    </w:pPr>
    <w:rPr>
      <w:rFonts w:cs="Times New Roman"/>
      <w:sz w:val="24"/>
      <w:szCs w:val="24"/>
    </w:rPr>
  </w:style>
  <w:style w:type="character" w:customStyle="1" w:styleId="num">
    <w:name w:val="num"/>
    <w:basedOn w:val="DefaultParagraphFont"/>
  </w:style>
  <w:style w:type="paragraph" w:customStyle="1" w:styleId="LegalNumPar">
    <w:name w:val="LegalNumPar"/>
    <w:basedOn w:val="Normal"/>
    <w:pPr>
      <w:spacing w:line="360" w:lineRule="auto"/>
      <w:ind w:left="476" w:hanging="476"/>
    </w:pPr>
    <w:rPr>
      <w:sz w:val="24"/>
    </w:rPr>
  </w:style>
  <w:style w:type="paragraph" w:customStyle="1" w:styleId="LegalNumPar2">
    <w:name w:val="LegalNumPar2"/>
    <w:basedOn w:val="Normal"/>
    <w:pPr>
      <w:spacing w:line="360" w:lineRule="auto"/>
      <w:ind w:left="953" w:hanging="477"/>
    </w:pPr>
    <w:rPr>
      <w:sz w:val="24"/>
    </w:rPr>
  </w:style>
  <w:style w:type="paragraph" w:customStyle="1" w:styleId="LegalNumPar3">
    <w:name w:val="LegalNumPar3"/>
    <w:basedOn w:val="Normal"/>
    <w:pPr>
      <w:spacing w:line="360" w:lineRule="auto"/>
      <w:ind w:left="1429" w:hanging="476"/>
    </w:pPr>
    <w:rPr>
      <w:sz w:val="24"/>
    </w:rPr>
  </w:style>
  <w:style w:type="paragraph" w:customStyle="1" w:styleId="body">
    <w:name w:val="body"/>
    <w:basedOn w:val="Normal"/>
    <w:pPr>
      <w:spacing w:before="100" w:beforeAutospacing="1" w:after="100" w:afterAutospacing="1" w:line="240" w:lineRule="auto"/>
      <w:jc w:val="left"/>
    </w:pPr>
    <w:rPr>
      <w:rFonts w:cs="Times New Roman"/>
      <w:sz w:val="24"/>
      <w:szCs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Pr>
      <w:rFonts w:ascii="Times New Roman" w:hAnsi="Times New Roman"/>
    </w:rPr>
  </w:style>
  <w:style w:type="paragraph" w:styleId="NoSpacing">
    <w:name w:val="No Spacing"/>
    <w:uiPriority w:val="1"/>
    <w:qFormat/>
    <w:pPr>
      <w:spacing w:after="0" w:line="240" w:lineRule="auto"/>
      <w:jc w:val="both"/>
    </w:pPr>
    <w:rPr>
      <w:rFonts w:ascii="Times New Roman" w:hAnsi="Times New Roman"/>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2Char">
    <w:name w:val="Heading 2 Char"/>
    <w:basedOn w:val="DefaultParagraphFont"/>
    <w:link w:val="Heading2"/>
    <w:uiPriority w:val="9"/>
    <w:rPr>
      <w:rFonts w:ascii="Calibri" w:eastAsia="Calibri" w:hAnsi="Calibri" w:cs="Times New Roman"/>
      <w:b/>
      <w:noProof/>
      <w:color w:val="1F497D"/>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Pagedecouverture">
    <w:name w:val="Page de couverture"/>
    <w:basedOn w:val="Normal"/>
    <w:next w:val="Normal"/>
    <w:pPr>
      <w:spacing w:after="0" w:line="240" w:lineRule="auto"/>
    </w:pPr>
    <w:rPr>
      <w:rFonts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60" w:lineRule="exact"/>
      <w:jc w:val="both"/>
    </w:pPr>
    <w:rPr>
      <w:rFonts w:ascii="Times New Roman" w:hAnsi="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pPr>
      <w:keepNext/>
      <w:spacing w:before="240" w:line="240" w:lineRule="auto"/>
      <w:jc w:val="left"/>
      <w:outlineLvl w:val="1"/>
    </w:pPr>
    <w:rPr>
      <w:rFonts w:ascii="Calibri" w:eastAsia="Calibri" w:hAnsi="Calibri" w:cs="Times New Roman"/>
      <w:b/>
      <w:noProof/>
      <w:color w:val="1F497D"/>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eastAsia="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eastAsia="bg-BG"/>
    </w:rPr>
  </w:style>
  <w:style w:type="paragraph" w:styleId="Revision">
    <w:name w:val="Revision"/>
    <w:hidden/>
    <w:uiPriority w:val="99"/>
    <w:semiHidden/>
    <w:pPr>
      <w:spacing w:after="0" w:line="240" w:lineRule="auto"/>
    </w:pPr>
    <w:rPr>
      <w:rFonts w:ascii="Times New Roman" w:hAnsi="Times New Roman"/>
    </w:rPr>
  </w:style>
  <w:style w:type="character" w:customStyle="1" w:styleId="Funotenzeichen">
    <w:name w:val="Fußnotenzeichen"/>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jc w:val="left"/>
    </w:pPr>
    <w:rPr>
      <w:rFonts w:cs="Times New Roman"/>
      <w:sz w:val="24"/>
      <w:szCs w:val="24"/>
    </w:rPr>
  </w:style>
  <w:style w:type="character" w:customStyle="1" w:styleId="num">
    <w:name w:val="num"/>
    <w:basedOn w:val="DefaultParagraphFont"/>
  </w:style>
  <w:style w:type="paragraph" w:customStyle="1" w:styleId="LegalNumPar">
    <w:name w:val="LegalNumPar"/>
    <w:basedOn w:val="Normal"/>
    <w:pPr>
      <w:spacing w:line="360" w:lineRule="auto"/>
      <w:ind w:left="476" w:hanging="476"/>
    </w:pPr>
    <w:rPr>
      <w:sz w:val="24"/>
    </w:rPr>
  </w:style>
  <w:style w:type="paragraph" w:customStyle="1" w:styleId="LegalNumPar2">
    <w:name w:val="LegalNumPar2"/>
    <w:basedOn w:val="Normal"/>
    <w:pPr>
      <w:spacing w:line="360" w:lineRule="auto"/>
      <w:ind w:left="953" w:hanging="477"/>
    </w:pPr>
    <w:rPr>
      <w:sz w:val="24"/>
    </w:rPr>
  </w:style>
  <w:style w:type="paragraph" w:customStyle="1" w:styleId="LegalNumPar3">
    <w:name w:val="LegalNumPar3"/>
    <w:basedOn w:val="Normal"/>
    <w:pPr>
      <w:spacing w:line="360" w:lineRule="auto"/>
      <w:ind w:left="1429" w:hanging="476"/>
    </w:pPr>
    <w:rPr>
      <w:sz w:val="24"/>
    </w:rPr>
  </w:style>
  <w:style w:type="paragraph" w:customStyle="1" w:styleId="body">
    <w:name w:val="body"/>
    <w:basedOn w:val="Normal"/>
    <w:pPr>
      <w:spacing w:before="100" w:beforeAutospacing="1" w:after="100" w:afterAutospacing="1" w:line="240" w:lineRule="auto"/>
      <w:jc w:val="left"/>
    </w:pPr>
    <w:rPr>
      <w:rFonts w:cs="Times New Roman"/>
      <w:sz w:val="24"/>
      <w:szCs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Pr>
      <w:rFonts w:ascii="Times New Roman" w:hAnsi="Times New Roman"/>
    </w:rPr>
  </w:style>
  <w:style w:type="paragraph" w:styleId="NoSpacing">
    <w:name w:val="No Spacing"/>
    <w:uiPriority w:val="1"/>
    <w:qFormat/>
    <w:pPr>
      <w:spacing w:after="0" w:line="240" w:lineRule="auto"/>
      <w:jc w:val="both"/>
    </w:pPr>
    <w:rPr>
      <w:rFonts w:ascii="Times New Roman" w:hAnsi="Times New Roman"/>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2Char">
    <w:name w:val="Heading 2 Char"/>
    <w:basedOn w:val="DefaultParagraphFont"/>
    <w:link w:val="Heading2"/>
    <w:uiPriority w:val="9"/>
    <w:rPr>
      <w:rFonts w:ascii="Calibri" w:eastAsia="Calibri" w:hAnsi="Calibri" w:cs="Times New Roman"/>
      <w:b/>
      <w:noProof/>
      <w:color w:val="1F497D"/>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Pagedecouverture">
    <w:name w:val="Page de couverture"/>
    <w:basedOn w:val="Normal"/>
    <w:next w:val="Normal"/>
    <w:pPr>
      <w:spacing w:after="0" w:line="240" w:lineRule="auto"/>
    </w:pPr>
    <w:rPr>
      <w:rFonts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6258">
      <w:bodyDiv w:val="1"/>
      <w:marLeft w:val="0"/>
      <w:marRight w:val="0"/>
      <w:marTop w:val="0"/>
      <w:marBottom w:val="0"/>
      <w:divBdr>
        <w:top w:val="none" w:sz="0" w:space="0" w:color="auto"/>
        <w:left w:val="none" w:sz="0" w:space="0" w:color="auto"/>
        <w:bottom w:val="none" w:sz="0" w:space="0" w:color="auto"/>
        <w:right w:val="none" w:sz="0" w:space="0" w:color="auto"/>
      </w:divBdr>
    </w:div>
    <w:div w:id="180897500">
      <w:bodyDiv w:val="1"/>
      <w:marLeft w:val="0"/>
      <w:marRight w:val="0"/>
      <w:marTop w:val="0"/>
      <w:marBottom w:val="0"/>
      <w:divBdr>
        <w:top w:val="none" w:sz="0" w:space="0" w:color="auto"/>
        <w:left w:val="none" w:sz="0" w:space="0" w:color="auto"/>
        <w:bottom w:val="none" w:sz="0" w:space="0" w:color="auto"/>
        <w:right w:val="none" w:sz="0" w:space="0" w:color="auto"/>
      </w:divBdr>
    </w:div>
    <w:div w:id="250088342">
      <w:bodyDiv w:val="1"/>
      <w:marLeft w:val="0"/>
      <w:marRight w:val="0"/>
      <w:marTop w:val="0"/>
      <w:marBottom w:val="0"/>
      <w:divBdr>
        <w:top w:val="none" w:sz="0" w:space="0" w:color="auto"/>
        <w:left w:val="none" w:sz="0" w:space="0" w:color="auto"/>
        <w:bottom w:val="none" w:sz="0" w:space="0" w:color="auto"/>
        <w:right w:val="none" w:sz="0" w:space="0" w:color="auto"/>
      </w:divBdr>
    </w:div>
    <w:div w:id="460419583">
      <w:bodyDiv w:val="1"/>
      <w:marLeft w:val="0"/>
      <w:marRight w:val="0"/>
      <w:marTop w:val="0"/>
      <w:marBottom w:val="0"/>
      <w:divBdr>
        <w:top w:val="none" w:sz="0" w:space="0" w:color="auto"/>
        <w:left w:val="none" w:sz="0" w:space="0" w:color="auto"/>
        <w:bottom w:val="none" w:sz="0" w:space="0" w:color="auto"/>
        <w:right w:val="none" w:sz="0" w:space="0" w:color="auto"/>
      </w:divBdr>
      <w:divsChild>
        <w:div w:id="1312640480">
          <w:marLeft w:val="0"/>
          <w:marRight w:val="0"/>
          <w:marTop w:val="0"/>
          <w:marBottom w:val="0"/>
          <w:divBdr>
            <w:top w:val="none" w:sz="0" w:space="0" w:color="auto"/>
            <w:left w:val="none" w:sz="0" w:space="0" w:color="auto"/>
            <w:bottom w:val="none" w:sz="0" w:space="0" w:color="auto"/>
            <w:right w:val="none" w:sz="0" w:space="0" w:color="auto"/>
          </w:divBdr>
        </w:div>
        <w:div w:id="1479304681">
          <w:marLeft w:val="0"/>
          <w:marRight w:val="0"/>
          <w:marTop w:val="0"/>
          <w:marBottom w:val="0"/>
          <w:divBdr>
            <w:top w:val="none" w:sz="0" w:space="0" w:color="auto"/>
            <w:left w:val="none" w:sz="0" w:space="0" w:color="auto"/>
            <w:bottom w:val="none" w:sz="0" w:space="0" w:color="auto"/>
            <w:right w:val="none" w:sz="0" w:space="0" w:color="auto"/>
          </w:divBdr>
        </w:div>
      </w:divsChild>
    </w:div>
    <w:div w:id="528565629">
      <w:bodyDiv w:val="1"/>
      <w:marLeft w:val="0"/>
      <w:marRight w:val="0"/>
      <w:marTop w:val="0"/>
      <w:marBottom w:val="0"/>
      <w:divBdr>
        <w:top w:val="none" w:sz="0" w:space="0" w:color="auto"/>
        <w:left w:val="none" w:sz="0" w:space="0" w:color="auto"/>
        <w:bottom w:val="none" w:sz="0" w:space="0" w:color="auto"/>
        <w:right w:val="none" w:sz="0" w:space="0" w:color="auto"/>
      </w:divBdr>
      <w:divsChild>
        <w:div w:id="149102338">
          <w:marLeft w:val="0"/>
          <w:marRight w:val="0"/>
          <w:marTop w:val="0"/>
          <w:marBottom w:val="0"/>
          <w:divBdr>
            <w:top w:val="none" w:sz="0" w:space="0" w:color="auto"/>
            <w:left w:val="none" w:sz="0" w:space="0" w:color="auto"/>
            <w:bottom w:val="none" w:sz="0" w:space="0" w:color="auto"/>
            <w:right w:val="none" w:sz="0" w:space="0" w:color="auto"/>
          </w:divBdr>
        </w:div>
        <w:div w:id="844243402">
          <w:marLeft w:val="0"/>
          <w:marRight w:val="0"/>
          <w:marTop w:val="0"/>
          <w:marBottom w:val="0"/>
          <w:divBdr>
            <w:top w:val="none" w:sz="0" w:space="0" w:color="auto"/>
            <w:left w:val="none" w:sz="0" w:space="0" w:color="auto"/>
            <w:bottom w:val="none" w:sz="0" w:space="0" w:color="auto"/>
            <w:right w:val="none" w:sz="0" w:space="0" w:color="auto"/>
          </w:divBdr>
        </w:div>
        <w:div w:id="1203908982">
          <w:marLeft w:val="0"/>
          <w:marRight w:val="0"/>
          <w:marTop w:val="0"/>
          <w:marBottom w:val="0"/>
          <w:divBdr>
            <w:top w:val="none" w:sz="0" w:space="0" w:color="auto"/>
            <w:left w:val="none" w:sz="0" w:space="0" w:color="auto"/>
            <w:bottom w:val="none" w:sz="0" w:space="0" w:color="auto"/>
            <w:right w:val="none" w:sz="0" w:space="0" w:color="auto"/>
          </w:divBdr>
        </w:div>
        <w:div w:id="1273704943">
          <w:marLeft w:val="0"/>
          <w:marRight w:val="0"/>
          <w:marTop w:val="0"/>
          <w:marBottom w:val="0"/>
          <w:divBdr>
            <w:top w:val="none" w:sz="0" w:space="0" w:color="auto"/>
            <w:left w:val="none" w:sz="0" w:space="0" w:color="auto"/>
            <w:bottom w:val="none" w:sz="0" w:space="0" w:color="auto"/>
            <w:right w:val="none" w:sz="0" w:space="0" w:color="auto"/>
          </w:divBdr>
        </w:div>
      </w:divsChild>
    </w:div>
    <w:div w:id="568199502">
      <w:bodyDiv w:val="1"/>
      <w:marLeft w:val="0"/>
      <w:marRight w:val="0"/>
      <w:marTop w:val="0"/>
      <w:marBottom w:val="0"/>
      <w:divBdr>
        <w:top w:val="none" w:sz="0" w:space="0" w:color="auto"/>
        <w:left w:val="none" w:sz="0" w:space="0" w:color="auto"/>
        <w:bottom w:val="none" w:sz="0" w:space="0" w:color="auto"/>
        <w:right w:val="none" w:sz="0" w:space="0" w:color="auto"/>
      </w:divBdr>
    </w:div>
    <w:div w:id="664019909">
      <w:bodyDiv w:val="1"/>
      <w:marLeft w:val="0"/>
      <w:marRight w:val="0"/>
      <w:marTop w:val="0"/>
      <w:marBottom w:val="0"/>
      <w:divBdr>
        <w:top w:val="none" w:sz="0" w:space="0" w:color="auto"/>
        <w:left w:val="none" w:sz="0" w:space="0" w:color="auto"/>
        <w:bottom w:val="none" w:sz="0" w:space="0" w:color="auto"/>
        <w:right w:val="none" w:sz="0" w:space="0" w:color="auto"/>
      </w:divBdr>
      <w:divsChild>
        <w:div w:id="755711940">
          <w:marLeft w:val="0"/>
          <w:marRight w:val="0"/>
          <w:marTop w:val="0"/>
          <w:marBottom w:val="0"/>
          <w:divBdr>
            <w:top w:val="none" w:sz="0" w:space="0" w:color="auto"/>
            <w:left w:val="none" w:sz="0" w:space="0" w:color="auto"/>
            <w:bottom w:val="none" w:sz="0" w:space="0" w:color="auto"/>
            <w:right w:val="none" w:sz="0" w:space="0" w:color="auto"/>
          </w:divBdr>
        </w:div>
        <w:div w:id="1328174138">
          <w:marLeft w:val="0"/>
          <w:marRight w:val="0"/>
          <w:marTop w:val="0"/>
          <w:marBottom w:val="0"/>
          <w:divBdr>
            <w:top w:val="none" w:sz="0" w:space="0" w:color="auto"/>
            <w:left w:val="none" w:sz="0" w:space="0" w:color="auto"/>
            <w:bottom w:val="none" w:sz="0" w:space="0" w:color="auto"/>
            <w:right w:val="none" w:sz="0" w:space="0" w:color="auto"/>
          </w:divBdr>
        </w:div>
        <w:div w:id="1184709224">
          <w:marLeft w:val="0"/>
          <w:marRight w:val="0"/>
          <w:marTop w:val="0"/>
          <w:marBottom w:val="0"/>
          <w:divBdr>
            <w:top w:val="none" w:sz="0" w:space="0" w:color="auto"/>
            <w:left w:val="none" w:sz="0" w:space="0" w:color="auto"/>
            <w:bottom w:val="none" w:sz="0" w:space="0" w:color="auto"/>
            <w:right w:val="none" w:sz="0" w:space="0" w:color="auto"/>
          </w:divBdr>
        </w:div>
        <w:div w:id="900137051">
          <w:marLeft w:val="0"/>
          <w:marRight w:val="0"/>
          <w:marTop w:val="0"/>
          <w:marBottom w:val="0"/>
          <w:divBdr>
            <w:top w:val="none" w:sz="0" w:space="0" w:color="auto"/>
            <w:left w:val="none" w:sz="0" w:space="0" w:color="auto"/>
            <w:bottom w:val="none" w:sz="0" w:space="0" w:color="auto"/>
            <w:right w:val="none" w:sz="0" w:space="0" w:color="auto"/>
          </w:divBdr>
        </w:div>
      </w:divsChild>
    </w:div>
    <w:div w:id="738937581">
      <w:bodyDiv w:val="1"/>
      <w:marLeft w:val="0"/>
      <w:marRight w:val="0"/>
      <w:marTop w:val="0"/>
      <w:marBottom w:val="0"/>
      <w:divBdr>
        <w:top w:val="none" w:sz="0" w:space="0" w:color="auto"/>
        <w:left w:val="none" w:sz="0" w:space="0" w:color="auto"/>
        <w:bottom w:val="none" w:sz="0" w:space="0" w:color="auto"/>
        <w:right w:val="none" w:sz="0" w:space="0" w:color="auto"/>
      </w:divBdr>
      <w:divsChild>
        <w:div w:id="628169514">
          <w:marLeft w:val="0"/>
          <w:marRight w:val="0"/>
          <w:marTop w:val="0"/>
          <w:marBottom w:val="0"/>
          <w:divBdr>
            <w:top w:val="none" w:sz="0" w:space="0" w:color="auto"/>
            <w:left w:val="none" w:sz="0" w:space="0" w:color="auto"/>
            <w:bottom w:val="none" w:sz="0" w:space="0" w:color="auto"/>
            <w:right w:val="none" w:sz="0" w:space="0" w:color="auto"/>
          </w:divBdr>
        </w:div>
        <w:div w:id="940265105">
          <w:marLeft w:val="0"/>
          <w:marRight w:val="0"/>
          <w:marTop w:val="0"/>
          <w:marBottom w:val="0"/>
          <w:divBdr>
            <w:top w:val="none" w:sz="0" w:space="0" w:color="auto"/>
            <w:left w:val="none" w:sz="0" w:space="0" w:color="auto"/>
            <w:bottom w:val="none" w:sz="0" w:space="0" w:color="auto"/>
            <w:right w:val="none" w:sz="0" w:space="0" w:color="auto"/>
          </w:divBdr>
        </w:div>
      </w:divsChild>
    </w:div>
    <w:div w:id="938024900">
      <w:bodyDiv w:val="1"/>
      <w:marLeft w:val="0"/>
      <w:marRight w:val="0"/>
      <w:marTop w:val="0"/>
      <w:marBottom w:val="0"/>
      <w:divBdr>
        <w:top w:val="none" w:sz="0" w:space="0" w:color="auto"/>
        <w:left w:val="none" w:sz="0" w:space="0" w:color="auto"/>
        <w:bottom w:val="none" w:sz="0" w:space="0" w:color="auto"/>
        <w:right w:val="none" w:sz="0" w:space="0" w:color="auto"/>
      </w:divBdr>
    </w:div>
    <w:div w:id="991444582">
      <w:bodyDiv w:val="1"/>
      <w:marLeft w:val="0"/>
      <w:marRight w:val="0"/>
      <w:marTop w:val="0"/>
      <w:marBottom w:val="0"/>
      <w:divBdr>
        <w:top w:val="none" w:sz="0" w:space="0" w:color="auto"/>
        <w:left w:val="none" w:sz="0" w:space="0" w:color="auto"/>
        <w:bottom w:val="none" w:sz="0" w:space="0" w:color="auto"/>
        <w:right w:val="none" w:sz="0" w:space="0" w:color="auto"/>
      </w:divBdr>
    </w:div>
    <w:div w:id="993147472">
      <w:bodyDiv w:val="1"/>
      <w:marLeft w:val="0"/>
      <w:marRight w:val="0"/>
      <w:marTop w:val="0"/>
      <w:marBottom w:val="0"/>
      <w:divBdr>
        <w:top w:val="none" w:sz="0" w:space="0" w:color="auto"/>
        <w:left w:val="none" w:sz="0" w:space="0" w:color="auto"/>
        <w:bottom w:val="none" w:sz="0" w:space="0" w:color="auto"/>
        <w:right w:val="none" w:sz="0" w:space="0" w:color="auto"/>
      </w:divBdr>
    </w:div>
    <w:div w:id="1135416439">
      <w:bodyDiv w:val="1"/>
      <w:marLeft w:val="0"/>
      <w:marRight w:val="0"/>
      <w:marTop w:val="0"/>
      <w:marBottom w:val="0"/>
      <w:divBdr>
        <w:top w:val="none" w:sz="0" w:space="0" w:color="auto"/>
        <w:left w:val="none" w:sz="0" w:space="0" w:color="auto"/>
        <w:bottom w:val="none" w:sz="0" w:space="0" w:color="auto"/>
        <w:right w:val="none" w:sz="0" w:space="0" w:color="auto"/>
      </w:divBdr>
    </w:div>
    <w:div w:id="1161584318">
      <w:bodyDiv w:val="1"/>
      <w:marLeft w:val="0"/>
      <w:marRight w:val="0"/>
      <w:marTop w:val="0"/>
      <w:marBottom w:val="0"/>
      <w:divBdr>
        <w:top w:val="none" w:sz="0" w:space="0" w:color="auto"/>
        <w:left w:val="none" w:sz="0" w:space="0" w:color="auto"/>
        <w:bottom w:val="none" w:sz="0" w:space="0" w:color="auto"/>
        <w:right w:val="none" w:sz="0" w:space="0" w:color="auto"/>
      </w:divBdr>
      <w:divsChild>
        <w:div w:id="19478132">
          <w:marLeft w:val="0"/>
          <w:marRight w:val="0"/>
          <w:marTop w:val="0"/>
          <w:marBottom w:val="0"/>
          <w:divBdr>
            <w:top w:val="none" w:sz="0" w:space="0" w:color="auto"/>
            <w:left w:val="none" w:sz="0" w:space="0" w:color="auto"/>
            <w:bottom w:val="none" w:sz="0" w:space="0" w:color="auto"/>
            <w:right w:val="none" w:sz="0" w:space="0" w:color="auto"/>
          </w:divBdr>
        </w:div>
        <w:div w:id="337930196">
          <w:marLeft w:val="0"/>
          <w:marRight w:val="0"/>
          <w:marTop w:val="0"/>
          <w:marBottom w:val="0"/>
          <w:divBdr>
            <w:top w:val="none" w:sz="0" w:space="0" w:color="auto"/>
            <w:left w:val="none" w:sz="0" w:space="0" w:color="auto"/>
            <w:bottom w:val="none" w:sz="0" w:space="0" w:color="auto"/>
            <w:right w:val="none" w:sz="0" w:space="0" w:color="auto"/>
          </w:divBdr>
        </w:div>
        <w:div w:id="343941469">
          <w:marLeft w:val="0"/>
          <w:marRight w:val="0"/>
          <w:marTop w:val="0"/>
          <w:marBottom w:val="0"/>
          <w:divBdr>
            <w:top w:val="none" w:sz="0" w:space="0" w:color="auto"/>
            <w:left w:val="none" w:sz="0" w:space="0" w:color="auto"/>
            <w:bottom w:val="none" w:sz="0" w:space="0" w:color="auto"/>
            <w:right w:val="none" w:sz="0" w:space="0" w:color="auto"/>
          </w:divBdr>
        </w:div>
        <w:div w:id="1855225508">
          <w:marLeft w:val="0"/>
          <w:marRight w:val="0"/>
          <w:marTop w:val="0"/>
          <w:marBottom w:val="0"/>
          <w:divBdr>
            <w:top w:val="none" w:sz="0" w:space="0" w:color="auto"/>
            <w:left w:val="none" w:sz="0" w:space="0" w:color="auto"/>
            <w:bottom w:val="none" w:sz="0" w:space="0" w:color="auto"/>
            <w:right w:val="none" w:sz="0" w:space="0" w:color="auto"/>
          </w:divBdr>
        </w:div>
        <w:div w:id="2108037528">
          <w:marLeft w:val="0"/>
          <w:marRight w:val="0"/>
          <w:marTop w:val="0"/>
          <w:marBottom w:val="0"/>
          <w:divBdr>
            <w:top w:val="none" w:sz="0" w:space="0" w:color="auto"/>
            <w:left w:val="none" w:sz="0" w:space="0" w:color="auto"/>
            <w:bottom w:val="none" w:sz="0" w:space="0" w:color="auto"/>
            <w:right w:val="none" w:sz="0" w:space="0" w:color="auto"/>
          </w:divBdr>
        </w:div>
      </w:divsChild>
    </w:div>
    <w:div w:id="1238901798">
      <w:bodyDiv w:val="1"/>
      <w:marLeft w:val="0"/>
      <w:marRight w:val="0"/>
      <w:marTop w:val="0"/>
      <w:marBottom w:val="0"/>
      <w:divBdr>
        <w:top w:val="none" w:sz="0" w:space="0" w:color="auto"/>
        <w:left w:val="none" w:sz="0" w:space="0" w:color="auto"/>
        <w:bottom w:val="none" w:sz="0" w:space="0" w:color="auto"/>
        <w:right w:val="none" w:sz="0" w:space="0" w:color="auto"/>
      </w:divBdr>
      <w:divsChild>
        <w:div w:id="541674126">
          <w:marLeft w:val="0"/>
          <w:marRight w:val="0"/>
          <w:marTop w:val="0"/>
          <w:marBottom w:val="0"/>
          <w:divBdr>
            <w:top w:val="none" w:sz="0" w:space="0" w:color="auto"/>
            <w:left w:val="none" w:sz="0" w:space="0" w:color="auto"/>
            <w:bottom w:val="none" w:sz="0" w:space="0" w:color="auto"/>
            <w:right w:val="none" w:sz="0" w:space="0" w:color="auto"/>
          </w:divBdr>
        </w:div>
        <w:div w:id="1245609196">
          <w:marLeft w:val="0"/>
          <w:marRight w:val="0"/>
          <w:marTop w:val="0"/>
          <w:marBottom w:val="0"/>
          <w:divBdr>
            <w:top w:val="none" w:sz="0" w:space="0" w:color="auto"/>
            <w:left w:val="none" w:sz="0" w:space="0" w:color="auto"/>
            <w:bottom w:val="none" w:sz="0" w:space="0" w:color="auto"/>
            <w:right w:val="none" w:sz="0" w:space="0" w:color="auto"/>
          </w:divBdr>
        </w:div>
        <w:div w:id="182866711">
          <w:marLeft w:val="0"/>
          <w:marRight w:val="0"/>
          <w:marTop w:val="0"/>
          <w:marBottom w:val="0"/>
          <w:divBdr>
            <w:top w:val="none" w:sz="0" w:space="0" w:color="auto"/>
            <w:left w:val="none" w:sz="0" w:space="0" w:color="auto"/>
            <w:bottom w:val="none" w:sz="0" w:space="0" w:color="auto"/>
            <w:right w:val="none" w:sz="0" w:space="0" w:color="auto"/>
          </w:divBdr>
        </w:div>
      </w:divsChild>
    </w:div>
    <w:div w:id="1303341183">
      <w:bodyDiv w:val="1"/>
      <w:marLeft w:val="0"/>
      <w:marRight w:val="0"/>
      <w:marTop w:val="0"/>
      <w:marBottom w:val="0"/>
      <w:divBdr>
        <w:top w:val="none" w:sz="0" w:space="0" w:color="auto"/>
        <w:left w:val="none" w:sz="0" w:space="0" w:color="auto"/>
        <w:bottom w:val="none" w:sz="0" w:space="0" w:color="auto"/>
        <w:right w:val="none" w:sz="0" w:space="0" w:color="auto"/>
      </w:divBdr>
    </w:div>
    <w:div w:id="1437019592">
      <w:bodyDiv w:val="1"/>
      <w:marLeft w:val="0"/>
      <w:marRight w:val="0"/>
      <w:marTop w:val="0"/>
      <w:marBottom w:val="0"/>
      <w:divBdr>
        <w:top w:val="none" w:sz="0" w:space="0" w:color="auto"/>
        <w:left w:val="none" w:sz="0" w:space="0" w:color="auto"/>
        <w:bottom w:val="none" w:sz="0" w:space="0" w:color="auto"/>
        <w:right w:val="none" w:sz="0" w:space="0" w:color="auto"/>
      </w:divBdr>
    </w:div>
    <w:div w:id="1646858414">
      <w:bodyDiv w:val="1"/>
      <w:marLeft w:val="0"/>
      <w:marRight w:val="0"/>
      <w:marTop w:val="0"/>
      <w:marBottom w:val="0"/>
      <w:divBdr>
        <w:top w:val="none" w:sz="0" w:space="0" w:color="auto"/>
        <w:left w:val="none" w:sz="0" w:space="0" w:color="auto"/>
        <w:bottom w:val="none" w:sz="0" w:space="0" w:color="auto"/>
        <w:right w:val="none" w:sz="0" w:space="0" w:color="auto"/>
      </w:divBdr>
    </w:div>
    <w:div w:id="1728722672">
      <w:bodyDiv w:val="1"/>
      <w:marLeft w:val="0"/>
      <w:marRight w:val="0"/>
      <w:marTop w:val="0"/>
      <w:marBottom w:val="0"/>
      <w:divBdr>
        <w:top w:val="none" w:sz="0" w:space="0" w:color="auto"/>
        <w:left w:val="none" w:sz="0" w:space="0" w:color="auto"/>
        <w:bottom w:val="none" w:sz="0" w:space="0" w:color="auto"/>
        <w:right w:val="none" w:sz="0" w:space="0" w:color="auto"/>
      </w:divBdr>
    </w:div>
    <w:div w:id="1777866830">
      <w:bodyDiv w:val="1"/>
      <w:marLeft w:val="0"/>
      <w:marRight w:val="0"/>
      <w:marTop w:val="0"/>
      <w:marBottom w:val="0"/>
      <w:divBdr>
        <w:top w:val="none" w:sz="0" w:space="0" w:color="auto"/>
        <w:left w:val="none" w:sz="0" w:space="0" w:color="auto"/>
        <w:bottom w:val="none" w:sz="0" w:space="0" w:color="auto"/>
        <w:right w:val="none" w:sz="0" w:space="0" w:color="auto"/>
      </w:divBdr>
    </w:div>
    <w:div w:id="1816213781">
      <w:bodyDiv w:val="1"/>
      <w:marLeft w:val="0"/>
      <w:marRight w:val="0"/>
      <w:marTop w:val="0"/>
      <w:marBottom w:val="0"/>
      <w:divBdr>
        <w:top w:val="none" w:sz="0" w:space="0" w:color="auto"/>
        <w:left w:val="none" w:sz="0" w:space="0" w:color="auto"/>
        <w:bottom w:val="none" w:sz="0" w:space="0" w:color="auto"/>
        <w:right w:val="none" w:sz="0" w:space="0" w:color="auto"/>
      </w:divBdr>
    </w:div>
    <w:div w:id="2003191174">
      <w:bodyDiv w:val="1"/>
      <w:marLeft w:val="0"/>
      <w:marRight w:val="0"/>
      <w:marTop w:val="0"/>
      <w:marBottom w:val="0"/>
      <w:divBdr>
        <w:top w:val="none" w:sz="0" w:space="0" w:color="auto"/>
        <w:left w:val="none" w:sz="0" w:space="0" w:color="auto"/>
        <w:bottom w:val="none" w:sz="0" w:space="0" w:color="auto"/>
        <w:right w:val="none" w:sz="0" w:space="0" w:color="auto"/>
      </w:divBdr>
    </w:div>
    <w:div w:id="2078629057">
      <w:bodyDiv w:val="1"/>
      <w:marLeft w:val="0"/>
      <w:marRight w:val="0"/>
      <w:marTop w:val="0"/>
      <w:marBottom w:val="0"/>
      <w:divBdr>
        <w:top w:val="none" w:sz="0" w:space="0" w:color="auto"/>
        <w:left w:val="none" w:sz="0" w:space="0" w:color="auto"/>
        <w:bottom w:val="none" w:sz="0" w:space="0" w:color="auto"/>
        <w:right w:val="none" w:sz="0" w:space="0" w:color="auto"/>
      </w:divBdr>
    </w:div>
    <w:div w:id="20954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ec.europa.eu/environment/nature/invasivealien/list/index_en.htm"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BG/TXT/?uri=celex:31999L0031" TargetMode="External"/><Relationship Id="rId18" Type="http://schemas.openxmlformats.org/officeDocument/2006/relationships/hyperlink" Target="https://eur-lex.europa.eu/legal-content/BG/ALL/?uri=COM:2018:738:FIN" TargetMode="External"/><Relationship Id="rId26" Type="http://schemas.openxmlformats.org/officeDocument/2006/relationships/hyperlink" Target="http://ec.europa.eu/environment/nature/legislation/fitness_check/action_plan/communication_en.pdf" TargetMode="External"/><Relationship Id="rId39" Type="http://schemas.openxmlformats.org/officeDocument/2006/relationships/hyperlink" Target="https://publications.europa.eu/en/publication-detail/-/publication/2a754add-32fb-11e8-b5fe-01aa75ed71a1/language-bg/format-PDF/source-72304101" TargetMode="External"/><Relationship Id="rId21" Type="http://schemas.openxmlformats.org/officeDocument/2006/relationships/hyperlink" Target="http://www.alpconv.org/" TargetMode="External"/><Relationship Id="rId34" Type="http://schemas.openxmlformats.org/officeDocument/2006/relationships/hyperlink" Target="http://ec.europa.eu/environment/air/quality/aqd_fitness_check_en.htm" TargetMode="External"/><Relationship Id="rId42" Type="http://schemas.openxmlformats.org/officeDocument/2006/relationships/hyperlink" Target="http://eur-lex.europa.eu/legal-content/BG/TXT/?qid=1481623908600&amp;uri=CELEX:32006L0007" TargetMode="External"/><Relationship Id="rId47" Type="http://schemas.openxmlformats.org/officeDocument/2006/relationships/hyperlink" Target="http://eur-lex.europa.eu/legal-content/BG/TXT/?uri=CELEX:32007L0060" TargetMode="External"/><Relationship Id="rId50" Type="http://schemas.openxmlformats.org/officeDocument/2006/relationships/hyperlink" Target="https://eur-lex.europa.eu/legal-content/BG/TXT/?uri=CELEX:32008R1272" TargetMode="External"/><Relationship Id="rId55" Type="http://schemas.openxmlformats.org/officeDocument/2006/relationships/hyperlink" Target="https://ec.europa.eu/taxation_customs/news/taxation-trends-report-2018_en" TargetMode="External"/><Relationship Id="rId63" Type="http://schemas.openxmlformats.org/officeDocument/2006/relationships/hyperlink" Target="http://ec.europa.eu/environment/legal/pdf/COM_2018_10_F1_COMMUNICATION_FROM_COMMISSION_TO_INST_EN_V8_P1_959219.pdf" TargetMode="External"/><Relationship Id="rId68" Type="http://schemas.openxmlformats.org/officeDocument/2006/relationships/hyperlink" Target="http://ec.europa.eu/environment/legal/pdf/COM_2018_10_F1_COMMUNICATION_FROM_COMMISSION_TO_INST_EN_V8_P1_959219.pdf" TargetMode="External"/><Relationship Id="rId76" Type="http://schemas.openxmlformats.org/officeDocument/2006/relationships/hyperlink" Target="https://circabc.europa.eu/sd/a/abff972e-203a-4b4e-b42e-a0f291d3fdf9/SWD_2017_EN_V4_P1_885057.pdf" TargetMode="External"/><Relationship Id="rId84" Type="http://schemas.openxmlformats.org/officeDocument/2006/relationships/hyperlink" Target="https://circabc.europa.eu/sd/a/abff972e-203a-4b4e-b42e-a0f291d3fdf9/SWD_2017_EN_V4_P1_885057.pdf" TargetMode="External"/><Relationship Id="rId7" Type="http://schemas.openxmlformats.org/officeDocument/2006/relationships/hyperlink" Target="https://ec.europa.eu/eurostat/web/circular-economy/indicators/monitoring-framework" TargetMode="External"/><Relationship Id="rId71" Type="http://schemas.openxmlformats.org/officeDocument/2006/relationships/hyperlink" Target="https://eur-lex.europa.eu/legal-content/bg/TXT/?uri=CELEX:32003L0004" TargetMode="External"/><Relationship Id="rId2" Type="http://schemas.openxmlformats.org/officeDocument/2006/relationships/hyperlink" Target="http://ec.europa.eu/environment/eir/p2p/index_en.htm" TargetMode="External"/><Relationship Id="rId16" Type="http://schemas.openxmlformats.org/officeDocument/2006/relationships/hyperlink" Target="https://ec.europa.eu/clima/sites/clima/files/docs/pages/com_2018_733_en.pdf" TargetMode="External"/><Relationship Id="rId29" Type="http://schemas.openxmlformats.org/officeDocument/2006/relationships/hyperlink" Target="https://eur-lex.europa.eu/legal-content/BG/TXT/?uri=CELEX:52013DC0659" TargetMode="External"/><Relationship Id="rId11" Type="http://schemas.openxmlformats.org/officeDocument/2006/relationships/hyperlink" Target="http://appsso.eurostat.ec.europa.eu/nui/show.do?dataset=env_wasmun&amp;lang=en" TargetMode="External"/><Relationship Id="rId24" Type="http://schemas.openxmlformats.org/officeDocument/2006/relationships/hyperlink" Target="https://eur-lex.europa.eu/legal-content/BG/TXT/?uri=CELEX:31992L0043" TargetMode="External"/><Relationship Id="rId32" Type="http://schemas.openxmlformats.org/officeDocument/2006/relationships/hyperlink" Target="https://ec.europa.eu/eurostat/statistics-explained/index.php/Air_pollution_statistics_-_emission_inventories" TargetMode="External"/><Relationship Id="rId37" Type="http://schemas.openxmlformats.org/officeDocument/2006/relationships/hyperlink" Target="https://www.eca.europa.eu/Lists/ECADocuments/SR18_23/SR_AIR_QUALITY_BG.pdf" TargetMode="External"/><Relationship Id="rId40" Type="http://schemas.openxmlformats.org/officeDocument/2006/relationships/hyperlink" Target="https://eur-lex.europa.eu/legal-content/BG/TXT/?qid=1540372185676&amp;uri=CELEX:32010L0075" TargetMode="External"/><Relationship Id="rId45" Type="http://schemas.openxmlformats.org/officeDocument/2006/relationships/hyperlink" Target="http://eur-lex.europa.eu/legal-content/BG/TXT/?qid=1481624135097&amp;uri=CELEX:32000L0060" TargetMode="External"/><Relationship Id="rId53" Type="http://schemas.openxmlformats.org/officeDocument/2006/relationships/hyperlink" Target="https://www.chemischestoffengoedgeregeld.nl/content/workshop-towards-safe-chemicals-innovation-agenda-substitution-safe-design" TargetMode="External"/><Relationship Id="rId58" Type="http://schemas.openxmlformats.org/officeDocument/2006/relationships/hyperlink" Target="https://circabc.europa.eu/ui/group/cafdbfbb-a3b9-42d8-b3c9-05e8f2c6a6fe/library/3df891ed-062d-4349-8751-f64bd9e5cf4b?p=1&amp;n=10&amp;sort=modified_DESC" TargetMode="External"/><Relationship Id="rId66" Type="http://schemas.openxmlformats.org/officeDocument/2006/relationships/hyperlink" Target="https://www.impel.eu/" TargetMode="External"/><Relationship Id="rId74" Type="http://schemas.openxmlformats.org/officeDocument/2006/relationships/hyperlink" Target="http://ec.europa.eu/environment/action-programme/" TargetMode="External"/><Relationship Id="rId79" Type="http://schemas.openxmlformats.org/officeDocument/2006/relationships/hyperlink" Target="https://eur-lex.europa.eu/legal-content/BG/TXT/?uri=COM:2016:739:FIN" TargetMode="External"/><Relationship Id="rId87" Type="http://schemas.openxmlformats.org/officeDocument/2006/relationships/hyperlink" Target="http://ec.europa.eu/environment/waste/framework/early_warning.htm" TargetMode="External"/><Relationship Id="rId5" Type="http://schemas.openxmlformats.org/officeDocument/2006/relationships/hyperlink" Target="https://eur-lex.europa.eu/legal-content/BG/TXT/?uri=COM:2018:28:FIN" TargetMode="External"/><Relationship Id="rId61" Type="http://schemas.openxmlformats.org/officeDocument/2006/relationships/hyperlink" Target="http://ec.europa.eu/environment/aarhus/index.htm" TargetMode="External"/><Relationship Id="rId82" Type="http://schemas.openxmlformats.org/officeDocument/2006/relationships/hyperlink" Target="http://data.europa.eu/euodp/bg/home" TargetMode="External"/><Relationship Id="rId19" Type="http://schemas.openxmlformats.org/officeDocument/2006/relationships/hyperlink" Target="https://eur-lex.europa.eu/legal-content/BG/TXT/?uri=CELEX:32018R1999" TargetMode="External"/><Relationship Id="rId4" Type="http://schemas.openxmlformats.org/officeDocument/2006/relationships/hyperlink" Target="https://ec.europa.eu/transparency/regdoc/rep/1/2015/EN/1-2015-614-EN-F1-1.PDF" TargetMode="External"/><Relationship Id="rId9" Type="http://schemas.openxmlformats.org/officeDocument/2006/relationships/hyperlink" Target="http://ec.europa.eu/eurostat/tgm/refreshTableAction.do?tab=table&amp;plugin=1&amp;pcode=t2020_rt120&amp;language=en" TargetMode="External"/><Relationship Id="rId14" Type="http://schemas.openxmlformats.org/officeDocument/2006/relationships/hyperlink" Target="https://www.ecologique-solidaire.gouv.fr/sites/default/files/FREC%20anglais.pdf" TargetMode="External"/><Relationship Id="rId22" Type="http://schemas.openxmlformats.org/officeDocument/2006/relationships/hyperlink" Target="http://www.carpathianconvention.org/" TargetMode="External"/><Relationship Id="rId27" Type="http://schemas.openxmlformats.org/officeDocument/2006/relationships/hyperlink" Target="https://eur-lex.europa.eu/LexUriServ/LexUriServ.do?uri=COM:2011:0244:FIN:BG:pdf" TargetMode="External"/><Relationship Id="rId30" Type="http://schemas.openxmlformats.org/officeDocument/2006/relationships/hyperlink" Target="https://eur-lex.europa.eu/legal-content/BG/TXT/?uri=CELEX:32008L0056" TargetMode="External"/><Relationship Id="rId35" Type="http://schemas.openxmlformats.org/officeDocument/2006/relationships/hyperlink" Target="https://ec.europa.eu/research/horizonprize/index.cfm?prize=engine-retrofit" TargetMode="External"/><Relationship Id="rId43" Type="http://schemas.openxmlformats.org/officeDocument/2006/relationships/hyperlink" Target="http://eur-lex.europa.eu/legal-content/BG/ALL/?uri=CELEX:31991L0271" TargetMode="External"/><Relationship Id="rId48" Type="http://schemas.openxmlformats.org/officeDocument/2006/relationships/hyperlink" Target="http://ec.europa.eu/environment/water/pdf/water_reuse_factsheet_en.pdf" TargetMode="External"/><Relationship Id="rId56" Type="http://schemas.openxmlformats.org/officeDocument/2006/relationships/hyperlink" Target="http://ec.europa.eu/social/main.jsp?catId=738&amp;langId=en&amp;pubId=8072" TargetMode="External"/><Relationship Id="rId64" Type="http://schemas.openxmlformats.org/officeDocument/2006/relationships/hyperlink" Target="https://eur-lex.europa.eu/legal-content/BG/TXT/?uri=CELEX:32018R1999" TargetMode="External"/><Relationship Id="rId69" Type="http://schemas.openxmlformats.org/officeDocument/2006/relationships/hyperlink" Target="https://ec.europa.eu/digital-single-market/en/news/quality-public-administration-toolbox-practitioners" TargetMode="External"/><Relationship Id="rId77" Type="http://schemas.openxmlformats.org/officeDocument/2006/relationships/hyperlink" Target="https://www.eea.europa.eu/soer" TargetMode="External"/><Relationship Id="rId8" Type="http://schemas.openxmlformats.org/officeDocument/2006/relationships/hyperlink" Target="https://www.consilium.europa.eu/nl/press/press-releases/2018/12/19/single-use-plastics-presidency-reaches-provisional-agreement-with-parliament/" TargetMode="External"/><Relationship Id="rId51" Type="http://schemas.openxmlformats.org/officeDocument/2006/relationships/hyperlink" Target="http://ec.europa.eu/environment/chemicals/index_en.htm" TargetMode="External"/><Relationship Id="rId72" Type="http://schemas.openxmlformats.org/officeDocument/2006/relationships/hyperlink" Target="https://eur-lex.europa.eu/legal-content/BG/TXT/?uri=celex:32013L0037" TargetMode="External"/><Relationship Id="rId80" Type="http://schemas.openxmlformats.org/officeDocument/2006/relationships/hyperlink" Target="https://ec.europa.eu/social/main.jsp?catId=738&amp;langId=en&amp;pubId=8055&amp;type=2&amp;furtherPubs=no" TargetMode="External"/><Relationship Id="rId85" Type="http://schemas.openxmlformats.org/officeDocument/2006/relationships/hyperlink" Target="http://ec.europa.eu/environment/nature/legislation/fitness_check/action_plan/communication_en.pdf" TargetMode="External"/><Relationship Id="rId3" Type="http://schemas.openxmlformats.org/officeDocument/2006/relationships/hyperlink" Target="https://eur-lex.europa.eu/legal-content/BG/TXT/?uri=COM:2016:316:FIN" TargetMode="External"/><Relationship Id="rId12" Type="http://schemas.openxmlformats.org/officeDocument/2006/relationships/hyperlink" Target="http://ec.europa.eu/environment/waste/pdf/waste_legislation_implementation_report.pdf" TargetMode="External"/><Relationship Id="rId17" Type="http://schemas.openxmlformats.org/officeDocument/2006/relationships/hyperlink" Target="https://eur-lex.europa.eu/legal-content/BG/TXT/?uri=CELEX:32018L0410" TargetMode="External"/><Relationship Id="rId25" Type="http://schemas.openxmlformats.org/officeDocument/2006/relationships/hyperlink" Target="https://eur-lex.europa.eu/legal-content/BG/TXT/?uri=CELEX:32009L0147" TargetMode="External"/><Relationship Id="rId33" Type="http://schemas.openxmlformats.org/officeDocument/2006/relationships/hyperlink" Target="https://eur-lex.europa.eu/legal-content/BG/TXT/?qid=1526552009832&amp;uri=COM:2018:330:FIN" TargetMode="External"/><Relationship Id="rId38" Type="http://schemas.openxmlformats.org/officeDocument/2006/relationships/hyperlink" Target="http://ec.europa.eu/environment/life/project/Projects/index.cfm?fuseaction=search.dspPage&amp;n_proj_id=5440" TargetMode="External"/><Relationship Id="rId46" Type="http://schemas.openxmlformats.org/officeDocument/2006/relationships/hyperlink" Target="http://eur-lex.europa.eu/legal-content/BG/TXT/?uri=CELEX:31991L0676" TargetMode="External"/><Relationship Id="rId59" Type="http://schemas.openxmlformats.org/officeDocument/2006/relationships/hyperlink" Target="http://ec.europa.eu/environment/legal/pdf/C_2018_10_F1_COMMISSION_DECISION_EN_V13_P1_959398.pdf" TargetMode="External"/><Relationship Id="rId67" Type="http://schemas.openxmlformats.org/officeDocument/2006/relationships/hyperlink" Target="https://ec.europa.eu/digital-single-market/en/european-egovernment-action-plan-2016-2020" TargetMode="External"/><Relationship Id="rId20" Type="http://schemas.openxmlformats.org/officeDocument/2006/relationships/hyperlink" Target="http://ec.europa.eu/regional_policy/en/policy/cooperation/macro-regional-strategies/" TargetMode="External"/><Relationship Id="rId41" Type="http://schemas.openxmlformats.org/officeDocument/2006/relationships/hyperlink" Target="https://publications.europa.eu/en/publication-detail/-/publication/2a754add-32fb-11e8-b5fe-01aa75ed71a1/language-bg/format-PDF/source-72304101" TargetMode="External"/><Relationship Id="rId54" Type="http://schemas.openxmlformats.org/officeDocument/2006/relationships/hyperlink" Target="https://ec.europa.eu/agriculture/sites/agriculture/files/exec-sum_en.pdf" TargetMode="External"/><Relationship Id="rId62" Type="http://schemas.openxmlformats.org/officeDocument/2006/relationships/hyperlink" Target="http://ec.europa.eu/environment/aarhus/pdf/notice_accesstojustice.pdf" TargetMode="External"/><Relationship Id="rId70" Type="http://schemas.openxmlformats.org/officeDocument/2006/relationships/hyperlink" Target="https://eur-lex.europa.eu/legal-content/BG/ALL/?uri=CELEX:32007L0002" TargetMode="External"/><Relationship Id="rId75" Type="http://schemas.openxmlformats.org/officeDocument/2006/relationships/hyperlink" Target="https://ec.europa.eu/transparency/regdoc/rep/1/2015/EN/1-2015-614-EN-F1-1.PDF" TargetMode="External"/><Relationship Id="rId83" Type="http://schemas.openxmlformats.org/officeDocument/2006/relationships/hyperlink" Target="http://ec.europa.eu/environment/air/pdf/clean_air_for_all.pdf" TargetMode="External"/><Relationship Id="rId1" Type="http://schemas.openxmlformats.org/officeDocument/2006/relationships/hyperlink" Target="https://eur-lex.europa.eu/legal-content/BG/TXT/?uri=CELEX:52017DC0063" TargetMode="External"/><Relationship Id="rId6" Type="http://schemas.openxmlformats.org/officeDocument/2006/relationships/hyperlink" Target="https://eur-lex.europa.eu/legal-content/BG/TXT/?uri=OJ:L:2018:150:TOC" TargetMode="External"/><Relationship Id="rId15" Type="http://schemas.openxmlformats.org/officeDocument/2006/relationships/hyperlink" Target="https://www.ipcc.ch/sr15/" TargetMode="External"/><Relationship Id="rId23" Type="http://schemas.openxmlformats.org/officeDocument/2006/relationships/hyperlink" Target="https://eur-lex.europa.eu/legal-content/BG/TXT/?uri=CELEX:52011DC0244" TargetMode="External"/><Relationship Id="rId28" Type="http://schemas.openxmlformats.org/officeDocument/2006/relationships/hyperlink" Target="https://eur-lex.europa.eu/legal-content/BG/TXT/?qid=1417443504720&amp;uri=CELEX:32014R1143" TargetMode="External"/><Relationship Id="rId36" Type="http://schemas.openxmlformats.org/officeDocument/2006/relationships/hyperlink" Target="https://www.sciencedirect.com/science/article/pii/S0013935118303086" TargetMode="External"/><Relationship Id="rId49" Type="http://schemas.openxmlformats.org/officeDocument/2006/relationships/hyperlink" Target="https://ec.europa.eu/info/events/eu-water-conference-2018_en" TargetMode="External"/><Relationship Id="rId57" Type="http://schemas.openxmlformats.org/officeDocument/2006/relationships/hyperlink" Target="https://eur-lex.europa.eu/legal-content/BG/ALL/?uri=COM:2017:63:FIN" TargetMode="External"/><Relationship Id="rId10" Type="http://schemas.openxmlformats.org/officeDocument/2006/relationships/hyperlink" Target="http://ec.europa.eu/environment/waste/pdf/waste_legislation_implementation_report.pdf" TargetMode="External"/><Relationship Id="rId31" Type="http://schemas.openxmlformats.org/officeDocument/2006/relationships/hyperlink" Target="http://connectcarpathians.ro/?lang=en" TargetMode="External"/><Relationship Id="rId44" Type="http://schemas.openxmlformats.org/officeDocument/2006/relationships/hyperlink" Target="http://eur-lex.europa.eu/legal-content/BG/TXT/?uri=CELEX:31998L0083" TargetMode="External"/><Relationship Id="rId52" Type="http://schemas.openxmlformats.org/officeDocument/2006/relationships/hyperlink" Target="https://eur-lex.europa.eu/legal-content/BG/ALL/?uri=COM:2018:0116:FIN" TargetMode="External"/><Relationship Id="rId60" Type="http://schemas.openxmlformats.org/officeDocument/2006/relationships/hyperlink" Target="http://ec.europa.eu/environment/integration/green_semester/expert_group_en.htm" TargetMode="External"/><Relationship Id="rId65" Type="http://schemas.openxmlformats.org/officeDocument/2006/relationships/hyperlink" Target="http://data.consilium.europa.eu/doc/document/ST-9450-2017-INIT/bg/pdf" TargetMode="External"/><Relationship Id="rId73" Type="http://schemas.openxmlformats.org/officeDocument/2006/relationships/hyperlink" Target="http://www.eis-data.eu/" TargetMode="External"/><Relationship Id="rId78" Type="http://schemas.openxmlformats.org/officeDocument/2006/relationships/hyperlink" Target="https://www.eea.europa.eu/publications/environmental-indicator-report-2018" TargetMode="External"/><Relationship Id="rId81" Type="http://schemas.openxmlformats.org/officeDocument/2006/relationships/hyperlink" Target="https://publications.europa.eu/en/publication-detail/-/publication/51888c17-960b-11e8-8bc1-01aa75ed71a1" TargetMode="External"/><Relationship Id="rId86" Type="http://schemas.openxmlformats.org/officeDocument/2006/relationships/hyperlink" Target="http://ec.europa.eu/environment/nature/legislation/fitness_check/action_plan/factshee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97EA221F96E4B9233A8505060E8B9" ma:contentTypeVersion="0" ma:contentTypeDescription="Create a new document." ma:contentTypeScope="" ma:versionID="dbda434071fed551bc7965c9517226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C8D9492-40FD-4CEF-A99A-8E43897D90CC}">
  <ds:schemaRefs>
    <ds:schemaRef ds:uri="http://schemas.microsoft.com/sharepoint/v3/contenttype/forms"/>
  </ds:schemaRefs>
</ds:datastoreItem>
</file>

<file path=customXml/itemProps2.xml><?xml version="1.0" encoding="utf-8"?>
<ds:datastoreItem xmlns:ds="http://schemas.openxmlformats.org/officeDocument/2006/customXml" ds:itemID="{5A929B3B-8303-4C6E-8650-F5C4817FA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8ECC67-CB6E-4AF9-969E-E84B571EE334}">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FD2A0975-A8AE-4865-856C-71E14794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23</Pages>
  <Words>9141</Words>
  <Characters>54207</Characters>
  <Application>Microsoft Office Word</Application>
  <DocSecurity>0</DocSecurity>
  <Lines>846</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31</cp:revision>
  <cp:lastPrinted>2019-02-01T15:12:00Z</cp:lastPrinted>
  <dcterms:created xsi:type="dcterms:W3CDTF">2019-02-28T16:04:00Z</dcterms:created>
  <dcterms:modified xsi:type="dcterms:W3CDTF">2019-03-25T10:34:00Z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0x01010078E97EA221F96E4B9233A8505060E8B9</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