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3A" w:rsidRDefault="00210422" w:rsidP="0021042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BC7FB5F-50F6-4288-ACDF-809B04D9360B" style="width:450.75pt;height:402pt">
            <v:imagedata r:id="rId8" o:title=""/>
          </v:shape>
        </w:pict>
      </w:r>
    </w:p>
    <w:bookmarkEnd w:id="0"/>
    <w:p w:rsidR="004D4A3A" w:rsidRDefault="004D4A3A">
      <w:pPr>
        <w:rPr>
          <w:rFonts w:ascii="Times New Roman" w:hAnsi="Times New Roman" w:cs="Times New Roman"/>
          <w:noProof/>
          <w:sz w:val="24"/>
          <w:szCs w:val="24"/>
        </w:rPr>
        <w:sectPr w:rsidR="004D4A3A" w:rsidSect="0021042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D4A3A" w:rsidRDefault="00D9324A">
      <w:pPr>
        <w:pStyle w:val="ListParagraph"/>
        <w:numPr>
          <w:ilvl w:val="0"/>
          <w:numId w:val="100"/>
        </w:numPr>
        <w:spacing w:line="240"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Introduction </w:t>
      </w:r>
    </w:p>
    <w:p w:rsidR="004D4A3A" w:rsidRDefault="00D9324A">
      <w:pPr>
        <w:pStyle w:val="Default"/>
        <w:jc w:val="both"/>
        <w:rPr>
          <w:rFonts w:ascii="Times New Roman" w:hAnsi="Times New Roman" w:cs="Times New Roman"/>
          <w:noProof/>
        </w:rPr>
      </w:pPr>
      <w:r>
        <w:rPr>
          <w:rFonts w:ascii="Times New Roman" w:hAnsi="Times New Roman"/>
          <w:noProof/>
        </w:rPr>
        <w:t xml:space="preserve">La dimension sociale de l’Union européenne est inscrite dans le traité sur l’Union européenne (TUE) en son article </w:t>
      </w:r>
      <w:r w:rsidRPr="00C94BF6">
        <w:rPr>
          <w:rFonts w:ascii="Times New Roman" w:hAnsi="Times New Roman"/>
          <w:noProof/>
        </w:rPr>
        <w:t>3</w:t>
      </w:r>
      <w:r>
        <w:rPr>
          <w:rFonts w:ascii="Times New Roman" w:hAnsi="Times New Roman"/>
          <w:noProof/>
        </w:rPr>
        <w:t xml:space="preserve">. Celui-ci met en lumière l’objectif de l’Union, qui consiste entre autres à promouvoir le bien-être des peuples, à œuvrer pour le développement durable et une économie sociale de marché hautement compétitive tendant au plein emploi et au progrès social, à combattre l'exclusion sociale et les discriminations et à promouvoir l'égalité entre les femmes et les hommes. </w:t>
      </w:r>
    </w:p>
    <w:p w:rsidR="004D4A3A" w:rsidRDefault="004D4A3A">
      <w:pPr>
        <w:pStyle w:val="Default"/>
        <w:jc w:val="both"/>
        <w:rPr>
          <w:rFonts w:ascii="Times New Roman" w:hAnsi="Times New Roman" w:cs="Times New Roman"/>
          <w:noProof/>
          <w:color w:val="auto"/>
        </w:rPr>
      </w:pPr>
    </w:p>
    <w:p w:rsidR="004D4A3A" w:rsidRDefault="00D9324A">
      <w:pPr>
        <w:pStyle w:val="Default"/>
        <w:spacing w:after="240"/>
        <w:jc w:val="both"/>
        <w:rPr>
          <w:rFonts w:ascii="Times New Roman" w:hAnsi="Times New Roman" w:cs="Times New Roman"/>
          <w:noProof/>
          <w:color w:val="auto"/>
        </w:rPr>
      </w:pPr>
      <w:r>
        <w:rPr>
          <w:rFonts w:ascii="Times New Roman" w:hAnsi="Times New Roman"/>
          <w:noProof/>
          <w:color w:val="auto"/>
        </w:rPr>
        <w:t xml:space="preserve">À cet égard, le rôle de l’Union européenne est de soutenir et compléter les politiques sociales des États membres, et de garantir à tous des règles du jeu équitables, une convergence ascendante dans le domaine social et celui de l’emploi ainsi que le bon fonctionnement du marché unique et de l’union économique et monétaire. La législation, la coordination des politiques et les financements adoptés à l’échelon de l’Union ont conduit à des progrès tangibles au cours des </w:t>
      </w:r>
      <w:r w:rsidRPr="00C94BF6">
        <w:rPr>
          <w:rFonts w:ascii="Times New Roman" w:hAnsi="Times New Roman"/>
          <w:noProof/>
          <w:color w:val="auto"/>
        </w:rPr>
        <w:t>60</w:t>
      </w:r>
      <w:r>
        <w:rPr>
          <w:rFonts w:ascii="Times New Roman" w:hAnsi="Times New Roman"/>
          <w:noProof/>
          <w:color w:val="auto"/>
        </w:rPr>
        <w:t xml:space="preserve"> dernières années (voir l’annexe </w:t>
      </w:r>
      <w:r w:rsidRPr="00C94BF6">
        <w:rPr>
          <w:rFonts w:ascii="Times New Roman" w:hAnsi="Times New Roman"/>
          <w:noProof/>
          <w:color w:val="auto"/>
        </w:rPr>
        <w:t>1</w:t>
      </w:r>
      <w:r>
        <w:rPr>
          <w:rFonts w:ascii="Times New Roman" w:hAnsi="Times New Roman"/>
          <w:noProof/>
          <w:color w:val="auto"/>
        </w:rPr>
        <w:t>).</w:t>
      </w:r>
    </w:p>
    <w:p w:rsidR="004D4A3A" w:rsidRDefault="00D9324A">
      <w:pPr>
        <w:pStyle w:val="Default"/>
        <w:spacing w:after="240"/>
        <w:jc w:val="both"/>
        <w:rPr>
          <w:rFonts w:ascii="Times New Roman" w:hAnsi="Times New Roman" w:cs="Times New Roman"/>
          <w:noProof/>
          <w:color w:val="auto"/>
        </w:rPr>
      </w:pPr>
      <w:r>
        <w:rPr>
          <w:rFonts w:ascii="Times New Roman" w:hAnsi="Times New Roman"/>
          <w:noProof/>
          <w:color w:val="auto"/>
        </w:rPr>
        <w:t>Avec en toile de fond l’évolution des marchés du travail et des sociétés et les nouvelles opportunités et nouveaux défis de la mondialisation, de la numérisation, des mesures d’atténuation du changement climatique et d’adaptation à ses effets, de l’évolution des modes de travail, des migrations et du vieillissement de la population, les questions sociales sont au cœur des préoccupations des citoyens de l’Union. En réponse à ces préoccupations, la Commission européenne a présenté un programme complet d’initiatives visant à renouveler et à moderniser l’acquis social de l’Union</w:t>
      </w:r>
      <w:r>
        <w:rPr>
          <w:rStyle w:val="FootnoteReference"/>
          <w:rFonts w:ascii="Times New Roman" w:hAnsi="Times New Roman"/>
          <w:noProof/>
          <w:color w:val="auto"/>
        </w:rPr>
        <w:footnoteReference w:id="2"/>
      </w:r>
      <w:r>
        <w:rPr>
          <w:rFonts w:ascii="Times New Roman" w:hAnsi="Times New Roman"/>
          <w:noProof/>
          <w:color w:val="auto"/>
        </w:rPr>
        <w:t xml:space="preserve">. Les dirigeants de l’Union européenne se sont aussi engagés, en mars </w:t>
      </w:r>
      <w:r w:rsidRPr="00C94BF6">
        <w:rPr>
          <w:rFonts w:ascii="Times New Roman" w:hAnsi="Times New Roman"/>
          <w:noProof/>
          <w:color w:val="auto"/>
        </w:rPr>
        <w:t>2017</w:t>
      </w:r>
      <w:r>
        <w:rPr>
          <w:rFonts w:ascii="Times New Roman" w:hAnsi="Times New Roman"/>
          <w:noProof/>
          <w:color w:val="auto"/>
        </w:rPr>
        <w:t>, à continuer d’œuvrer à la réalisation d’une Europe sociale</w:t>
      </w:r>
      <w:r>
        <w:rPr>
          <w:rStyle w:val="FootnoteReference"/>
          <w:rFonts w:ascii="Times New Roman" w:hAnsi="Times New Roman"/>
          <w:noProof/>
          <w:color w:val="auto"/>
        </w:rPr>
        <w:footnoteReference w:id="3"/>
      </w:r>
      <w:r>
        <w:t>.</w:t>
      </w:r>
    </w:p>
    <w:p w:rsidR="004D4A3A" w:rsidRDefault="00D9324A">
      <w:pPr>
        <w:pStyle w:val="Default"/>
        <w:spacing w:after="240"/>
        <w:jc w:val="both"/>
        <w:rPr>
          <w:rFonts w:ascii="Times New Roman" w:hAnsi="Times New Roman" w:cs="Times New Roman"/>
          <w:noProof/>
        </w:rPr>
      </w:pPr>
      <w:r>
        <w:rPr>
          <w:rFonts w:ascii="Times New Roman" w:hAnsi="Times New Roman"/>
          <w:noProof/>
          <w:color w:val="auto"/>
        </w:rPr>
        <w:t xml:space="preserve">La proclamation du socle européen des droits sociaux, en novembre </w:t>
      </w:r>
      <w:r w:rsidRPr="00C94BF6">
        <w:rPr>
          <w:rFonts w:ascii="Times New Roman" w:hAnsi="Times New Roman"/>
          <w:noProof/>
          <w:color w:val="auto"/>
        </w:rPr>
        <w:t>2017</w:t>
      </w:r>
      <w:r>
        <w:rPr>
          <w:rFonts w:ascii="Times New Roman" w:hAnsi="Times New Roman"/>
          <w:noProof/>
          <w:color w:val="auto"/>
        </w:rPr>
        <w:t>, a constitué une avancée majeure. Proposé par la Commission et proclamé conjointement avec le Parlement européen et le Conseil de l’Union européenne, le socle européen des droits sociaux</w:t>
      </w:r>
      <w:r>
        <w:rPr>
          <w:rStyle w:val="FootnoteReference"/>
          <w:rFonts w:ascii="Times New Roman" w:hAnsi="Times New Roman"/>
          <w:noProof/>
          <w:color w:val="auto"/>
        </w:rPr>
        <w:footnoteReference w:id="4"/>
      </w:r>
      <w:r>
        <w:rPr>
          <w:rFonts w:ascii="Times New Roman" w:hAnsi="Times New Roman"/>
          <w:noProof/>
          <w:color w:val="auto"/>
        </w:rPr>
        <w:t xml:space="preserve"> indique désormais le cap à tenir pour relever les défis d’aujourd’hui et de demain. Plusieurs initiatives ont déjà été adoptées à l’échelon de l’Union pour y donner suite et moderniser les droits </w:t>
      </w:r>
      <w:r>
        <w:rPr>
          <w:rFonts w:ascii="Times New Roman" w:hAnsi="Times New Roman"/>
          <w:noProof/>
        </w:rPr>
        <w:t>des citoyens dans un monde en mutation rapide</w:t>
      </w:r>
      <w:r>
        <w:rPr>
          <w:rStyle w:val="FootnoteReference"/>
          <w:rFonts w:ascii="Times New Roman" w:hAnsi="Times New Roman"/>
          <w:noProof/>
        </w:rPr>
        <w:footnoteReference w:id="5"/>
      </w:r>
      <w:r>
        <w:rPr>
          <w:rFonts w:ascii="Times New Roman" w:hAnsi="Times New Roman"/>
          <w:noProof/>
        </w:rPr>
        <w:t>, tout en contribuant à la réalisation des objectifs de développement durable des Nations unies</w:t>
      </w:r>
      <w:r>
        <w:t>.</w:t>
      </w:r>
    </w:p>
    <w:p w:rsidR="004D4A3A" w:rsidRDefault="00D9324A">
      <w:pPr>
        <w:pStyle w:val="Default"/>
        <w:spacing w:after="240"/>
        <w:jc w:val="both"/>
        <w:rPr>
          <w:rFonts w:ascii="Times New Roman" w:hAnsi="Times New Roman" w:cs="Times New Roman"/>
          <w:noProof/>
        </w:rPr>
      </w:pPr>
      <w:r>
        <w:rPr>
          <w:rFonts w:ascii="Times New Roman" w:hAnsi="Times New Roman"/>
          <w:noProof/>
        </w:rPr>
        <w:t xml:space="preserve">En ces temps de mutations rapides, et parfois déstabilisantes, il est plus important que jamais que l’Union européenne puisse, aux côtés des États membres, apporter promptement de véritables réponses stratégiques. Il faut à cette fin un processus décisionnel efficace permettant à l’Union d’agir, à savoir de soutenir et de compléter les politiques nationales, de s’attaquer sans tarder aux défis émergents, de tirer le meilleur parti des opportunités créées </w:t>
      </w:r>
      <w:r>
        <w:rPr>
          <w:rFonts w:ascii="Times New Roman" w:hAnsi="Times New Roman"/>
          <w:noProof/>
        </w:rPr>
        <w:lastRenderedPageBreak/>
        <w:t>par de tels changements, de défendre les intérêts collectifs de l’Union et de protéger les citoyens de l’Union.</w:t>
      </w:r>
    </w:p>
    <w:p w:rsidR="004D4A3A" w:rsidRDefault="00D9324A">
      <w:pPr>
        <w:pStyle w:val="Default"/>
        <w:spacing w:after="240"/>
        <w:jc w:val="both"/>
        <w:rPr>
          <w:rFonts w:ascii="Times New Roman" w:hAnsi="Times New Roman" w:cs="Times New Roman"/>
          <w:noProof/>
        </w:rPr>
      </w:pPr>
      <w:r>
        <w:rPr>
          <w:rFonts w:ascii="Times New Roman" w:hAnsi="Times New Roman"/>
          <w:noProof/>
        </w:rPr>
        <w:t xml:space="preserve">Comme le président de la Commission, Jean-Claude Juncker, l’a souligné dans son discours sur l’état de l’Union en septembre </w:t>
      </w:r>
      <w:r w:rsidRPr="00C94BF6">
        <w:rPr>
          <w:rFonts w:ascii="Times New Roman" w:hAnsi="Times New Roman"/>
          <w:noProof/>
        </w:rPr>
        <w:t>2018</w:t>
      </w:r>
      <w:r>
        <w:rPr>
          <w:rFonts w:ascii="Times New Roman" w:hAnsi="Times New Roman"/>
          <w:noProof/>
        </w:rPr>
        <w:t xml:space="preserve">, il convient de passer en revue le cadre décisionnel de l’Union, tel qu’établi dans les traités pour différents grands domaines d’action, pour s’assurer que celle-ci peut utiliser tous les outils mis à sa disposition et en maximiser la valeur ajoutée. </w:t>
      </w:r>
    </w:p>
    <w:p w:rsidR="004D4A3A" w:rsidRDefault="00D9324A">
      <w:pPr>
        <w:pStyle w:val="Default"/>
        <w:spacing w:after="240"/>
        <w:jc w:val="both"/>
        <w:rPr>
          <w:rFonts w:ascii="Times New Roman" w:hAnsi="Times New Roman" w:cs="Times New Roman"/>
          <w:noProof/>
        </w:rPr>
      </w:pPr>
      <w:r>
        <w:rPr>
          <w:rFonts w:ascii="Times New Roman" w:hAnsi="Times New Roman"/>
          <w:noProof/>
        </w:rPr>
        <w:t>La présente communication participe donc de l’engagement plus large pris par la Commission d’examiner les moyens de rendre la prise de décision plus efficace en recensant les domaines se prêtant à un recours accru au vote à la majorité qualifiée</w:t>
      </w:r>
      <w:r>
        <w:rPr>
          <w:rStyle w:val="FootnoteReference"/>
          <w:rFonts w:ascii="Times New Roman" w:hAnsi="Times New Roman"/>
          <w:noProof/>
        </w:rPr>
        <w:footnoteReference w:id="6"/>
      </w:r>
      <w:r>
        <w:rPr>
          <w:rFonts w:ascii="Times New Roman" w:hAnsi="Times New Roman"/>
          <w:noProof/>
        </w:rPr>
        <w:t>; elle s’inscrit également dans le prolongement de communications antérieures sur la politique étrangère et de sécurité commune</w:t>
      </w:r>
      <w:r>
        <w:rPr>
          <w:rStyle w:val="FootnoteReference"/>
          <w:rFonts w:ascii="Times New Roman" w:hAnsi="Times New Roman"/>
          <w:noProof/>
        </w:rPr>
        <w:footnoteReference w:id="7"/>
      </w:r>
      <w:r>
        <w:rPr>
          <w:rFonts w:ascii="Times New Roman" w:hAnsi="Times New Roman"/>
          <w:noProof/>
        </w:rPr>
        <w:t>, la fiscalité,</w:t>
      </w:r>
      <w:r>
        <w:rPr>
          <w:rStyle w:val="FootnoteReference"/>
          <w:rFonts w:ascii="Times New Roman" w:hAnsi="Times New Roman"/>
          <w:noProof/>
        </w:rPr>
        <w:footnoteReference w:id="8"/>
      </w:r>
      <w:r>
        <w:rPr>
          <w:rFonts w:ascii="Times New Roman" w:hAnsi="Times New Roman"/>
          <w:noProof/>
        </w:rPr>
        <w:t xml:space="preserve"> et l’énergie et le climat</w:t>
      </w:r>
      <w:r>
        <w:rPr>
          <w:rStyle w:val="FootnoteReference"/>
          <w:rFonts w:ascii="Times New Roman" w:hAnsi="Times New Roman"/>
          <w:noProof/>
        </w:rPr>
        <w:footnoteReference w:id="9"/>
      </w:r>
      <w:r>
        <w:t>.</w:t>
      </w:r>
      <w:r>
        <w:rPr>
          <w:rFonts w:ascii="Times New Roman" w:hAnsi="Times New Roman"/>
          <w:noProof/>
        </w:rPr>
        <w:t xml:space="preserve"> </w:t>
      </w:r>
    </w:p>
    <w:p w:rsidR="004D4A3A" w:rsidRDefault="00D9324A">
      <w:pPr>
        <w:pStyle w:val="Default"/>
        <w:spacing w:after="240"/>
        <w:jc w:val="both"/>
        <w:rPr>
          <w:rFonts w:ascii="Times New Roman" w:hAnsi="Times New Roman" w:cs="Times New Roman"/>
          <w:noProof/>
        </w:rPr>
      </w:pPr>
      <w:r>
        <w:rPr>
          <w:rFonts w:ascii="Times New Roman" w:hAnsi="Times New Roman"/>
          <w:noProof/>
        </w:rPr>
        <w:t xml:space="preserve">Il est important de signaler que depuis près de trois décennies, la grande majorité des décisions de politique sociale adoptées l’ont été conformément à la procédure législative ordinaire par laquelle le Conseil (statuant à la majorité qualifiée) et le Parlement européen agissent en tant que colégislateurs sur un pied d’égalité (voir la partie ci-dessous). En matière sociale, l’élaboration de la politique européenne diffère donc de ce qui est observé dans d’autres domaines, notamment la fiscalité et la politique étrangère et de sécurité commune, où l’unanimité est encore la norme. </w:t>
      </w:r>
    </w:p>
    <w:p w:rsidR="004D4A3A" w:rsidRDefault="00D9324A">
      <w:pPr>
        <w:pStyle w:val="Default"/>
        <w:spacing w:after="240"/>
        <w:jc w:val="both"/>
        <w:rPr>
          <w:rFonts w:ascii="Times New Roman" w:hAnsi="Times New Roman" w:cs="Times New Roman"/>
          <w:noProof/>
          <w:vertAlign w:val="superscript"/>
        </w:rPr>
      </w:pPr>
      <w:r>
        <w:rPr>
          <w:rFonts w:ascii="Times New Roman" w:hAnsi="Times New Roman"/>
          <w:noProof/>
        </w:rPr>
        <w:t>Autre particularité, la Commission est tenue de consulter les partenaires sociaux avant de soumettre des propositions dans le domaine social</w:t>
      </w:r>
      <w:r>
        <w:rPr>
          <w:rFonts w:ascii="Times New Roman" w:hAnsi="Times New Roman"/>
          <w:noProof/>
          <w:vertAlign w:val="superscript"/>
        </w:rPr>
        <w:footnoteReference w:id="10"/>
      </w:r>
      <w:r>
        <w:rPr>
          <w:rFonts w:ascii="Times New Roman" w:hAnsi="Times New Roman"/>
          <w:noProof/>
        </w:rPr>
        <w:t>.</w:t>
      </w:r>
      <w:r>
        <w:rPr>
          <w:rFonts w:ascii="Times New Roman" w:hAnsi="Times New Roman"/>
          <w:noProof/>
          <w:vertAlign w:val="superscript"/>
        </w:rPr>
        <w:t xml:space="preserve"> </w:t>
      </w:r>
      <w:r>
        <w:rPr>
          <w:rFonts w:ascii="Times New Roman" w:hAnsi="Times New Roman"/>
          <w:noProof/>
        </w:rPr>
        <w:t>Et les partenaires sociaux ont la possibilité de négocier des accords pouvant être mis en œuvre soit de façon autonome, conformément aux pratiques nationales, soit, s’ils le demandent, à l’échelon européen, au moyen d’une décision du Conseil</w:t>
      </w:r>
      <w:r>
        <w:rPr>
          <w:rFonts w:ascii="Times New Roman" w:hAnsi="Times New Roman"/>
          <w:noProof/>
          <w:vertAlign w:val="superscript"/>
        </w:rPr>
        <w:footnoteReference w:id="11"/>
      </w:r>
      <w:r>
        <w:rPr>
          <w:rFonts w:ascii="Times New Roman" w:hAnsi="Times New Roman"/>
          <w:noProof/>
        </w:rPr>
        <w:t>.</w:t>
      </w:r>
      <w:r>
        <w:rPr>
          <w:rFonts w:ascii="Times New Roman" w:hAnsi="Times New Roman"/>
          <w:noProof/>
          <w:vertAlign w:val="superscript"/>
        </w:rPr>
        <w:t xml:space="preserve"> </w:t>
      </w:r>
    </w:p>
    <w:p w:rsidR="004D4A3A" w:rsidRDefault="004D4A3A">
      <w:pPr>
        <w:pStyle w:val="Default"/>
        <w:spacing w:after="240"/>
        <w:jc w:val="both"/>
        <w:rPr>
          <w:rFonts w:ascii="Times New Roman" w:hAnsi="Times New Roman" w:cs="Times New Roman"/>
          <w:noProof/>
        </w:rPr>
      </w:pPr>
    </w:p>
    <w:p w:rsidR="004D4A3A" w:rsidRDefault="00D9324A">
      <w:pPr>
        <w:pStyle w:val="ListParagraph"/>
        <w:keepNext/>
        <w:numPr>
          <w:ilvl w:val="0"/>
          <w:numId w:val="100"/>
        </w:numPr>
        <w:spacing w:after="240" w:line="240" w:lineRule="auto"/>
        <w:ind w:left="357" w:hanging="357"/>
        <w:jc w:val="both"/>
        <w:rPr>
          <w:rFonts w:ascii="Times New Roman" w:hAnsi="Times New Roman" w:cs="Times New Roman"/>
          <w:b/>
          <w:noProof/>
          <w:sz w:val="24"/>
          <w:szCs w:val="24"/>
        </w:rPr>
      </w:pPr>
      <w:r>
        <w:rPr>
          <w:rFonts w:ascii="Times New Roman" w:hAnsi="Times New Roman"/>
          <w:b/>
          <w:noProof/>
          <w:sz w:val="24"/>
        </w:rPr>
        <w:t>Cadre décisionnel actuel de l’Union dans le domaine de la politique sociale</w:t>
      </w:r>
    </w:p>
    <w:p w:rsidR="004D4A3A" w:rsidRDefault="00D9324A">
      <w:pPr>
        <w:shd w:val="clear" w:color="auto" w:fill="FFFFFF"/>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L’acquis de la politique sociale est constitué de </w:t>
      </w:r>
      <w:r w:rsidRPr="00C94BF6">
        <w:rPr>
          <w:rFonts w:ascii="Times New Roman" w:hAnsi="Times New Roman"/>
          <w:sz w:val="24"/>
        </w:rPr>
        <w:t>125</w:t>
      </w:r>
      <w:r>
        <w:rPr>
          <w:rFonts w:ascii="Times New Roman" w:hAnsi="Times New Roman"/>
          <w:noProof/>
          <w:sz w:val="24"/>
        </w:rPr>
        <w:t xml:space="preserve"> actes juridiques régissant des domaines allant de l’égalité entre les femmes et les hommes jusqu’à l’information et la consultation des travailleurs, en passant par la mobilité des travailleurs, les droits des travailleurs détachés, la santé et la sécurité des travailleurs et les conditions de travail.  Jusqu’à présent, durant le </w:t>
      </w:r>
      <w:r>
        <w:rPr>
          <w:rFonts w:ascii="Times New Roman" w:hAnsi="Times New Roman"/>
          <w:noProof/>
          <w:sz w:val="24"/>
        </w:rPr>
        <w:lastRenderedPageBreak/>
        <w:t xml:space="preserve">mandat de la Commission Juncker, </w:t>
      </w:r>
      <w:r w:rsidRPr="00C94BF6">
        <w:rPr>
          <w:rFonts w:ascii="Times New Roman" w:hAnsi="Times New Roman"/>
          <w:noProof/>
          <w:sz w:val="24"/>
        </w:rPr>
        <w:t>27</w:t>
      </w:r>
      <w:r>
        <w:rPr>
          <w:rFonts w:ascii="Times New Roman" w:hAnsi="Times New Roman"/>
          <w:noProof/>
          <w:sz w:val="24"/>
        </w:rPr>
        <w:t xml:space="preserve"> propositions d’actes juridiques en matière sociale ont été présentées et </w:t>
      </w:r>
      <w:r w:rsidRPr="00C94BF6">
        <w:rPr>
          <w:rFonts w:ascii="Times New Roman" w:hAnsi="Times New Roman"/>
          <w:noProof/>
          <w:sz w:val="24"/>
        </w:rPr>
        <w:t>24</w:t>
      </w:r>
      <w:r>
        <w:rPr>
          <w:rFonts w:ascii="Times New Roman" w:hAnsi="Times New Roman"/>
          <w:noProof/>
          <w:sz w:val="24"/>
        </w:rPr>
        <w:t xml:space="preserve"> ont fait l’objet d’un accord (voir l’annexe </w:t>
      </w:r>
      <w:r w:rsidRPr="00C94BF6">
        <w:rPr>
          <w:rFonts w:ascii="Times New Roman" w:hAnsi="Times New Roman"/>
          <w:noProof/>
          <w:sz w:val="24"/>
        </w:rPr>
        <w:t>2</w:t>
      </w:r>
      <w:r>
        <w:rPr>
          <w:rFonts w:ascii="Times New Roman" w:hAnsi="Times New Roman"/>
          <w:noProof/>
          <w:sz w:val="24"/>
        </w:rPr>
        <w:t>).</w:t>
      </w:r>
    </w:p>
    <w:p w:rsidR="004D4A3A" w:rsidRDefault="00D9324A">
      <w:pPr>
        <w:keepLines/>
        <w:shd w:val="clear" w:color="auto" w:fill="FFFFFF"/>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L’acquis de la politique sociale a été en grande partie adopté à la suite de votes à la majorité qualifiée et dans le cadre de la procédure législative ordinaire. En outre, les accords des partenaires sociaux mis en œuvre à l’échelon de l’Union ont joué un rôle significatif dans son développement. L’adoption à l’unanimité a été utilisée dans certains domaines, tels que la coordination des systèmes de sécurité sociale (pour les premiers actes juridiques sur cette question)</w:t>
      </w:r>
      <w:r>
        <w:rPr>
          <w:rStyle w:val="FootnoteReference"/>
          <w:rFonts w:ascii="Times New Roman" w:hAnsi="Times New Roman"/>
          <w:noProof/>
          <w:sz w:val="24"/>
        </w:rPr>
        <w:footnoteReference w:id="12"/>
      </w:r>
      <w:r>
        <w:rPr>
          <w:rFonts w:ascii="Times New Roman" w:hAnsi="Times New Roman"/>
          <w:noProof/>
          <w:sz w:val="24"/>
        </w:rPr>
        <w:t xml:space="preserve"> et la lutte contre les discriminations fondées sur le sexe, l’origine raciale ou ethnique, la religion ou les convictions, le handicap, l’âge ou l’orientation sexuelle.</w:t>
      </w:r>
    </w:p>
    <w:p w:rsidR="004D4A3A" w:rsidRDefault="00D9324A">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n'en reste pas moins qu'un nombre limité de domaines de la politique sociale sont encore soumis au vote à l’unanimité du Conseil et à la procédure législative spéciale, dans laquelle le Parlement européen n’a pas le rôle de colégislateur. Il s’agit:</w:t>
      </w:r>
    </w:p>
    <w:p w:rsidR="004D4A3A" w:rsidRDefault="00D9324A">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de la non-discrimination (article </w:t>
      </w:r>
      <w:r w:rsidRPr="00C94BF6">
        <w:rPr>
          <w:rFonts w:ascii="Times New Roman" w:hAnsi="Times New Roman"/>
          <w:noProof/>
          <w:sz w:val="24"/>
        </w:rPr>
        <w:t>19</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du TFUE);</w:t>
      </w:r>
    </w:p>
    <w:p w:rsidR="004D4A3A" w:rsidRDefault="00D9324A">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de la sécurité sociale et de la protection sociale des travailleurs (en dehors des situations transfrontières) [article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point c), du TFUE];</w:t>
      </w:r>
    </w:p>
    <w:p w:rsidR="004D4A3A" w:rsidRDefault="00D9324A">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de la protection des travailleurs en cas de résiliation de leur contrat de travail  [article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point d), du TFUE];</w:t>
      </w:r>
    </w:p>
    <w:p w:rsidR="004D4A3A" w:rsidRDefault="00D9324A">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de la représentation et de la défense collective des intérêts des travailleurs et des employeurs  [article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xml:space="preserve">, point f), du TFUE]; </w:t>
      </w:r>
    </w:p>
    <w:p w:rsidR="004D4A3A" w:rsidRDefault="00D9324A">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des conditions d'emploi des ressortissants des pays tiers se trouvant en séjour régulier sur le territoire de l'Union  [article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point g), du TFUE].</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Hormis le fait que certains de leurs aspects peuvent avoir des répercussions sur l’équilibre financier des systèmes nationaux de protection sociale, aucune logique particulière ne justifie qu’au terme des révisions successives du traité, ces quelques domaines soient encore soumis au vote à l’unanimité et à la procédure législative spéciale, surtout si on les compare à ceux auxquels s’applique déjà le vote à la majorité qualifiée.</w:t>
      </w:r>
    </w:p>
    <w:p w:rsidR="004D4A3A" w:rsidRDefault="00D9324A">
      <w:pPr>
        <w:rPr>
          <w:rFonts w:ascii="Times New Roman" w:eastAsia="Times New Roman" w:hAnsi="Times New Roman" w:cs="Times New Roman"/>
          <w:noProof/>
          <w:sz w:val="24"/>
          <w:szCs w:val="24"/>
          <w:highlight w:val="yellow"/>
        </w:rPr>
      </w:pPr>
      <w:r>
        <w:br w:type="page"/>
      </w:r>
    </w:p>
    <w:p w:rsidR="004D4A3A" w:rsidRDefault="00D9324A">
      <w:pPr>
        <w:pStyle w:val="BodyText"/>
        <w:jc w:val="both"/>
        <w:rPr>
          <w:rFonts w:ascii="Times New Roman"/>
          <w:noProof/>
          <w:sz w:val="20"/>
        </w:rPr>
      </w:pPr>
      <w:r>
        <w:rPr>
          <w:rFonts w:ascii="Times New Roman" w:hAnsi="Times New Roman"/>
          <w:b/>
          <w:noProof/>
          <w:sz w:val="24"/>
        </w:rPr>
        <w:t xml:space="preserve">Graphique </w:t>
      </w:r>
      <w:r w:rsidRPr="00C94BF6">
        <w:rPr>
          <w:rFonts w:ascii="Times New Roman" w:hAnsi="Times New Roman"/>
          <w:b/>
          <w:noProof/>
          <w:sz w:val="24"/>
        </w:rPr>
        <w:t>1</w:t>
      </w:r>
      <w:r>
        <w:rPr>
          <w:rFonts w:ascii="Times New Roman" w:hAnsi="Times New Roman"/>
          <w:b/>
          <w:noProof/>
          <w:sz w:val="24"/>
        </w:rPr>
        <w:t>:  L’acquis de la politique sociale – le vote à l’unanimité et à la majorité qualifiée illustré d’exemples d’actes juridiques en vigueur</w:t>
      </w:r>
    </w:p>
    <w:p w:rsidR="004D4A3A" w:rsidRDefault="004D4A3A">
      <w:pPr>
        <w:spacing w:after="0" w:line="240" w:lineRule="auto"/>
        <w:jc w:val="both"/>
        <w:rPr>
          <w:rFonts w:ascii="Times New Roman" w:eastAsia="Times New Roman" w:hAnsi="Times New Roman" w:cs="Times New Roman"/>
          <w:noProof/>
          <w:sz w:val="24"/>
          <w:szCs w:val="24"/>
        </w:rPr>
      </w:pPr>
    </w:p>
    <w:p w:rsidR="004D4A3A" w:rsidRDefault="004D4A3A">
      <w:pPr>
        <w:spacing w:after="0" w:line="240" w:lineRule="auto"/>
        <w:jc w:val="both"/>
        <w:rPr>
          <w:rFonts w:ascii="Times New Roman" w:eastAsia="Times New Roman" w:hAnsi="Times New Roman" w:cs="Times New Roman"/>
          <w:noProof/>
          <w:sz w:val="24"/>
          <w:szCs w:val="24"/>
        </w:rPr>
      </w:pPr>
    </w:p>
    <w:p w:rsidR="004D4A3A" w:rsidRDefault="004D4A3A">
      <w:pPr>
        <w:spacing w:after="0" w:line="240" w:lineRule="auto"/>
        <w:jc w:val="both"/>
        <w:rPr>
          <w:rFonts w:ascii="Times New Roman" w:eastAsia="Times New Roman" w:hAnsi="Times New Roman" w:cs="Times New Roman"/>
          <w:noProof/>
          <w:sz w:val="24"/>
          <w:szCs w:val="24"/>
        </w:rPr>
      </w:pPr>
    </w:p>
    <w:p w:rsidR="004D4A3A" w:rsidRPr="00D544D3" w:rsidRDefault="00D544D3">
      <w:pPr>
        <w:spacing w:after="0" w:line="240" w:lineRule="auto"/>
        <w:jc w:val="both"/>
        <w:rPr>
          <w:rFonts w:ascii="Times New Roman" w:eastAsia="Times New Roman" w:hAnsi="Times New Roman" w:cs="Times New Roman"/>
          <w:noProof/>
          <w:sz w:val="24"/>
          <w:szCs w:val="24"/>
        </w:rPr>
      </w:pPr>
      <w:r>
        <w:rPr>
          <w:noProof/>
          <w:lang w:val="fr-BE" w:eastAsia="fr-BE" w:bidi="ar-SA"/>
        </w:rPr>
        <w:drawing>
          <wp:inline distT="0" distB="0" distL="0" distR="0" wp14:anchorId="7DD674EC" wp14:editId="618306F4">
            <wp:extent cx="5760720" cy="6918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6918866"/>
                    </a:xfrm>
                    <a:prstGeom prst="rect">
                      <a:avLst/>
                    </a:prstGeom>
                  </pic:spPr>
                </pic:pic>
              </a:graphicData>
            </a:graphic>
          </wp:inline>
        </w:drawing>
      </w:r>
    </w:p>
    <w:p w:rsidR="004D4A3A" w:rsidRDefault="004D4A3A">
      <w:pPr>
        <w:spacing w:after="0" w:line="240" w:lineRule="auto"/>
        <w:jc w:val="both"/>
        <w:rPr>
          <w:rFonts w:ascii="Times New Roman" w:eastAsia="Times New Roman" w:hAnsi="Times New Roman" w:cs="Times New Roman"/>
          <w:noProof/>
          <w:sz w:val="24"/>
          <w:szCs w:val="24"/>
        </w:rPr>
      </w:pPr>
    </w:p>
    <w:p w:rsidR="004D4A3A" w:rsidRDefault="004D4A3A">
      <w:pPr>
        <w:spacing w:after="0" w:line="240" w:lineRule="auto"/>
        <w:jc w:val="both"/>
        <w:rPr>
          <w:rFonts w:ascii="Times New Roman" w:eastAsia="Times New Roman" w:hAnsi="Times New Roman" w:cs="Times New Roman"/>
          <w:noProof/>
          <w:sz w:val="24"/>
          <w:szCs w:val="24"/>
        </w:rPr>
      </w:pPr>
    </w:p>
    <w:p w:rsidR="004D4A3A" w:rsidRDefault="004D4A3A">
      <w:pPr>
        <w:spacing w:after="0" w:line="240" w:lineRule="auto"/>
        <w:jc w:val="both"/>
        <w:rPr>
          <w:rFonts w:ascii="Times New Roman" w:eastAsia="Times New Roman" w:hAnsi="Times New Roman" w:cs="Times New Roman"/>
          <w:noProof/>
          <w:sz w:val="24"/>
          <w:szCs w:val="24"/>
        </w:rPr>
      </w:pPr>
    </w:p>
    <w:p w:rsidR="004D4A3A" w:rsidRDefault="00D9324A">
      <w:pPr>
        <w:pStyle w:val="ListParagraph"/>
        <w:keepNext/>
        <w:numPr>
          <w:ilvl w:val="0"/>
          <w:numId w:val="100"/>
        </w:numPr>
        <w:spacing w:before="480"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Soutenir le développement de la politique sociale de l’Union</w:t>
      </w:r>
    </w:p>
    <w:p w:rsidR="004D4A3A" w:rsidRDefault="00D9324A">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Combler les écarts en matière de protection sociale</w:t>
      </w:r>
    </w:p>
    <w:p w:rsidR="004D4A3A" w:rsidRDefault="00D9324A">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prise de décisions à l’unanimité d’une part et la coexistence d’un vote à la majorité qualifiée et à l’unanimité dans le même domaine d’action d’autre part ont engendré des déséquilibres dans le développement de l’acquis de la politique sociale. Même si les normes de protection sont élevées dans l’ensemble, les écarts qui subsistent font que certaines catégories de population ne sont pas également protégées. En voici quelques exemples:</w:t>
      </w:r>
    </w:p>
    <w:p w:rsidR="004D4A3A" w:rsidRDefault="00D9324A">
      <w:pPr>
        <w:pStyle w:val="ListParagraph"/>
        <w:numPr>
          <w:ilvl w:val="0"/>
          <w:numId w:val="81"/>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L’Union s’est dotée de dispositions juridiques exhaustives sur l’égalité des chances et l’égalité de traitement entre les hommes et les femmes, ainsi que sur l’égalité de traitement sur la base de l’origine raciale ou ethnique, mais l’égalité de traitement par rapport à la religion ou les convictions, le handicap, l’âge et l’orientation sexuelle n’est pas garantie dans la même mesure. Il s’agit là d’un exemple de domaine relevant du vote à l’unanimité où les règles ne se sont pas développées de manière équilibrée. </w:t>
      </w:r>
    </w:p>
    <w:p w:rsidR="004D4A3A" w:rsidRDefault="00D9324A">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ressortissants de pays tiers en séjour régulier bénéficient de l’égalité de traitement par rapport aux ressortissants des États membres de l’Union  en ce qui concerne l’accès au marché du travail et les conditions de travail (et aussi l’accès à l’éducation et à la formation professionnelle, la reconnaissance des diplômes et d’autres qualifications professionnelles, la sécurité sociale et l’accès aux biens et services), mais l’Union n’a adopté aucune disposition minimale contraignante explicitement destinée à leur intégration effective sur le marché du travail. Il s’agit là d’un exemple où le traité prévoit deux procédures, avec des règles de vote différentes, pour des domaines similaires, à savoir l’immigration légale et les conditions de travail des immigrants en séjour régulier.</w:t>
      </w:r>
    </w:p>
    <w:p w:rsidR="004D4A3A" w:rsidRDefault="00D9324A">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travailleurs doivent être informés et consultés au préalable par leur direction en cas de décision envisageant notamment une restructuration, des licenciements collectifs ou le transfert de l’entreprise, ou lorsqu’il s’agit d’une entreprise à l’échelle européenne (par l’intermédiaire des comités d’entreprise européens). Cependant, en dehors des règles sur l’implication des salariés dans une «société européenne»</w:t>
      </w:r>
      <w:r>
        <w:rPr>
          <w:rStyle w:val="FootnoteReference"/>
          <w:rFonts w:ascii="Times New Roman" w:hAnsi="Times New Roman"/>
          <w:noProof/>
          <w:sz w:val="24"/>
        </w:rPr>
        <w:footnoteReference w:id="13"/>
      </w:r>
      <w:r>
        <w:rPr>
          <w:rFonts w:ascii="Times New Roman" w:hAnsi="Times New Roman"/>
          <w:noProof/>
          <w:sz w:val="24"/>
        </w:rPr>
        <w:t>, il n’existe pas de prescriptions minimales communes pour la représentation et la défense collective des intérêts des travailleurs et des employeurs. De plus, seules des dispositions limitées régissent la protection des travailleurs en cas de licenciement individuel.</w:t>
      </w:r>
    </w:p>
    <w:p w:rsidR="004D4A3A" w:rsidRDefault="004D4A3A">
      <w:pPr>
        <w:pStyle w:val="ListParagraph"/>
        <w:spacing w:after="240" w:line="240" w:lineRule="auto"/>
        <w:jc w:val="both"/>
        <w:rPr>
          <w:rFonts w:ascii="Times New Roman" w:eastAsia="Times New Roman" w:hAnsi="Times New Roman" w:cs="Times New Roman"/>
          <w:noProof/>
          <w:sz w:val="24"/>
          <w:szCs w:val="24"/>
        </w:rPr>
      </w:pPr>
    </w:p>
    <w:p w:rsidR="004D4A3A" w:rsidRDefault="00D9324A">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Emboîter le pas à l’évolution des enjeux sociaux</w:t>
      </w:r>
    </w:p>
    <w:p w:rsidR="004D4A3A" w:rsidRDefault="00D9324A">
      <w:pPr>
        <w:pStyle w:val="Default"/>
        <w:spacing w:after="120"/>
        <w:jc w:val="both"/>
        <w:rPr>
          <w:rFonts w:ascii="Times New Roman" w:eastAsia="Times New Roman" w:hAnsi="Times New Roman" w:cs="Times New Roman"/>
          <w:noProof/>
        </w:rPr>
      </w:pPr>
      <w:r>
        <w:rPr>
          <w:rFonts w:ascii="Times New Roman" w:hAnsi="Times New Roman"/>
          <w:noProof/>
        </w:rPr>
        <w:t>L’Union et tous ses États membres sont confrontés à des défis communs: incidences des nouvelles technologies, pression concurrentielle croissante dans une économie mondialisée, nouvelles formes de travail et tendances démographiques (y compris le vieillissement de la population). Il est important qu’ils tirent pleinement parti des opportunités créées par certaines de ces évolutions (comme la numérisation). La préservation des principes fondamentaux du modèle social européen pour les générations futures requiert une action dans un large éventail de domaines; il convient en particulier:</w:t>
      </w:r>
    </w:p>
    <w:p w:rsidR="004D4A3A" w:rsidRDefault="00D9324A">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de garantir des systèmes de retraite et de soins de longue durée adéquats et viables, au vu du vieillissement de la population et de l’évolution des modes de vie et des modèles familiaux;</w:t>
      </w:r>
    </w:p>
    <w:p w:rsidR="004D4A3A" w:rsidRDefault="00D9324A">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d’apporter un soutien aux travailleurs compte tenu de l’allongement et de la plus grande diversification des carrières professionnelles, et de la fréquence accrue des interruptions de carrière;</w:t>
      </w:r>
    </w:p>
    <w:p w:rsidR="004D4A3A" w:rsidRDefault="00D9324A">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 xml:space="preserve">de relever le niveau des qualifications et de fournir des possibilités pertinentes d’apprentissage tout au long de la vie, pour garantir la compétitivité de nos économies; </w:t>
      </w:r>
    </w:p>
    <w:p w:rsidR="004D4A3A" w:rsidRDefault="00D9324A">
      <w:pPr>
        <w:pStyle w:val="Default"/>
        <w:numPr>
          <w:ilvl w:val="0"/>
          <w:numId w:val="98"/>
        </w:numPr>
        <w:spacing w:after="240"/>
        <w:jc w:val="both"/>
        <w:rPr>
          <w:rFonts w:ascii="Times New Roman" w:eastAsia="Times New Roman" w:hAnsi="Times New Roman" w:cs="Times New Roman"/>
          <w:noProof/>
        </w:rPr>
      </w:pPr>
      <w:r>
        <w:rPr>
          <w:rFonts w:ascii="Times New Roman" w:hAnsi="Times New Roman"/>
          <w:noProof/>
        </w:rPr>
        <w:t>de mettre en avant les avantages d’une société plurielle, tout en garantissant l’inclusion sociale et l’égalité des chances pour tous.</w:t>
      </w:r>
    </w:p>
    <w:p w:rsidR="004D4A3A" w:rsidRDefault="00D9324A">
      <w:pPr>
        <w:pStyle w:val="Default"/>
        <w:spacing w:after="240"/>
        <w:jc w:val="both"/>
        <w:rPr>
          <w:rFonts w:ascii="Times New Roman" w:eastAsia="Times New Roman" w:hAnsi="Times New Roman" w:cs="Times New Roman"/>
          <w:noProof/>
        </w:rPr>
      </w:pPr>
      <w:r>
        <w:rPr>
          <w:rFonts w:ascii="Times New Roman" w:hAnsi="Times New Roman"/>
          <w:noProof/>
        </w:rPr>
        <w:t>Face à ces enjeux en constante évolution, l’Union a besoin d’un processus décisionnel européen rapide, efficace et souple, pour que la législation et les instruments non contraignants tels que les recommandations puissent suivre le rythme des transformations économiques et sociétales.</w:t>
      </w:r>
    </w:p>
    <w:p w:rsidR="004D4A3A" w:rsidRDefault="00D9324A">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Encourager une culture du compromis</w:t>
      </w:r>
    </w:p>
    <w:p w:rsidR="004D4A3A" w:rsidRDefault="00D9324A">
      <w:pPr>
        <w:pStyle w:val="Default"/>
        <w:spacing w:after="240"/>
        <w:jc w:val="both"/>
        <w:rPr>
          <w:rFonts w:ascii="Times New Roman" w:eastAsia="Times New Roman" w:hAnsi="Times New Roman" w:cs="Times New Roman"/>
          <w:noProof/>
          <w:color w:val="auto"/>
        </w:rPr>
      </w:pPr>
      <w:r>
        <w:rPr>
          <w:rFonts w:ascii="Times New Roman" w:hAnsi="Times New Roman"/>
          <w:noProof/>
          <w:color w:val="auto"/>
        </w:rPr>
        <w:t>Le vote à la majorité qualifiée repose sur une culture du compromis, il favorise le débat et des solutions pragmatiques reflétant les intérêts de l’Union dans son ensemble. Ce processus décisionnel souple, efficace et rapide a permis à l’Union de devenir un modèle et une référence mondiale dans des domaines d’action tels que la santé et la sécurité au travail. La perspective d’un vote à la majorité qualifiée peut agir comme un puissant catalyseur qui pousse l’ensemble des acteurs à trouver des compromis et à parvenir à une solution acceptable pour tous.</w:t>
      </w:r>
    </w:p>
    <w:tbl>
      <w:tblPr>
        <w:tblStyle w:val="TableGrid2"/>
        <w:tblW w:w="0" w:type="auto"/>
        <w:tblLook w:val="04A0" w:firstRow="1" w:lastRow="0" w:firstColumn="1" w:lastColumn="0" w:noHBand="0" w:noVBand="1"/>
      </w:tblPr>
      <w:tblGrid>
        <w:gridCol w:w="9242"/>
      </w:tblGrid>
      <w:tr w:rsidR="004D4A3A">
        <w:tc>
          <w:tcPr>
            <w:tcW w:w="9242" w:type="dxa"/>
          </w:tcPr>
          <w:p w:rsidR="004D4A3A" w:rsidRDefault="00D9324A">
            <w:pPr>
              <w:autoSpaceDE w:val="0"/>
              <w:autoSpaceDN w:val="0"/>
              <w:adjustRightInd w:val="0"/>
              <w:spacing w:after="120"/>
              <w:jc w:val="both"/>
              <w:rPr>
                <w:rFonts w:ascii="Times New Roman" w:eastAsia="Times New Roman" w:hAnsi="Times New Roman" w:cs="Times New Roman"/>
                <w:i/>
                <w:noProof/>
                <w:sz w:val="24"/>
                <w:szCs w:val="24"/>
              </w:rPr>
            </w:pPr>
            <w:r>
              <w:rPr>
                <w:rFonts w:ascii="Times New Roman" w:hAnsi="Times New Roman"/>
                <w:i/>
                <w:noProof/>
                <w:sz w:val="24"/>
              </w:rPr>
              <w:t xml:space="preserve">Le vote à la majorité qualifiée va au-delà de la règle de la majorité simple, qui exige d’atteindre plus de </w:t>
            </w:r>
            <w:r w:rsidRPr="00C94BF6">
              <w:rPr>
                <w:rFonts w:ascii="Times New Roman" w:hAnsi="Times New Roman"/>
                <w:i/>
                <w:noProof/>
                <w:sz w:val="24"/>
              </w:rPr>
              <w:t>50</w:t>
            </w:r>
            <w:r>
              <w:rPr>
                <w:rFonts w:ascii="Times New Roman" w:hAnsi="Times New Roman"/>
                <w:i/>
                <w:noProof/>
                <w:sz w:val="24"/>
              </w:rPr>
              <w:t xml:space="preserve"> % des votes. Les abstentions n’étant pas comptées comme des votes favorables, l’obtention de la majorité nécessite que les États membres se prononcent explicitement en faveur d’une proposition et votent pour celle-ci. Deux conditions sont requises pour l’obtention d’une majorité qualifiée:</w:t>
            </w:r>
          </w:p>
          <w:p w:rsidR="004D4A3A" w:rsidRDefault="00D9324A">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rPr>
            </w:pPr>
            <w:r>
              <w:rPr>
                <w:rFonts w:ascii="Times New Roman" w:hAnsi="Times New Roman"/>
                <w:i/>
                <w:noProof/>
                <w:sz w:val="24"/>
              </w:rPr>
              <w:t>•</w:t>
            </w:r>
            <w:r>
              <w:tab/>
            </w:r>
            <w:r w:rsidRPr="00C94BF6">
              <w:rPr>
                <w:rFonts w:ascii="Times New Roman" w:hAnsi="Times New Roman"/>
                <w:i/>
                <w:noProof/>
                <w:sz w:val="24"/>
              </w:rPr>
              <w:t>55</w:t>
            </w:r>
            <w:r>
              <w:rPr>
                <w:rFonts w:ascii="Times New Roman" w:hAnsi="Times New Roman"/>
                <w:i/>
                <w:noProof/>
                <w:sz w:val="24"/>
              </w:rPr>
              <w:t> % des États membres votent pour  et</w:t>
            </w:r>
          </w:p>
          <w:p w:rsidR="004D4A3A" w:rsidRDefault="00D9324A">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rPr>
            </w:pPr>
            <w:r>
              <w:rPr>
                <w:rFonts w:ascii="Times New Roman" w:hAnsi="Times New Roman"/>
                <w:i/>
                <w:noProof/>
                <w:sz w:val="24"/>
              </w:rPr>
              <w:t>•</w:t>
            </w:r>
            <w:r>
              <w:tab/>
            </w:r>
            <w:r>
              <w:rPr>
                <w:rFonts w:ascii="Times New Roman" w:hAnsi="Times New Roman"/>
                <w:i/>
                <w:noProof/>
                <w:sz w:val="24"/>
              </w:rPr>
              <w:t xml:space="preserve">la proposition est soutenue par des États membres représentant au moins </w:t>
            </w:r>
            <w:r w:rsidRPr="00C94BF6">
              <w:rPr>
                <w:rFonts w:ascii="Times New Roman" w:hAnsi="Times New Roman"/>
                <w:i/>
                <w:noProof/>
                <w:sz w:val="24"/>
              </w:rPr>
              <w:t>65</w:t>
            </w:r>
            <w:r>
              <w:rPr>
                <w:rFonts w:ascii="Times New Roman" w:hAnsi="Times New Roman"/>
                <w:i/>
                <w:noProof/>
                <w:sz w:val="24"/>
              </w:rPr>
              <w:t> % de la population totale de l'Union.</w:t>
            </w:r>
          </w:p>
        </w:tc>
      </w:tr>
    </w:tbl>
    <w:p w:rsidR="004D4A3A" w:rsidRDefault="004D4A3A">
      <w:pPr>
        <w:pStyle w:val="Default"/>
        <w:jc w:val="both"/>
        <w:rPr>
          <w:rFonts w:ascii="Times New Roman" w:eastAsia="Times New Roman" w:hAnsi="Times New Roman" w:cs="Times New Roman"/>
          <w:noProof/>
          <w:color w:val="auto"/>
        </w:rPr>
      </w:pP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vote à l’unanimité ne comporte pas de telles incitations puisque sa principale caractéristique est qu’en réalité, chaque État membre dispose d’un droit de veto, d’où un risque accru de voir le processus législatif gravement ralenti. À titre d’exemple, la directive proposée en </w:t>
      </w:r>
      <w:r w:rsidRPr="00C94BF6">
        <w:rPr>
          <w:rFonts w:ascii="Times New Roman" w:hAnsi="Times New Roman"/>
          <w:noProof/>
          <w:sz w:val="24"/>
        </w:rPr>
        <w:t>2005</w:t>
      </w:r>
      <w:r>
        <w:rPr>
          <w:rFonts w:ascii="Times New Roman" w:hAnsi="Times New Roman"/>
          <w:noProof/>
          <w:sz w:val="24"/>
        </w:rPr>
        <w:t xml:space="preserve"> pour protéger les droits à pension complémentaire des travailleurs dans le cadre de leur mobilité a été bloquée au Conseil pendant six ans. À la suite de l’entrée en vigueur du traité de Lisbonne, en </w:t>
      </w:r>
      <w:r w:rsidRPr="00C94BF6">
        <w:rPr>
          <w:rFonts w:ascii="Times New Roman" w:hAnsi="Times New Roman"/>
          <w:noProof/>
          <w:sz w:val="24"/>
        </w:rPr>
        <w:t>2009</w:t>
      </w:r>
      <w:r>
        <w:rPr>
          <w:rFonts w:ascii="Times New Roman" w:hAnsi="Times New Roman"/>
          <w:noProof/>
          <w:sz w:val="24"/>
        </w:rPr>
        <w:t xml:space="preserve">, la règle a changé en faveur du vote à la majorité qualifiée et la proposition a ultérieurement été adoptée en </w:t>
      </w:r>
      <w:r w:rsidRPr="00C94BF6">
        <w:rPr>
          <w:rFonts w:ascii="Times New Roman" w:hAnsi="Times New Roman"/>
          <w:noProof/>
          <w:sz w:val="24"/>
        </w:rPr>
        <w:t>2014</w:t>
      </w:r>
      <w:r>
        <w:rPr>
          <w:rStyle w:val="FootnoteReference"/>
          <w:rFonts w:ascii="Times New Roman" w:hAnsi="Times New Roman"/>
          <w:noProof/>
          <w:sz w:val="24"/>
        </w:rPr>
        <w:footnoteReference w:id="14"/>
      </w:r>
      <w:r>
        <w:rPr>
          <w:rFonts w:ascii="Times New Roman" w:hAnsi="Times New Roman"/>
          <w:noProof/>
          <w:sz w:val="24"/>
        </w:rPr>
        <w:t>, ce qui a rendu possible une meilleure protection des travailleurs se déplaçant au sein de l’Union.</w:t>
      </w:r>
    </w:p>
    <w:p w:rsidR="004D4A3A" w:rsidRDefault="00D9324A">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Rôle accru du Parlement européen</w:t>
      </w:r>
    </w:p>
    <w:p w:rsidR="004D4A3A" w:rsidRDefault="00D9324A">
      <w:pPr>
        <w:pStyle w:val="Default"/>
        <w:spacing w:after="240"/>
        <w:jc w:val="both"/>
        <w:rPr>
          <w:rFonts w:ascii="Times New Roman" w:eastAsia="Times New Roman" w:hAnsi="Times New Roman" w:cs="Times New Roman"/>
          <w:noProof/>
        </w:rPr>
      </w:pPr>
      <w:r>
        <w:rPr>
          <w:rFonts w:ascii="Times New Roman" w:hAnsi="Times New Roman"/>
          <w:noProof/>
        </w:rPr>
        <w:t>Les procédures législatives spéciales applicables aux domaines de la sécurité sociale soumis au vote à l’unanimité n’accordent pas au Parlement européen un rôle égal et influent de codécideur puisque ce dernier n’est souvent que consulté.</w:t>
      </w:r>
    </w:p>
    <w:p w:rsidR="004D4A3A" w:rsidRDefault="00D9324A">
      <w:pPr>
        <w:pStyle w:val="Default"/>
        <w:spacing w:after="240"/>
        <w:jc w:val="both"/>
        <w:rPr>
          <w:rFonts w:ascii="Times New Roman" w:eastAsia="Times New Roman" w:hAnsi="Times New Roman" w:cs="Times New Roman"/>
          <w:noProof/>
        </w:rPr>
      </w:pPr>
      <w:r>
        <w:rPr>
          <w:rFonts w:ascii="Times New Roman" w:hAnsi="Times New Roman"/>
          <w:noProof/>
        </w:rPr>
        <w:t xml:space="preserve">Cependant, de manière générale, </w:t>
      </w:r>
      <w:r>
        <w:rPr>
          <w:rFonts w:ascii="Times New Roman" w:hAnsi="Times New Roman"/>
          <w:i/>
          <w:noProof/>
        </w:rPr>
        <w:t>et d’autant plus</w:t>
      </w:r>
      <w:r>
        <w:rPr>
          <w:rFonts w:ascii="Times New Roman" w:hAnsi="Times New Roman"/>
          <w:noProof/>
        </w:rPr>
        <w:t xml:space="preserve"> dans le domaine de la politique sociale, les arguments plaident en faveur d’une implication accrue du Parlement européen. Les membres du Parlement européen représentent les citoyens, lesquels sont les bénéficiaires directs de la politique sociale de l’Union et devraient avoir leur mot à dire dans l’élaboration de celle-ci, par l’intermédiaire de leurs représentants élus.</w:t>
      </w:r>
    </w:p>
    <w:p w:rsidR="004D4A3A" w:rsidRDefault="00D9324A">
      <w:pPr>
        <w:pStyle w:val="Default"/>
        <w:spacing w:after="240"/>
        <w:jc w:val="both"/>
        <w:rPr>
          <w:rFonts w:ascii="Times New Roman" w:hAnsi="Times New Roman" w:cs="Times New Roman"/>
          <w:noProof/>
        </w:rPr>
      </w:pPr>
      <w:r>
        <w:rPr>
          <w:rFonts w:ascii="Times New Roman" w:hAnsi="Times New Roman"/>
          <w:noProof/>
        </w:rPr>
        <w:t>Le passage à la procédure législative ordinaire, dans laquelle le Parlement devient colégislateur sur un pied d’égalité avec le Conseil, permettrait aux représentants des citoyens de contribuer pleinement à façonner la politique sociale de l’Union.</w:t>
      </w:r>
    </w:p>
    <w:p w:rsidR="004D4A3A" w:rsidRDefault="00D9324A">
      <w:pPr>
        <w:pStyle w:val="ListParagraph"/>
        <w:keepNext/>
        <w:numPr>
          <w:ilvl w:val="0"/>
          <w:numId w:val="100"/>
        </w:numPr>
        <w:spacing w:after="240" w:line="240" w:lineRule="auto"/>
        <w:ind w:left="357" w:hanging="357"/>
        <w:jc w:val="both"/>
        <w:rPr>
          <w:rFonts w:ascii="Times New Roman" w:eastAsia="Times New Roman" w:hAnsi="Times New Roman" w:cs="Times New Roman"/>
          <w:b/>
          <w:noProof/>
          <w:sz w:val="24"/>
          <w:szCs w:val="24"/>
        </w:rPr>
      </w:pPr>
      <w:r>
        <w:rPr>
          <w:rFonts w:ascii="Times New Roman" w:hAnsi="Times New Roman"/>
          <w:b/>
          <w:noProof/>
          <w:sz w:val="24"/>
        </w:rPr>
        <w:t>Options actuelles pour passer du vote à l’unanimité au vote à la majorité qualifiée</w:t>
      </w:r>
    </w:p>
    <w:p w:rsidR="004D4A3A" w:rsidRDefault="00D9324A">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vertu des traités de l’Union, deux clauses «passerelles» sont applicables en matière de politique sociale: </w:t>
      </w:r>
    </w:p>
    <w:p w:rsidR="004D4A3A" w:rsidRDefault="00D9324A">
      <w:pPr>
        <w:pStyle w:val="ListParagraph"/>
        <w:numPr>
          <w:ilvl w:val="0"/>
          <w:numId w:val="112"/>
        </w:numPr>
        <w:spacing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clause spécifique</w:t>
      </w:r>
      <w:r>
        <w:rPr>
          <w:rFonts w:ascii="Times New Roman" w:hAnsi="Times New Roman"/>
          <w:noProof/>
          <w:sz w:val="24"/>
        </w:rPr>
        <w:t xml:space="preserve"> à la politique sociale (article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2</w:t>
      </w:r>
      <w:r>
        <w:rPr>
          <w:rFonts w:ascii="Times New Roman" w:hAnsi="Times New Roman"/>
          <w:noProof/>
          <w:sz w:val="24"/>
        </w:rPr>
        <w:t xml:space="preserve">, dernier alinéa, du TFUE) et </w:t>
      </w:r>
    </w:p>
    <w:p w:rsidR="004D4A3A" w:rsidRDefault="00D9324A">
      <w:pPr>
        <w:pStyle w:val="ListParagraph"/>
        <w:numPr>
          <w:ilvl w:val="0"/>
          <w:numId w:val="112"/>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clause générale</w:t>
      </w:r>
      <w:r>
        <w:rPr>
          <w:rFonts w:ascii="Times New Roman" w:hAnsi="Times New Roman"/>
          <w:noProof/>
          <w:sz w:val="24"/>
        </w:rPr>
        <w:t xml:space="preserve"> (article </w:t>
      </w:r>
      <w:r w:rsidRPr="00C94BF6">
        <w:rPr>
          <w:rFonts w:ascii="Times New Roman" w:hAnsi="Times New Roman"/>
          <w:noProof/>
          <w:sz w:val="24"/>
        </w:rPr>
        <w:t>48</w:t>
      </w:r>
      <w:r>
        <w:rPr>
          <w:rFonts w:ascii="Times New Roman" w:hAnsi="Times New Roman"/>
          <w:noProof/>
          <w:sz w:val="24"/>
        </w:rPr>
        <w:t xml:space="preserve">, paragraphe </w:t>
      </w:r>
      <w:r w:rsidRPr="00C94BF6">
        <w:rPr>
          <w:rFonts w:ascii="Times New Roman" w:hAnsi="Times New Roman"/>
          <w:noProof/>
          <w:sz w:val="24"/>
        </w:rPr>
        <w:t>7</w:t>
      </w:r>
      <w:r>
        <w:rPr>
          <w:rFonts w:ascii="Times New Roman" w:hAnsi="Times New Roman"/>
          <w:noProof/>
          <w:sz w:val="24"/>
        </w:rPr>
        <w:t xml:space="preserve">, du TUE). </w:t>
      </w:r>
    </w:p>
    <w:p w:rsidR="004D4A3A" w:rsidRDefault="00D9324A">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différences procédurales importantes distinguent ces deux clauses.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4D4A3A">
        <w:tc>
          <w:tcPr>
            <w:tcW w:w="9242" w:type="dxa"/>
          </w:tcPr>
          <w:p w:rsidR="004D4A3A" w:rsidRDefault="00D9324A">
            <w:pPr>
              <w:keepNext/>
              <w:spacing w:after="120"/>
              <w:jc w:val="center"/>
              <w:rPr>
                <w:rFonts w:ascii="Times New Roman" w:eastAsia="Times New Roman" w:hAnsi="Times New Roman" w:cs="Times New Roman"/>
                <w:b/>
                <w:noProof/>
                <w:sz w:val="24"/>
                <w:szCs w:val="24"/>
              </w:rPr>
            </w:pPr>
            <w:r>
              <w:rPr>
                <w:rFonts w:ascii="Times New Roman" w:hAnsi="Times New Roman"/>
                <w:b/>
                <w:noProof/>
                <w:sz w:val="24"/>
              </w:rPr>
              <w:t>Clauses</w:t>
            </w:r>
            <w:r>
              <w:rPr>
                <w:rFonts w:ascii="Times New Roman" w:hAnsi="Times New Roman"/>
                <w:b/>
                <w:i/>
                <w:noProof/>
                <w:sz w:val="24"/>
              </w:rPr>
              <w:t xml:space="preserve"> </w:t>
            </w:r>
            <w:r>
              <w:rPr>
                <w:rFonts w:ascii="Times New Roman" w:hAnsi="Times New Roman"/>
                <w:b/>
                <w:noProof/>
                <w:sz w:val="24"/>
              </w:rPr>
              <w:t xml:space="preserve">passerelles </w:t>
            </w:r>
          </w:p>
          <w:p w:rsidR="004D4A3A" w:rsidRDefault="00D9324A">
            <w:pPr>
              <w:spacing w:after="120"/>
              <w:jc w:val="both"/>
              <w:rPr>
                <w:rFonts w:ascii="Times New Roman" w:eastAsia="Times New Roman" w:hAnsi="Times New Roman" w:cs="Times New Roman"/>
                <w:noProof/>
                <w:sz w:val="24"/>
                <w:szCs w:val="24"/>
              </w:rPr>
            </w:pPr>
            <w:r>
              <w:rPr>
                <w:rFonts w:ascii="Times New Roman" w:hAnsi="Times New Roman"/>
                <w:b/>
                <w:noProof/>
                <w:sz w:val="24"/>
              </w:rPr>
              <w:t xml:space="preserve">L’article </w:t>
            </w:r>
            <w:r w:rsidRPr="00C94BF6">
              <w:rPr>
                <w:rFonts w:ascii="Times New Roman" w:hAnsi="Times New Roman"/>
                <w:b/>
                <w:noProof/>
                <w:sz w:val="24"/>
              </w:rPr>
              <w:t>48</w:t>
            </w:r>
            <w:r>
              <w:rPr>
                <w:rFonts w:ascii="Times New Roman" w:hAnsi="Times New Roman"/>
                <w:b/>
                <w:noProof/>
                <w:sz w:val="24"/>
              </w:rPr>
              <w:t xml:space="preserve">, paragraphe </w:t>
            </w:r>
            <w:r w:rsidRPr="00C94BF6">
              <w:rPr>
                <w:rFonts w:ascii="Times New Roman" w:hAnsi="Times New Roman"/>
                <w:b/>
                <w:noProof/>
                <w:sz w:val="24"/>
              </w:rPr>
              <w:t>7</w:t>
            </w:r>
            <w:r>
              <w:rPr>
                <w:rFonts w:ascii="Times New Roman" w:hAnsi="Times New Roman"/>
                <w:b/>
                <w:noProof/>
                <w:sz w:val="24"/>
              </w:rPr>
              <w:t>, du TUE prévoit une clause passerelle générale.</w:t>
            </w:r>
            <w:r>
              <w:rPr>
                <w:rFonts w:ascii="Times New Roman" w:hAnsi="Times New Roman"/>
                <w:noProof/>
                <w:sz w:val="24"/>
              </w:rPr>
              <w:t xml:space="preserve"> Cette clause, dans le domaine ou le cas concerné, autorise le Conseil à adopter par vote à la majorité qualifiée des mesures qui étaient jusqu’alors soumises à l’unanimité, ou autorise le Conseil et le Parlement européen à adopter par voie de procédure législative ordinaire des mesures auparavant soumises à une procédure législative spéciale. </w:t>
            </w:r>
          </w:p>
          <w:p w:rsidR="004D4A3A" w:rsidRDefault="00D9324A">
            <w:pPr>
              <w:spacing w:after="120"/>
              <w:jc w:val="both"/>
              <w:rPr>
                <w:rFonts w:ascii="Times New Roman" w:eastAsia="Times New Roman" w:hAnsi="Times New Roman" w:cs="Times New Roman"/>
                <w:noProof/>
                <w:sz w:val="24"/>
                <w:szCs w:val="24"/>
              </w:rPr>
            </w:pPr>
            <w:r>
              <w:rPr>
                <w:rFonts w:ascii="Times New Roman" w:hAnsi="Times New Roman"/>
                <w:noProof/>
                <w:sz w:val="24"/>
              </w:rPr>
              <w:t>Pour faire usage de cette clause, le Conseil européen doit prendre l’initiative, en indiquant la portée de la modification envisagée de la procédure de décision, et la notifier aux parlements nationaux. En l’absence d’objection émanant d’un parlement national dans un délai de six mois, le Conseil européen, en statuant à l’unanimité et après avoir obtenu l’approbation du Parlement européen, peut adopter une décision autorisant le Conseil à statuer à la majorité qualifiée ou autorisant l’adoption des actes concernés conformément à la procédure législative ordinaire.</w:t>
            </w:r>
          </w:p>
          <w:p w:rsidR="004D4A3A" w:rsidRDefault="00D9324A">
            <w:pPr>
              <w:spacing w:after="120"/>
              <w:jc w:val="both"/>
              <w:rPr>
                <w:rFonts w:ascii="Times New Roman" w:hAnsi="Times New Roman" w:cs="Times New Roman"/>
                <w:noProof/>
                <w:sz w:val="24"/>
                <w:szCs w:val="24"/>
              </w:rPr>
            </w:pPr>
            <w:r>
              <w:rPr>
                <w:rFonts w:ascii="Times New Roman" w:hAnsi="Times New Roman"/>
                <w:noProof/>
                <w:sz w:val="24"/>
              </w:rPr>
              <w:t>La clause passerelle générale prévoit la possibilité d’instaurer le vote à la majorité qualifiée, mais en conservant le cadre de la procédure législative spéciale. Elle donne aussi la possibilité de passer au vote à la majorité qualifiée dans le cadre de la procédure législative ordinaire – en codécision avec le Parlement européen.</w:t>
            </w:r>
          </w:p>
          <w:p w:rsidR="004D4A3A" w:rsidRDefault="00D9324A">
            <w:pPr>
              <w:jc w:val="both"/>
              <w:rPr>
                <w:rFonts w:ascii="Times New Roman" w:eastAsia="Times New Roman" w:hAnsi="Times New Roman" w:cs="Times New Roman"/>
                <w:noProof/>
                <w:sz w:val="24"/>
                <w:szCs w:val="24"/>
              </w:rPr>
            </w:pPr>
            <w:r>
              <w:rPr>
                <w:rFonts w:ascii="Times New Roman" w:hAnsi="Times New Roman"/>
                <w:b/>
                <w:noProof/>
                <w:sz w:val="24"/>
              </w:rPr>
              <w:t xml:space="preserve">L’article </w:t>
            </w:r>
            <w:r w:rsidRPr="00C94BF6">
              <w:rPr>
                <w:rFonts w:ascii="Times New Roman" w:hAnsi="Times New Roman"/>
                <w:b/>
                <w:noProof/>
                <w:sz w:val="24"/>
              </w:rPr>
              <w:t>153</w:t>
            </w:r>
            <w:r>
              <w:rPr>
                <w:rFonts w:ascii="Times New Roman" w:hAnsi="Times New Roman"/>
                <w:b/>
                <w:noProof/>
                <w:sz w:val="24"/>
              </w:rPr>
              <w:t xml:space="preserve">, paragraphe </w:t>
            </w:r>
            <w:r w:rsidRPr="00C94BF6">
              <w:rPr>
                <w:rFonts w:ascii="Times New Roman" w:hAnsi="Times New Roman"/>
                <w:b/>
                <w:noProof/>
                <w:sz w:val="24"/>
              </w:rPr>
              <w:t>2</w:t>
            </w:r>
            <w:r>
              <w:rPr>
                <w:rFonts w:ascii="Times New Roman" w:hAnsi="Times New Roman"/>
                <w:b/>
                <w:noProof/>
                <w:sz w:val="24"/>
              </w:rPr>
              <w:t>, dernier alinéa, du TFUE contient une clause passerelle spécifique</w:t>
            </w:r>
            <w:r>
              <w:t xml:space="preserve"> </w:t>
            </w:r>
            <w:r>
              <w:rPr>
                <w:rFonts w:ascii="Times New Roman" w:hAnsi="Times New Roman"/>
                <w:noProof/>
                <w:sz w:val="24"/>
              </w:rPr>
              <w:t xml:space="preserve">pour les mesures de politique sociale actuellement soumises au vote à l’unanimité et à la procédure législative spéciale, dans les domaines énumérés à l’article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points d), f) et g), du TFUE. Il s’agit ainsi de mesures visant à soutenir et à compléter l’action des États membres dans les domaines suivants:</w:t>
            </w:r>
          </w:p>
          <w:p w:rsidR="004D4A3A" w:rsidRDefault="00D9324A">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protection des travailleurs en cas de résiliation de leur contrat de travail (licenciements),</w:t>
            </w:r>
          </w:p>
          <w:p w:rsidR="004D4A3A" w:rsidRDefault="00D9324A">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représentation et la défense collective des intérêts des travailleurs et des employeurs,  </w:t>
            </w:r>
          </w:p>
          <w:p w:rsidR="004D4A3A" w:rsidRDefault="00D9324A">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conditions d'emploi des ressortissants des pays tiers se trouvant en séjour régulier sur le territoire de l'Union.</w:t>
            </w:r>
          </w:p>
          <w:p w:rsidR="004D4A3A" w:rsidRDefault="00D9324A">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Tout passage à la procédure législative ordinaire dans ces domaines est subordonné à l’accord du Conseil statuant à l’unanimité, sur proposition de la Commission et après consultation du Parlement européen.  </w:t>
            </w:r>
          </w:p>
        </w:tc>
      </w:tr>
    </w:tbl>
    <w:p w:rsidR="004D4A3A" w:rsidRDefault="004D4A3A">
      <w:pPr>
        <w:pStyle w:val="Default"/>
        <w:spacing w:after="240"/>
        <w:jc w:val="both"/>
        <w:rPr>
          <w:rFonts w:ascii="Times New Roman" w:hAnsi="Times New Roman" w:cs="Times New Roman"/>
          <w:noProof/>
        </w:rPr>
      </w:pPr>
    </w:p>
    <w:p w:rsidR="004D4A3A" w:rsidRDefault="00D9324A">
      <w:pPr>
        <w:pStyle w:val="Default"/>
        <w:spacing w:after="240"/>
        <w:jc w:val="both"/>
        <w:rPr>
          <w:rFonts w:ascii="Times New Roman" w:hAnsi="Times New Roman" w:cs="Times New Roman"/>
          <w:noProof/>
          <w:color w:val="auto"/>
        </w:rPr>
      </w:pPr>
      <w:r>
        <w:rPr>
          <w:rFonts w:ascii="Times New Roman" w:hAnsi="Times New Roman"/>
          <w:noProof/>
        </w:rPr>
        <w:t xml:space="preserve">Les traités prévoient une autre façon de sortir d’une situation de blocage d’une décision par un ou plusieurs États membres recourant à leur droit de veto. La </w:t>
      </w:r>
      <w:r>
        <w:rPr>
          <w:rFonts w:ascii="Times New Roman" w:hAnsi="Times New Roman"/>
          <w:b/>
          <w:noProof/>
        </w:rPr>
        <w:t>procédure de coopération renforcée</w:t>
      </w:r>
      <w:r>
        <w:rPr>
          <w:rStyle w:val="FootnoteReference"/>
          <w:rFonts w:ascii="Times New Roman" w:hAnsi="Times New Roman"/>
          <w:noProof/>
        </w:rPr>
        <w:footnoteReference w:id="15"/>
      </w:r>
      <w:r>
        <w:rPr>
          <w:rFonts w:ascii="Times New Roman" w:hAnsi="Times New Roman"/>
          <w:noProof/>
        </w:rPr>
        <w:t xml:space="preserve"> permet à un groupe d’au moins neuf États membres de faire avancer une initiative proposée lorsqu’il s’avère impossible de parvenir à un accord unanime au sein du Conseil. Les autres États membres ont toujours le droit de se joindre à l’initiative ultérieurement. </w:t>
      </w:r>
      <w:r>
        <w:rPr>
          <w:rFonts w:ascii="Times New Roman" w:hAnsi="Times New Roman"/>
          <w:noProof/>
          <w:color w:val="auto"/>
        </w:rPr>
        <w:t xml:space="preserve">Dans le cadre de cette procédure, l’article </w:t>
      </w:r>
      <w:r w:rsidRPr="00C94BF6">
        <w:rPr>
          <w:rFonts w:ascii="Times New Roman" w:hAnsi="Times New Roman"/>
          <w:noProof/>
          <w:color w:val="auto"/>
        </w:rPr>
        <w:t>333</w:t>
      </w:r>
      <w:r>
        <w:rPr>
          <w:rFonts w:ascii="Times New Roman" w:hAnsi="Times New Roman"/>
          <w:noProof/>
          <w:color w:val="auto"/>
        </w:rPr>
        <w:t xml:space="preserve"> du TFUE prévoit aussi une clause passerelle spécifique autorisant les États membres participant à une coopération renforcée à passer à la majorité qualifiée et/ou à la procédure législative ordinaire. </w:t>
      </w:r>
    </w:p>
    <w:p w:rsidR="004D4A3A" w:rsidRDefault="00D9324A">
      <w:pPr>
        <w:pStyle w:val="Default"/>
        <w:spacing w:after="240"/>
        <w:jc w:val="both"/>
        <w:rPr>
          <w:rFonts w:ascii="Times New Roman" w:hAnsi="Times New Roman" w:cs="Times New Roman"/>
          <w:noProof/>
          <w:color w:val="auto"/>
        </w:rPr>
      </w:pPr>
      <w:r>
        <w:rPr>
          <w:rFonts w:ascii="Times New Roman" w:hAnsi="Times New Roman"/>
          <w:noProof/>
          <w:color w:val="auto"/>
        </w:rPr>
        <w:t>Néanmoins, en matière de politique sociale, la coopération renforcée n’est pas la solution à des problèmes de grande ampleur se manifestant dans toute l’Union, car elle risque de fragmenter le marché unique et d’engendrer une Europe à deux vitesses et des différences de traitement entre les citoyens en fonction de l’État membre dans lequel ils vivent. À cet égard</w:t>
      </w:r>
      <w:r>
        <w:rPr>
          <w:rFonts w:ascii="Times New Roman" w:hAnsi="Times New Roman"/>
          <w:noProof/>
        </w:rPr>
        <w:t xml:space="preserve">, l’article </w:t>
      </w:r>
      <w:r w:rsidRPr="00C94BF6">
        <w:rPr>
          <w:rFonts w:ascii="Times New Roman" w:hAnsi="Times New Roman"/>
          <w:noProof/>
        </w:rPr>
        <w:t>326</w:t>
      </w:r>
      <w:r>
        <w:rPr>
          <w:rFonts w:ascii="Times New Roman" w:hAnsi="Times New Roman"/>
          <w:noProof/>
        </w:rPr>
        <w:t xml:space="preserve"> du TFUE précise que la coopération renforcée ne peut porter atteinte ni au marché intérieur ni à la cohésion économique, sociale et territoriale.</w:t>
      </w:r>
      <w:r>
        <w:t xml:space="preserve"> </w:t>
      </w:r>
      <w:r>
        <w:rPr>
          <w:rFonts w:ascii="Times New Roman" w:hAnsi="Times New Roman"/>
          <w:noProof/>
        </w:rPr>
        <w:t xml:space="preserve"> Elle ne doit constituer ni une entrave ni une discrimination aux échanges </w:t>
      </w:r>
      <w:r>
        <w:rPr>
          <w:rFonts w:ascii="Times New Roman" w:hAnsi="Times New Roman"/>
          <w:noProof/>
          <w:color w:val="auto"/>
        </w:rPr>
        <w:t>entre les États membres, ni provoquer de distorsions de concurrence entre ceux-ci</w:t>
      </w:r>
      <w:r>
        <w:rPr>
          <w:rFonts w:ascii="Times New Roman" w:hAnsi="Times New Roman"/>
          <w:noProof/>
        </w:rPr>
        <w:t>.</w:t>
      </w:r>
      <w:r>
        <w:rPr>
          <w:rFonts w:ascii="Times New Roman" w:hAnsi="Times New Roman"/>
          <w:noProof/>
          <w:color w:val="auto"/>
        </w:rPr>
        <w:t xml:space="preserve"> Il s’agit là de précisions particulièrement pertinentes pour la politique sociale. La possibilité de recourir à la procédure de coopération renforcée apparaît donc peu satisfaisante pour des propositions visant à garantir l’application de droits fondamentaux devant s’appliquer à tous les citoyens dans tous les États membres. Déjà en </w:t>
      </w:r>
      <w:r w:rsidRPr="00C94BF6">
        <w:rPr>
          <w:rFonts w:ascii="Times New Roman" w:hAnsi="Times New Roman"/>
          <w:noProof/>
          <w:color w:val="auto"/>
        </w:rPr>
        <w:t>2014</w:t>
      </w:r>
      <w:r>
        <w:rPr>
          <w:rFonts w:ascii="Times New Roman" w:hAnsi="Times New Roman"/>
          <w:noProof/>
          <w:color w:val="auto"/>
        </w:rPr>
        <w:t>, l’idée de recourir à la coopération renforcée pour la proposition de directive horizontale sur l’égalité de traitement</w:t>
      </w:r>
      <w:r>
        <w:rPr>
          <w:rStyle w:val="FootnoteReference"/>
          <w:rFonts w:ascii="Times New Roman" w:hAnsi="Times New Roman"/>
          <w:noProof/>
          <w:color w:val="auto"/>
        </w:rPr>
        <w:footnoteReference w:id="16"/>
      </w:r>
      <w:r>
        <w:rPr>
          <w:rFonts w:ascii="Times New Roman" w:hAnsi="Times New Roman"/>
          <w:noProof/>
          <w:color w:val="auto"/>
        </w:rPr>
        <w:t xml:space="preserve"> avait été massivement rejetée par le Conseil. </w:t>
      </w:r>
    </w:p>
    <w:p w:rsidR="004D4A3A" w:rsidRDefault="00D9324A">
      <w:pPr>
        <w:pStyle w:val="Default"/>
        <w:jc w:val="both"/>
        <w:rPr>
          <w:rFonts w:ascii="Times New Roman" w:eastAsia="Times New Roman" w:hAnsi="Times New Roman" w:cs="Times New Roman"/>
          <w:noProof/>
        </w:rPr>
      </w:pPr>
      <w:r>
        <w:rPr>
          <w:rFonts w:ascii="Times New Roman" w:hAnsi="Times New Roman"/>
          <w:noProof/>
        </w:rPr>
        <w:t>Le recours aux clauses passerelles pour passer au vote à la majorité qualifiée ne présente pas de tels désavantages, car ces clauses permettent à l’Union d’avancer en bloc, en maintenant l’intégrité du marché unique et la dimension sociale de l’Union. De plus, la méthode de vote et de prise de décision changerait, mais le cadre juridique global de l’action de l’Union demeurerait le même. En particulier:</w:t>
      </w:r>
    </w:p>
    <w:p w:rsidR="004D4A3A" w:rsidRDefault="004D4A3A">
      <w:pPr>
        <w:pStyle w:val="Default"/>
        <w:jc w:val="both"/>
        <w:rPr>
          <w:rFonts w:ascii="Times New Roman" w:eastAsia="Times New Roman" w:hAnsi="Times New Roman" w:cs="Times New Roman"/>
          <w:noProof/>
        </w:rPr>
      </w:pPr>
    </w:p>
    <w:p w:rsidR="004D4A3A" w:rsidRDefault="00D9324A">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l’action de l’Union resterait axée sur les domaines dans lesquels les objectifs ne peuvent pas être réalisés de manière suffisante par les États membres, en raison des dimensions et des effets de l’action envisagée, en pleine conformité avec le principe de </w:t>
      </w:r>
      <w:r>
        <w:rPr>
          <w:rFonts w:ascii="Times New Roman" w:hAnsi="Times New Roman"/>
          <w:b/>
          <w:noProof/>
          <w:sz w:val="24"/>
        </w:rPr>
        <w:t>subsidiarité</w:t>
      </w:r>
      <w:r>
        <w:rPr>
          <w:rFonts w:ascii="Times New Roman" w:hAnsi="Times New Roman"/>
          <w:noProof/>
          <w:sz w:val="24"/>
        </w:rPr>
        <w:t xml:space="preserve">; En vertu du principe de </w:t>
      </w:r>
      <w:r>
        <w:rPr>
          <w:rFonts w:ascii="Times New Roman" w:hAnsi="Times New Roman"/>
          <w:b/>
          <w:noProof/>
          <w:sz w:val="24"/>
        </w:rPr>
        <w:t>proportionnalité</w:t>
      </w:r>
      <w:r>
        <w:rPr>
          <w:rFonts w:ascii="Times New Roman" w:hAnsi="Times New Roman"/>
          <w:noProof/>
          <w:sz w:val="24"/>
        </w:rPr>
        <w:t>, le contenu et la forme de l’action de l’Union ne peuvent excéder ce qui est nécessaire pour atteindre les objectifs des traités;</w:t>
      </w:r>
    </w:p>
    <w:p w:rsidR="004D4A3A" w:rsidRDefault="00D9324A">
      <w:pPr>
        <w:pStyle w:val="ListParagraph"/>
        <w:numPr>
          <w:ilvl w:val="0"/>
          <w:numId w:val="116"/>
        </w:num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le champ d’application et les conditions d’exercice des compétences de l’Union ne changent pas. </w:t>
      </w:r>
      <w:r>
        <w:rPr>
          <w:rFonts w:ascii="Times New Roman" w:hAnsi="Times New Roman"/>
          <w:noProof/>
          <w:sz w:val="24"/>
        </w:rPr>
        <w:t xml:space="preserve">L’article </w:t>
      </w:r>
      <w:r w:rsidRPr="00C94BF6">
        <w:rPr>
          <w:rFonts w:ascii="Times New Roman" w:hAnsi="Times New Roman"/>
          <w:noProof/>
          <w:sz w:val="24"/>
        </w:rPr>
        <w:t>153</w:t>
      </w:r>
      <w:r>
        <w:rPr>
          <w:rFonts w:ascii="Times New Roman" w:hAnsi="Times New Roman"/>
          <w:noProof/>
          <w:sz w:val="24"/>
        </w:rPr>
        <w:t xml:space="preserve"> du TFUE prévoit une série de critères qui doivent être respectés par les mesures de l’Union dans le domaine de la politique sociale; à titre d’exemple, les directives peuvent prévoir des </w:t>
      </w:r>
      <w:r>
        <w:rPr>
          <w:rFonts w:ascii="Times New Roman" w:hAnsi="Times New Roman"/>
          <w:i/>
          <w:noProof/>
          <w:sz w:val="24"/>
        </w:rPr>
        <w:t>prescriptions minimales</w:t>
      </w:r>
      <w:r>
        <w:rPr>
          <w:rFonts w:ascii="Times New Roman" w:hAnsi="Times New Roman"/>
          <w:noProof/>
          <w:sz w:val="24"/>
        </w:rPr>
        <w:t xml:space="preserve"> uniquement,</w:t>
      </w:r>
      <w:r>
        <w:rPr>
          <w:rFonts w:ascii="Times New Roman" w:hAnsi="Times New Roman"/>
          <w:i/>
          <w:noProof/>
          <w:sz w:val="24"/>
        </w:rPr>
        <w:t xml:space="preserve"> compte tenu des conditions et des réglementations techniques existant dans chacun des États membres</w:t>
      </w:r>
      <w:r>
        <w:rPr>
          <w:rFonts w:ascii="Times New Roman" w:hAnsi="Times New Roman"/>
          <w:noProof/>
          <w:sz w:val="24"/>
        </w:rPr>
        <w:t xml:space="preserve">, et doivent </w:t>
      </w:r>
      <w:r>
        <w:rPr>
          <w:rFonts w:ascii="Times New Roman" w:hAnsi="Times New Roman"/>
          <w:i/>
          <w:noProof/>
          <w:sz w:val="24"/>
        </w:rPr>
        <w:t>éviter d’imposer des contraintes inutiles aux petites et moyennes entreprises (PME)</w:t>
      </w:r>
      <w:r>
        <w:rPr>
          <w:rFonts w:ascii="Times New Roman" w:hAnsi="Times New Roman"/>
          <w:noProof/>
          <w:sz w:val="24"/>
        </w:rPr>
        <w:t xml:space="preserve">. Les mesures de l’Union ne peuvent porter atteinte </w:t>
      </w:r>
      <w:r>
        <w:rPr>
          <w:rFonts w:ascii="Times New Roman" w:hAnsi="Times New Roman"/>
          <w:i/>
          <w:noProof/>
          <w:sz w:val="24"/>
        </w:rPr>
        <w:t>à la faculté reconnue aux États membres de définir les principes fondamentaux de leur système de sécurité sociale</w:t>
      </w:r>
      <w:r>
        <w:rPr>
          <w:rFonts w:ascii="Times New Roman" w:hAnsi="Times New Roman"/>
          <w:noProof/>
          <w:sz w:val="24"/>
        </w:rPr>
        <w:t xml:space="preserve"> et ne doivent </w:t>
      </w:r>
      <w:r>
        <w:rPr>
          <w:rFonts w:ascii="Times New Roman" w:hAnsi="Times New Roman"/>
          <w:i/>
          <w:noProof/>
          <w:sz w:val="24"/>
        </w:rPr>
        <w:t>pas en affecter sensiblement l'équilibre financier</w:t>
      </w:r>
      <w:r>
        <w:rPr>
          <w:rFonts w:ascii="Times New Roman" w:hAnsi="Times New Roman"/>
          <w:noProof/>
          <w:sz w:val="24"/>
        </w:rPr>
        <w:t xml:space="preserve">. Les mesures de l’Union n’empêchent pas un État membre de maintenir ou d'établir des mesures de protection plus strictes. L’article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5</w:t>
      </w:r>
      <w:r>
        <w:rPr>
          <w:rFonts w:ascii="Times New Roman" w:hAnsi="Times New Roman"/>
          <w:noProof/>
          <w:sz w:val="24"/>
        </w:rPr>
        <w:t xml:space="preserve">, du TFUE </w:t>
      </w:r>
      <w:r>
        <w:rPr>
          <w:rFonts w:ascii="Times New Roman" w:hAnsi="Times New Roman"/>
          <w:i/>
          <w:noProof/>
          <w:sz w:val="24"/>
        </w:rPr>
        <w:t>exclut</w:t>
      </w:r>
      <w:r>
        <w:rPr>
          <w:rFonts w:ascii="Times New Roman" w:hAnsi="Times New Roman"/>
          <w:noProof/>
          <w:sz w:val="24"/>
        </w:rPr>
        <w:t xml:space="preserve"> par ailleurs toute mesure concernant les rémunérations, le droit d'association, le droit de grève et le droit de lock-out. L’article </w:t>
      </w:r>
      <w:r w:rsidRPr="00C94BF6">
        <w:rPr>
          <w:rFonts w:ascii="Times New Roman" w:hAnsi="Times New Roman"/>
          <w:noProof/>
          <w:sz w:val="24"/>
        </w:rPr>
        <w:t>151</w:t>
      </w:r>
      <w:r>
        <w:rPr>
          <w:rFonts w:ascii="Times New Roman" w:hAnsi="Times New Roman"/>
          <w:noProof/>
          <w:sz w:val="24"/>
        </w:rPr>
        <w:t xml:space="preserve"> du TFUE requiert quant à lui que les mesures de l’Union </w:t>
      </w:r>
      <w:r>
        <w:rPr>
          <w:rFonts w:ascii="Times New Roman" w:hAnsi="Times New Roman"/>
          <w:i/>
          <w:noProof/>
          <w:sz w:val="24"/>
        </w:rPr>
        <w:t>tiennent compte de la diversité des pratiques nationales</w:t>
      </w:r>
      <w:r>
        <w:rPr>
          <w:rFonts w:ascii="Times New Roman" w:hAnsi="Times New Roman"/>
          <w:noProof/>
          <w:sz w:val="24"/>
        </w:rPr>
        <w:t>;</w:t>
      </w:r>
    </w:p>
    <w:p w:rsidR="004D4A3A" w:rsidRDefault="00D9324A">
      <w:pPr>
        <w:pStyle w:val="ListParagraph"/>
        <w:numPr>
          <w:ilvl w:val="0"/>
          <w:numId w:val="116"/>
        </w:num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le rôle des partenaires sociaux </w:t>
      </w:r>
      <w:r>
        <w:rPr>
          <w:rFonts w:ascii="Times New Roman" w:hAnsi="Times New Roman"/>
          <w:b/>
          <w:noProof/>
          <w:color w:val="000000"/>
          <w:sz w:val="24"/>
        </w:rPr>
        <w:t>dans l’élaboration de la législation en matière de politique sociale</w:t>
      </w:r>
      <w:r>
        <w:rPr>
          <w:rFonts w:ascii="Times New Roman" w:hAnsi="Times New Roman"/>
          <w:b/>
          <w:noProof/>
          <w:sz w:val="24"/>
        </w:rPr>
        <w:t xml:space="preserve"> demeurera inchangé. </w:t>
      </w:r>
      <w:r>
        <w:rPr>
          <w:rFonts w:ascii="Times New Roman" w:hAnsi="Times New Roman"/>
          <w:noProof/>
          <w:sz w:val="24"/>
        </w:rPr>
        <w:t xml:space="preserve">Comme l’exige l’article </w:t>
      </w:r>
      <w:r w:rsidRPr="00C94BF6">
        <w:rPr>
          <w:rFonts w:ascii="Times New Roman" w:hAnsi="Times New Roman"/>
          <w:noProof/>
          <w:sz w:val="24"/>
        </w:rPr>
        <w:t>154</w:t>
      </w:r>
      <w:r>
        <w:rPr>
          <w:rFonts w:ascii="Times New Roman" w:hAnsi="Times New Roman"/>
          <w:noProof/>
          <w:sz w:val="24"/>
        </w:rPr>
        <w:t xml:space="preserve"> du TFUE, la Commission continuerait de procéder à la consultation en deux temps des partenaires sociaux avant de présenter ses  propositions dans le domaine de la politique sociale. Elle les consulterait sur l’orientation possible de l’action de l’Union et sur le contenu de la proposition envisagée. Il convient de noter que, dans la mesure où la majorité qualifiée s’appliquerait aux domaines relevant de l’article </w:t>
      </w:r>
      <w:r w:rsidRPr="00C94BF6">
        <w:rPr>
          <w:rFonts w:ascii="Times New Roman" w:hAnsi="Times New Roman"/>
          <w:noProof/>
          <w:sz w:val="24"/>
        </w:rPr>
        <w:t>153</w:t>
      </w:r>
      <w:r>
        <w:rPr>
          <w:rFonts w:ascii="Times New Roman" w:hAnsi="Times New Roman"/>
          <w:noProof/>
          <w:sz w:val="24"/>
        </w:rPr>
        <w:t xml:space="preserve"> du TFUE, elle s’appliquerait aussi à la mise en œuvre des accords des partenaires sociaux par des décisions du Conseil, conformément à l’article </w:t>
      </w:r>
      <w:r w:rsidRPr="00C94BF6">
        <w:rPr>
          <w:rFonts w:ascii="Times New Roman" w:hAnsi="Times New Roman"/>
          <w:noProof/>
          <w:sz w:val="24"/>
        </w:rPr>
        <w:t>155</w:t>
      </w:r>
      <w:r>
        <w:rPr>
          <w:rFonts w:ascii="Times New Roman" w:hAnsi="Times New Roman"/>
          <w:noProof/>
          <w:sz w:val="24"/>
        </w:rPr>
        <w:t xml:space="preserve"> du TFUE;</w:t>
      </w:r>
    </w:p>
    <w:p w:rsidR="004D4A3A" w:rsidRDefault="00D9324A">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l’amélioration de la réglementation demeure au cœur de l’action stratégique de l’Union:</w:t>
      </w:r>
      <w:r>
        <w:rPr>
          <w:rFonts w:ascii="Times New Roman" w:hAnsi="Times New Roman"/>
          <w:noProof/>
          <w:sz w:val="24"/>
        </w:rPr>
        <w:t xml:space="preserve"> toute proposition serait préparée conformément aux orientations pour une meilleure réglementation. Grâce à ces orientations, l’Union élabore ses politiques et sa réglementation dans un esprit d’ouverture et dans la transparence, sur la base de données factuelles, en prenant en considération leurs répercussions sur les citoyens, les entreprises et les administrations publiques. Les citoyens et les parties prenantes peuvent apporter leur contribution tout au long du processus; </w:t>
      </w:r>
    </w:p>
    <w:p w:rsidR="004D4A3A" w:rsidRDefault="00D9324A">
      <w:pPr>
        <w:pStyle w:val="ListParagraph"/>
        <w:numPr>
          <w:ilvl w:val="0"/>
          <w:numId w:val="116"/>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le passage au vote à la majorité qualifiée est une décision entièrement soumise au contrôle des États membres.</w:t>
      </w:r>
      <w:r>
        <w:rPr>
          <w:rFonts w:ascii="Times New Roman" w:hAnsi="Times New Roman"/>
          <w:noProof/>
          <w:sz w:val="24"/>
        </w:rPr>
        <w:t xml:space="preserve"> Il faudrait une décision unanime du Conseil européen, ou du Conseil, pour recourir aux clauses passerelles. De plus, au titre de la clause générale (article </w:t>
      </w:r>
      <w:r w:rsidRPr="00C94BF6">
        <w:rPr>
          <w:rFonts w:ascii="Times New Roman" w:hAnsi="Times New Roman"/>
          <w:noProof/>
          <w:sz w:val="24"/>
        </w:rPr>
        <w:t>48</w:t>
      </w:r>
      <w:r>
        <w:rPr>
          <w:rFonts w:ascii="Times New Roman" w:hAnsi="Times New Roman"/>
          <w:noProof/>
          <w:sz w:val="24"/>
        </w:rPr>
        <w:t xml:space="preserve">, paragraphe </w:t>
      </w:r>
      <w:r w:rsidRPr="00C94BF6">
        <w:rPr>
          <w:rFonts w:ascii="Times New Roman" w:hAnsi="Times New Roman"/>
          <w:noProof/>
          <w:sz w:val="24"/>
        </w:rPr>
        <w:t>7</w:t>
      </w:r>
      <w:r>
        <w:rPr>
          <w:rFonts w:ascii="Times New Roman" w:hAnsi="Times New Roman"/>
          <w:noProof/>
          <w:sz w:val="24"/>
        </w:rPr>
        <w:t>, du TFUE), le passage à un vote à la majorité qualifiée ou à la procédure législative ordinaire doit réunir l’accord de tous les parlements nationaux et le Parlement européen doit donner son approbation.</w:t>
      </w:r>
    </w:p>
    <w:p w:rsidR="004D4A3A" w:rsidRDefault="004D4A3A">
      <w:pPr>
        <w:pStyle w:val="ListParagraph"/>
        <w:spacing w:after="240" w:line="240" w:lineRule="auto"/>
        <w:jc w:val="both"/>
        <w:rPr>
          <w:rFonts w:ascii="Times New Roman" w:eastAsia="Times New Roman" w:hAnsi="Times New Roman" w:cs="Times New Roman"/>
          <w:noProof/>
          <w:sz w:val="24"/>
          <w:szCs w:val="24"/>
        </w:rPr>
      </w:pPr>
    </w:p>
    <w:p w:rsidR="004D4A3A" w:rsidRDefault="00D9324A">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noProof/>
          <w:sz w:val="24"/>
        </w:rPr>
        <w:t>Analyse des domaines d’action spécifiques toujours soumis au vote à l’unanimité</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Cette partie vise à analyser les arguments en faveur de l’utilisation des clauses passerelles dans le domaine social. Cette analyse se fera au cas par cas, pour les cinq domaines recensés dans la partie </w:t>
      </w:r>
      <w:r w:rsidRPr="00C94BF6">
        <w:rPr>
          <w:rFonts w:ascii="Times New Roman" w:hAnsi="Times New Roman"/>
          <w:noProof/>
          <w:sz w:val="24"/>
        </w:rPr>
        <w:t>2</w:t>
      </w:r>
      <w:r>
        <w:rPr>
          <w:rFonts w:ascii="Times New Roman" w:hAnsi="Times New Roman"/>
          <w:noProof/>
          <w:sz w:val="24"/>
        </w:rPr>
        <w:t xml:space="preserve"> qui sont toujours soumis au vote à l’unanimité et aux procédures législatives spéciales. </w:t>
      </w:r>
    </w:p>
    <w:p w:rsidR="004D4A3A" w:rsidRDefault="00D9324A">
      <w:pPr>
        <w:keepNext/>
        <w:spacing w:after="240" w:line="240" w:lineRule="auto"/>
        <w:ind w:left="397" w:hanging="397"/>
        <w:jc w:val="both"/>
        <w:rPr>
          <w:rFonts w:ascii="Times New Roman" w:eastAsia="Times New Roman" w:hAnsi="Times New Roman" w:cs="Times New Roman"/>
          <w:i/>
          <w:noProof/>
          <w:sz w:val="24"/>
          <w:szCs w:val="24"/>
        </w:rPr>
      </w:pPr>
      <w:r>
        <w:rPr>
          <w:rFonts w:ascii="Times New Roman" w:hAnsi="Times New Roman"/>
          <w:b/>
          <w:i/>
          <w:noProof/>
          <w:sz w:val="24"/>
        </w:rPr>
        <w:t xml:space="preserve">a)  </w:t>
      </w:r>
      <w:r>
        <w:tab/>
      </w:r>
      <w:r>
        <w:rPr>
          <w:rFonts w:ascii="Times New Roman" w:hAnsi="Times New Roman"/>
          <w:b/>
          <w:i/>
          <w:noProof/>
          <w:sz w:val="24"/>
        </w:rPr>
        <w:t>Non-discrimination</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L’action de l’Union contre les discriminations fait l’objet d’accords à l’unanimité depuis son introduction dans le traité d’Amsterdam en </w:t>
      </w:r>
      <w:r w:rsidRPr="00C94BF6">
        <w:rPr>
          <w:rFonts w:ascii="Times New Roman" w:hAnsi="Times New Roman"/>
          <w:noProof/>
          <w:sz w:val="24"/>
        </w:rPr>
        <w:t>1997</w:t>
      </w:r>
      <w:r>
        <w:rPr>
          <w:rFonts w:ascii="Times New Roman" w:hAnsi="Times New Roman"/>
          <w:noProof/>
          <w:sz w:val="24"/>
        </w:rPr>
        <w:t>. Le traité de Nice a introduit le vote à la majorité qualifiée pour la définition des principes de base des mesures d’encouragement de l’Union, à l'exclusion de toute harmonisation des législations nationales, afin d’appuyer les actions des États membres visant à lutter contre la discrimination</w:t>
      </w:r>
      <w:r>
        <w:rPr>
          <w:rStyle w:val="FootnoteReference"/>
          <w:rFonts w:ascii="Times New Roman" w:hAnsi="Times New Roman"/>
          <w:noProof/>
          <w:sz w:val="24"/>
        </w:rPr>
        <w:footnoteReference w:id="17"/>
      </w:r>
      <w:r>
        <w:rPr>
          <w:rFonts w:ascii="Times New Roman" w:hAnsi="Times New Roman"/>
          <w:noProof/>
          <w:sz w:val="24"/>
        </w:rPr>
        <w:t>.</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législation actuelle de l’Union</w:t>
      </w:r>
      <w:r>
        <w:rPr>
          <w:rStyle w:val="FootnoteReference"/>
          <w:rFonts w:ascii="Times New Roman" w:hAnsi="Times New Roman"/>
          <w:noProof/>
          <w:sz w:val="24"/>
        </w:rPr>
        <w:footnoteReference w:id="18"/>
      </w:r>
      <w:r>
        <w:rPr>
          <w:rFonts w:ascii="Times New Roman" w:hAnsi="Times New Roman"/>
          <w:noProof/>
          <w:sz w:val="24"/>
        </w:rPr>
        <w:t xml:space="preserve"> (adoptée à l’unanimité) prévoit différents degrés de protection en fonction du motif de la discrimination. Les directives de l’Union prévoient une protection contre les discriminations fondées sur le sexe et la race en matière d’emploi et de travail ainsi que dans divers autres domaines. En revanche, l’égalité de traitement par rapport à la religion ou aux convictions, au handicap, à l’âge et à l’orientation sexuelle n’est protégée qu’en matière d’emploi et de travail. La nécessité d’un vote à l’unanimité au sein du Conseil a conduit, dans ce domaine, à un cadre juridique décousu et à des répercussions incohérentes de la législation de l’Union sur la vie des citoyens, certaines personnes étant mieux protégées que d’autres</w:t>
      </w:r>
      <w:r>
        <w:rPr>
          <w:rStyle w:val="FootnoteReference"/>
          <w:rFonts w:ascii="Times New Roman" w:hAnsi="Times New Roman"/>
          <w:noProof/>
          <w:sz w:val="24"/>
        </w:rPr>
        <w:footnoteReference w:id="19"/>
      </w:r>
      <w:r>
        <w:t>.</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L’égalité est l’une des valeurs fondamentales de l’Union européenne. La discrimination n’a pas sa place dans l’Union</w:t>
      </w:r>
      <w:r>
        <w:rPr>
          <w:rStyle w:val="FootnoteReference"/>
          <w:rFonts w:ascii="Times New Roman" w:hAnsi="Times New Roman"/>
          <w:noProof/>
          <w:sz w:val="24"/>
        </w:rPr>
        <w:footnoteReference w:id="20"/>
      </w:r>
      <w:r>
        <w:t>.</w:t>
      </w:r>
      <w:r>
        <w:rPr>
          <w:rFonts w:ascii="Times New Roman" w:hAnsi="Times New Roman"/>
          <w:noProof/>
          <w:sz w:val="24"/>
        </w:rPr>
        <w:t xml:space="preserve"> En mars </w:t>
      </w:r>
      <w:r w:rsidRPr="00C94BF6">
        <w:rPr>
          <w:rFonts w:ascii="Times New Roman" w:hAnsi="Times New Roman"/>
          <w:noProof/>
          <w:sz w:val="24"/>
        </w:rPr>
        <w:t>2017</w:t>
      </w:r>
      <w:r>
        <w:rPr>
          <w:rFonts w:ascii="Times New Roman" w:hAnsi="Times New Roman"/>
          <w:noProof/>
          <w:sz w:val="24"/>
        </w:rPr>
        <w:t xml:space="preserve">, dans la déclaration de Rome, les dirigeants de l’Union se sont engagés à œuvrer à la réalisation d’une Union qui promeuve l'égalité entre les femmes et les hommes, qui œuvre en faveur de droits et de l'égalité des chances pour tous et qui lutte contre les discriminations. Les États membres et la Commission ont souscrit au programme de développement durable à l’horizon </w:t>
      </w:r>
      <w:r w:rsidRPr="00C94BF6">
        <w:rPr>
          <w:rFonts w:ascii="Times New Roman" w:hAnsi="Times New Roman"/>
          <w:noProof/>
          <w:sz w:val="24"/>
        </w:rPr>
        <w:t>2030</w:t>
      </w:r>
      <w:r>
        <w:rPr>
          <w:rFonts w:ascii="Times New Roman" w:hAnsi="Times New Roman"/>
          <w:noProof/>
          <w:sz w:val="24"/>
        </w:rPr>
        <w:t>, qui implique d’éliminer les lois, politiques et pratiques discriminatoires, et d’encourager l’adoption de lois, politiques et mesures adéquates</w:t>
      </w:r>
      <w:r>
        <w:rPr>
          <w:rStyle w:val="FootnoteReference"/>
          <w:rFonts w:ascii="Times New Roman" w:hAnsi="Times New Roman"/>
          <w:noProof/>
          <w:sz w:val="24"/>
        </w:rPr>
        <w:footnoteReference w:id="21"/>
      </w:r>
      <w:r>
        <w:t xml:space="preserve">. </w:t>
      </w:r>
      <w:r>
        <w:rPr>
          <w:rFonts w:ascii="Times New Roman" w:hAnsi="Times New Roman"/>
          <w:noProof/>
          <w:sz w:val="24"/>
        </w:rPr>
        <w:t xml:space="preserve"> </w:t>
      </w:r>
    </w:p>
    <w:p w:rsidR="004D4A3A" w:rsidRDefault="00D9324A">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Une </w:t>
      </w:r>
      <w:r>
        <w:rPr>
          <w:rFonts w:ascii="Times New Roman" w:hAnsi="Times New Roman"/>
          <w:noProof/>
          <w:color w:val="000000" w:themeColor="text1"/>
          <w:sz w:val="24"/>
        </w:rPr>
        <w:t xml:space="preserve">étude de </w:t>
      </w:r>
      <w:r w:rsidRPr="00C94BF6">
        <w:rPr>
          <w:rFonts w:ascii="Times New Roman" w:hAnsi="Times New Roman"/>
          <w:noProof/>
          <w:color w:val="000000" w:themeColor="text1"/>
          <w:sz w:val="24"/>
        </w:rPr>
        <w:t>2018</w:t>
      </w:r>
      <w:r>
        <w:rPr>
          <w:rFonts w:ascii="Times New Roman" w:hAnsi="Times New Roman"/>
          <w:noProof/>
          <w:color w:val="000000" w:themeColor="text1"/>
          <w:sz w:val="24"/>
        </w:rPr>
        <w:t xml:space="preserve"> du Parlement européen</w:t>
      </w:r>
      <w:r>
        <w:rPr>
          <w:rStyle w:val="FootnoteReference"/>
          <w:rFonts w:ascii="Times New Roman" w:hAnsi="Times New Roman"/>
          <w:noProof/>
          <w:color w:val="000000" w:themeColor="text1"/>
          <w:sz w:val="24"/>
        </w:rPr>
        <w:footnoteReference w:id="22"/>
      </w:r>
      <w:r>
        <w:rPr>
          <w:rFonts w:ascii="Times New Roman" w:hAnsi="Times New Roman"/>
          <w:noProof/>
          <w:color w:val="000000" w:themeColor="text1"/>
          <w:sz w:val="24"/>
        </w:rPr>
        <w:t xml:space="preserve"> a mis en lumière l’ampleur des effets préjudiciables des disparités et obstacles présents dans la législation et l’action de l’Union sur la vie quotidienne des gens et la société (répercussions sur le PIB, les recettes fiscales et la cohésion sociale).</w:t>
      </w:r>
      <w:r>
        <w:rPr>
          <w:rFonts w:ascii="Times New Roman" w:hAnsi="Times New Roman"/>
          <w:noProof/>
          <w:sz w:val="24"/>
        </w:rPr>
        <w:t xml:space="preserve"> </w:t>
      </w:r>
      <w:r>
        <w:rPr>
          <w:rFonts w:ascii="Times New Roman" w:hAnsi="Times New Roman"/>
          <w:noProof/>
          <w:color w:val="000000" w:themeColor="text1"/>
          <w:sz w:val="24"/>
        </w:rPr>
        <w:t xml:space="preserve"> </w:t>
      </w:r>
      <w:r>
        <w:rPr>
          <w:rFonts w:ascii="Times New Roman" w:hAnsi="Times New Roman"/>
          <w:noProof/>
          <w:sz w:val="24"/>
        </w:rPr>
        <w:t xml:space="preserve">L’absence de règles communes de l’Union garantissant la protection contre les discriminations dans l’accès aux biens et aux services ne permet pas à tous de jouer à armes égales, une condition pourtant cruciale pour que le marché unique soit efficace et équitable. </w:t>
      </w:r>
      <w:r>
        <w:rPr>
          <w:rFonts w:ascii="Times New Roman" w:hAnsi="Times New Roman"/>
          <w:noProof/>
          <w:color w:val="000000" w:themeColor="text1"/>
          <w:sz w:val="24"/>
        </w:rPr>
        <w:t xml:space="preserve">Les citoyens et les entreprises devraient continuellement bénéficier des quatre libertés fondamentales dans les mêmes conditions. </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droit de l’Union impose à chaque État membre de créer des organismes chargés de promouvoir l’égalité de traitement</w:t>
      </w:r>
      <w:r>
        <w:rPr>
          <w:rStyle w:val="FootnoteReference"/>
          <w:rFonts w:ascii="Times New Roman" w:hAnsi="Times New Roman"/>
          <w:noProof/>
          <w:sz w:val="24"/>
        </w:rPr>
        <w:footnoteReference w:id="23"/>
      </w:r>
      <w:r>
        <w:t xml:space="preserve">. </w:t>
      </w:r>
      <w:r>
        <w:rPr>
          <w:rFonts w:ascii="Times New Roman" w:hAnsi="Times New Roman"/>
          <w:noProof/>
          <w:sz w:val="24"/>
        </w:rPr>
        <w:t xml:space="preserve"> Ces organismes ont pour mission d’apporter une aide indépendante aux victimes de discrimination, de réaliser des études et de publier des rapports sur les discriminations, mais </w:t>
      </w:r>
      <w:r>
        <w:rPr>
          <w:rFonts w:ascii="Times New Roman" w:hAnsi="Times New Roman"/>
          <w:sz w:val="24"/>
        </w:rPr>
        <w:t>uniquement</w:t>
      </w:r>
      <w:r>
        <w:rPr>
          <w:rFonts w:ascii="Times New Roman" w:hAnsi="Times New Roman"/>
          <w:noProof/>
          <w:sz w:val="24"/>
        </w:rPr>
        <w:t xml:space="preserve"> en ce qui concerne celles fondées sur l’origine raciale ou ethnique et le sexe. Du fait des restrictions juridiques en vigueur, la Commission n’a publié que des lignes directrices non contraignantes sur leur fonctionnement</w:t>
      </w:r>
      <w:r>
        <w:rPr>
          <w:rStyle w:val="FootnoteReference"/>
          <w:rFonts w:ascii="Times New Roman" w:hAnsi="Times New Roman"/>
          <w:noProof/>
          <w:sz w:val="24"/>
        </w:rPr>
        <w:footnoteReference w:id="24"/>
      </w:r>
      <w:r>
        <w:t>.</w:t>
      </w:r>
      <w:r>
        <w:rPr>
          <w:rFonts w:ascii="Times New Roman" w:hAnsi="Times New Roman"/>
          <w:noProof/>
          <w:sz w:val="24"/>
        </w:rPr>
        <w:t xml:space="preserve"> L’assistance aux victimes et autres activités pour la promotion de l’égalité de traitement varient donc d’un État membre à l’autre, comme les raisons pour lesquelles une protection est fournie.</w:t>
      </w:r>
    </w:p>
    <w:p w:rsidR="004D4A3A" w:rsidRDefault="00D9324A">
      <w:pPr>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L’utilisation de la clause passerelle pourrait être envisagée dans un avenir proche afin de faciliter le développement d’une protection égale contre la discrimination, avec des mécanismes de recours efficaces pour tous.  </w:t>
      </w:r>
    </w:p>
    <w:tbl>
      <w:tblPr>
        <w:tblStyle w:val="TableGrid"/>
        <w:tblW w:w="0" w:type="auto"/>
        <w:tblLook w:val="04A0" w:firstRow="1" w:lastRow="0" w:firstColumn="1" w:lastColumn="0" w:noHBand="0" w:noVBand="1"/>
      </w:tblPr>
      <w:tblGrid>
        <w:gridCol w:w="9242"/>
      </w:tblGrid>
      <w:tr w:rsidR="004D4A3A">
        <w:tc>
          <w:tcPr>
            <w:tcW w:w="9242" w:type="dxa"/>
          </w:tcPr>
          <w:p w:rsidR="004D4A3A" w:rsidRDefault="00D9324A">
            <w:pPr>
              <w:keepNext/>
              <w:spacing w:after="120"/>
              <w:jc w:val="both"/>
              <w:rPr>
                <w:rFonts w:ascii="Times New Roman" w:eastAsia="Times New Roman" w:hAnsi="Times New Roman" w:cs="Times New Roman"/>
                <w:b/>
                <w:noProof/>
                <w:sz w:val="24"/>
                <w:szCs w:val="24"/>
              </w:rPr>
            </w:pPr>
            <w:r>
              <w:rPr>
                <w:rFonts w:ascii="Times New Roman" w:hAnsi="Times New Roman"/>
                <w:b/>
                <w:noProof/>
                <w:sz w:val="24"/>
              </w:rPr>
              <w:t>La non-discrimination: faits et chiffres</w:t>
            </w:r>
          </w:p>
          <w:p w:rsidR="004D4A3A" w:rsidRDefault="00D9324A">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enquête Eurobaromètre</w:t>
            </w:r>
            <w:r>
              <w:rPr>
                <w:rStyle w:val="FootnoteReference"/>
                <w:rFonts w:ascii="Times New Roman" w:hAnsi="Times New Roman"/>
                <w:noProof/>
                <w:sz w:val="24"/>
              </w:rPr>
              <w:footnoteReference w:id="25"/>
            </w:r>
            <w:r>
              <w:rPr>
                <w:rFonts w:ascii="Times New Roman" w:hAnsi="Times New Roman"/>
                <w:noProof/>
                <w:sz w:val="24"/>
              </w:rPr>
              <w:t xml:space="preserve"> montre que </w:t>
            </w:r>
            <w:r w:rsidRPr="00C94BF6">
              <w:rPr>
                <w:rFonts w:ascii="Times New Roman" w:hAnsi="Times New Roman"/>
                <w:noProof/>
                <w:sz w:val="24"/>
              </w:rPr>
              <w:t>12</w:t>
            </w:r>
            <w:r>
              <w:rPr>
                <w:rFonts w:ascii="Times New Roman" w:hAnsi="Times New Roman"/>
                <w:noProof/>
                <w:sz w:val="24"/>
              </w:rPr>
              <w:t xml:space="preserve"> % de la population de l’Union considèrent faire partie d’un groupe menacé par les discriminations. Parmi les personnes ayant répondu à l’enquête, une sur cinq fait état d’une expérience personnelle de discrimination ou de harcèlement au cours des </w:t>
            </w:r>
            <w:r w:rsidRPr="00C94BF6">
              <w:rPr>
                <w:rFonts w:ascii="Times New Roman" w:hAnsi="Times New Roman"/>
                <w:noProof/>
                <w:sz w:val="24"/>
              </w:rPr>
              <w:t>12</w:t>
            </w:r>
            <w:r>
              <w:rPr>
                <w:rFonts w:ascii="Times New Roman" w:hAnsi="Times New Roman"/>
                <w:noProof/>
                <w:sz w:val="24"/>
              </w:rPr>
              <w:t xml:space="preserve"> mois précédents. La discrimination fondée sur l’origine ethnique est considérée comme la forme de discrimination la plus répandue, suivie par les discriminations ayant pour cause l’orientation sexuelle, le sexe, la religion ou les convictions, le handicap ou l’âge.</w:t>
            </w:r>
          </w:p>
          <w:p w:rsidR="004D4A3A" w:rsidRDefault="00D9324A">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les personnes concernées, tout déni de leurs droits du fait d’une discrimination peut entraîner un préjudice matériel ou non matériel, par exemple une perte de revenus ou un problème de santé. Pour la société, les discriminations peuvent avoir des répercussions négatives sur le PIB et les recettes fiscales, ainsi que sur la cohésion sociale</w:t>
            </w:r>
            <w:r>
              <w:rPr>
                <w:rStyle w:val="FootnoteReference"/>
                <w:rFonts w:ascii="Times New Roman" w:hAnsi="Times New Roman"/>
                <w:noProof/>
                <w:sz w:val="24"/>
              </w:rPr>
              <w:footnoteReference w:id="26"/>
            </w:r>
            <w:r>
              <w:rPr>
                <w:rFonts w:ascii="Times New Roman" w:hAnsi="Times New Roman"/>
                <w:noProof/>
                <w:sz w:val="24"/>
              </w:rPr>
              <w:t>.</w:t>
            </w:r>
          </w:p>
        </w:tc>
      </w:tr>
    </w:tbl>
    <w:p w:rsidR="004D4A3A" w:rsidRDefault="004D4A3A">
      <w:pPr>
        <w:spacing w:after="0" w:line="240" w:lineRule="auto"/>
        <w:jc w:val="both"/>
        <w:rPr>
          <w:rFonts w:ascii="Times New Roman" w:eastAsia="Times New Roman" w:hAnsi="Times New Roman" w:cs="Times New Roman"/>
          <w:noProof/>
          <w:sz w:val="24"/>
          <w:szCs w:val="24"/>
        </w:rPr>
      </w:pPr>
    </w:p>
    <w:p w:rsidR="004D4A3A" w:rsidRDefault="00D9324A">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b) </w:t>
      </w:r>
      <w:r>
        <w:tab/>
      </w:r>
      <w:r>
        <w:rPr>
          <w:rFonts w:ascii="Times New Roman" w:hAnsi="Times New Roman"/>
          <w:b/>
          <w:i/>
          <w:noProof/>
          <w:sz w:val="24"/>
        </w:rPr>
        <w:t>Sécurité sociale et protection sociale des travailleurs (en dehors des situations transfrontières)</w:t>
      </w:r>
    </w:p>
    <w:p w:rsidR="004D4A3A" w:rsidRDefault="00D9324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L’Union soutient et complète l’action des États membres dans le domaine de la sécurité sociale et de la protection sociale des travailleurs</w:t>
      </w:r>
      <w:r>
        <w:rPr>
          <w:rStyle w:val="FootnoteReference"/>
          <w:rFonts w:ascii="Times New Roman" w:hAnsi="Times New Roman"/>
          <w:noProof/>
          <w:sz w:val="24"/>
        </w:rPr>
        <w:footnoteReference w:id="27"/>
      </w:r>
      <w:r>
        <w:t>.</w:t>
      </w:r>
      <w:r>
        <w:rPr>
          <w:rFonts w:ascii="Times New Roman" w:hAnsi="Times New Roman"/>
          <w:noProof/>
          <w:sz w:val="24"/>
        </w:rPr>
        <w:t xml:space="preserve"> Depuis qu’elle s’est vue conférer ces pouvoirs dans le traité de Maastricht en </w:t>
      </w:r>
      <w:r w:rsidRPr="00C94BF6">
        <w:rPr>
          <w:rFonts w:ascii="Times New Roman" w:hAnsi="Times New Roman"/>
          <w:noProof/>
          <w:sz w:val="24"/>
        </w:rPr>
        <w:t>1992</w:t>
      </w:r>
      <w:r>
        <w:rPr>
          <w:rFonts w:ascii="Times New Roman" w:hAnsi="Times New Roman"/>
          <w:noProof/>
          <w:sz w:val="24"/>
        </w:rPr>
        <w:t>, ce domaine est soumis au vote à l’unanimité dans le cadre de la procédure législative spéciale.</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L’unanimité exigée dans ce domaine est liée au fait que les systèmes nationaux de sécurité sociale et de protection sociale sont profondément intégrés dans les modèles économiques et fiscaux et les modèles de redistribution des revenus des pays. Ces systèmes varient grandement d’un État membre à l’autre, les différences ayant trait à la taille du budget et à la manière dont il est alloué, à la source de financement, au degré de couverture des risques au sein de la population et au rôle des partenaires sociaux. </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Parallèlement, puisque les marchés du travail évoluent, les systèmes de protection sociale doivent être réformés à l’échelon national pour être modernisés; ainsi, notre modèle social restera adapté, personne ne sera laissé de côté et les citoyens comme les entreprises de l’Union tireront le meilleur parti de l’évolution du monde du travail. Les transformations démographiques, telles que le vieillissement de la population, la baisse de la natalité et l’allongement de l’espérance de vie, auront des répercussions sur la capacité des États membres de garantir une protection sociale adéquate. La contribution des populations en âge de travailler diminuera, obligeant à trouver d'autres sources de financement des systèmes de protection sociale.  L’émergence de toute une variété de relations d’emploi, exacerbée par les changements technologiques et les plateformes numériques, engendre déjà des disparités dans la couverture de la protection sociale. De plus, le monde du travail de demain requerra des investissements massifs dans l’apprentissage tout au long de la vie, la formation, le perfectionnement professionnel et la reconversion, que les systèmes de protection sociale nationaux prennent insuffisamment en charge aujourd’hui.</w:t>
      </w:r>
    </w:p>
    <w:p w:rsidR="004D4A3A" w:rsidRDefault="00D9324A">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Guidée par les principes du socle européen des droits sociaux, la Commission a jusqu’à présent proposé de cibler l’action de l’Union sur la formulation de recommandations, telles que la recommandation relative à l’accès des travailleurs salariés et non salariés à la protection sociale.  Cette dernière a fait l’objet d’un accord politique à l’unanimité au sein du Conseil en décembre </w:t>
      </w:r>
      <w:r w:rsidRPr="00C94BF6">
        <w:rPr>
          <w:rFonts w:ascii="Times New Roman" w:hAnsi="Times New Roman"/>
          <w:noProof/>
          <w:sz w:val="24"/>
        </w:rPr>
        <w:t>2018</w:t>
      </w:r>
      <w:r>
        <w:rPr>
          <w:rFonts w:ascii="Times New Roman" w:hAnsi="Times New Roman"/>
          <w:noProof/>
          <w:sz w:val="24"/>
        </w:rPr>
        <w:t xml:space="preserve"> et son adoption finale devrait intervenir sous peu. Elle commencera à être mise en œuvre dès son adoption et il conviendra alors d’en évaluer les effets sur la modernisation des systèmes de protection sociale. </w:t>
      </w:r>
    </w:p>
    <w:p w:rsidR="004D4A3A" w:rsidRDefault="00D9324A">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Si le Conseil européen utilise la clause passerelle de l’article </w:t>
      </w:r>
      <w:r w:rsidRPr="00C94BF6">
        <w:rPr>
          <w:rFonts w:ascii="Times New Roman" w:hAnsi="Times New Roman"/>
          <w:noProof/>
          <w:sz w:val="24"/>
        </w:rPr>
        <w:t>48</w:t>
      </w:r>
      <w:r>
        <w:rPr>
          <w:rFonts w:ascii="Times New Roman" w:hAnsi="Times New Roman"/>
          <w:noProof/>
          <w:sz w:val="24"/>
        </w:rPr>
        <w:t xml:space="preserve">, paragraphe </w:t>
      </w:r>
      <w:r w:rsidRPr="00C94BF6">
        <w:rPr>
          <w:rFonts w:ascii="Times New Roman" w:hAnsi="Times New Roman"/>
          <w:noProof/>
          <w:sz w:val="24"/>
        </w:rPr>
        <w:t>7</w:t>
      </w:r>
      <w:r>
        <w:rPr>
          <w:rFonts w:ascii="Times New Roman" w:hAnsi="Times New Roman"/>
          <w:noProof/>
          <w:sz w:val="24"/>
        </w:rPr>
        <w:t xml:space="preserve">, du TUE et rend le vote à la majorité qualifiée applicable dans le domaine ou le cas concerné, le Conseil pourra statuer à la majorité qualifiée, et non plus à l’unanimité, pour adopter des recommandations dans ledit domaine ou cas, en vertu de l’article </w:t>
      </w:r>
      <w:r w:rsidRPr="00C94BF6">
        <w:rPr>
          <w:rFonts w:ascii="Times New Roman" w:hAnsi="Times New Roman"/>
          <w:noProof/>
          <w:sz w:val="24"/>
        </w:rPr>
        <w:t>292</w:t>
      </w:r>
      <w:r>
        <w:rPr>
          <w:rFonts w:ascii="Times New Roman" w:hAnsi="Times New Roman"/>
          <w:noProof/>
          <w:sz w:val="24"/>
        </w:rPr>
        <w:t xml:space="preserve"> du TFUE. Le passage à la majorité qualifiée favoriserait les accords autour de telles recommandations et permettrait d’orienter et de soutenir le processus de convergence vers des systèmes de protection sociale adaptés au XXI</w:t>
      </w:r>
      <w:r>
        <w:rPr>
          <w:rFonts w:ascii="Times New Roman" w:hAnsi="Times New Roman"/>
          <w:noProof/>
          <w:sz w:val="24"/>
          <w:vertAlign w:val="superscript"/>
        </w:rPr>
        <w:t>e</w:t>
      </w:r>
      <w:r>
        <w:rPr>
          <w:rFonts w:ascii="Times New Roman" w:hAnsi="Times New Roman"/>
          <w:noProof/>
          <w:sz w:val="24"/>
        </w:rPr>
        <w:t xml:space="preserve"> siècle.</w:t>
      </w:r>
    </w:p>
    <w:p w:rsidR="004D4A3A" w:rsidRDefault="00D9324A">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Même en pareil cas, l’action de l’Union doit respecter le principe de subsidiarité et tenir compte des fortes différences existant entre les systèmes de protection sociale des États membres. Par ailleurs, l’article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4</w:t>
      </w:r>
      <w:r>
        <w:rPr>
          <w:rFonts w:ascii="Times New Roman" w:hAnsi="Times New Roman"/>
          <w:noProof/>
          <w:sz w:val="24"/>
        </w:rPr>
        <w:t>, du TFUE garantit aux États membres le droit de définir les principes fondamentaux de leur système de sécurité sociale et de ne pas en voir l'équilibre financier sensiblement affecté.</w:t>
      </w:r>
    </w:p>
    <w:p w:rsidR="004D4A3A" w:rsidRDefault="00D9324A">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 xml:space="preserve">En conséquence, pour favoriser le processus de modernisation et de convergence des systèmes de protection sociale, </w:t>
      </w:r>
      <w:r>
        <w:rPr>
          <w:rFonts w:ascii="Times New Roman" w:hAnsi="Times New Roman"/>
          <w:b/>
          <w:noProof/>
          <w:sz w:val="24"/>
        </w:rPr>
        <w:t xml:space="preserve">le recours à la clause passerelle pourrait être envisagé dans un avenir proche en vue de l’adoption de recommandations dans le domaine de la sécurité sociale et de la protection sociale des travailleurs. </w:t>
      </w:r>
    </w:p>
    <w:p w:rsidR="004D4A3A" w:rsidRDefault="004D4A3A">
      <w:pPr>
        <w:spacing w:before="240" w:after="240" w:line="240" w:lineRule="auto"/>
        <w:jc w:val="both"/>
        <w:rPr>
          <w:rFonts w:ascii="Times New Roman" w:hAnsi="Times New Roman" w:cs="Times New Roman"/>
          <w:b/>
          <w:noProof/>
          <w:sz w:val="24"/>
          <w:szCs w:val="24"/>
        </w:rPr>
      </w:pPr>
    </w:p>
    <w:p w:rsidR="004D4A3A" w:rsidRDefault="00D9324A">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c) </w:t>
      </w:r>
      <w:r>
        <w:tab/>
      </w:r>
      <w:r>
        <w:rPr>
          <w:rFonts w:ascii="Times New Roman" w:hAnsi="Times New Roman"/>
          <w:b/>
          <w:i/>
          <w:noProof/>
          <w:sz w:val="24"/>
        </w:rPr>
        <w:t>Conditions d'emploi des ressortissants des pays tiers se trouvant en séjour régulier sur le territoire de l'Union</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Plusieurs directives de l’Union relatives à la migration légale réglementent les conditions d’entrée et de séjour et les droits de différentes catégories de ressortissants de pays tiers, comme les étudiants, les chercheurs, les travailleurs saisonniers ou les personnes faisant l’objet d’un transfert temporaire intragroupe</w:t>
      </w:r>
      <w:r>
        <w:rPr>
          <w:rStyle w:val="FootnoteReference"/>
          <w:rFonts w:ascii="Times New Roman" w:hAnsi="Times New Roman"/>
          <w:noProof/>
          <w:sz w:val="24"/>
        </w:rPr>
        <w:footnoteReference w:id="28"/>
      </w:r>
      <w:r>
        <w:t>.</w:t>
      </w:r>
      <w:r>
        <w:rPr>
          <w:rFonts w:ascii="Times New Roman" w:hAnsi="Times New Roman"/>
          <w:noProof/>
          <w:sz w:val="28"/>
          <w:vertAlign w:val="superscript"/>
        </w:rPr>
        <w:t xml:space="preserve"> </w:t>
      </w:r>
      <w:r>
        <w:rPr>
          <w:rFonts w:ascii="Times New Roman" w:hAnsi="Times New Roman"/>
          <w:noProof/>
          <w:sz w:val="24"/>
        </w:rPr>
        <w:t xml:space="preserve">Ces directives ont été adoptées en vertu de l’article </w:t>
      </w:r>
      <w:r w:rsidRPr="00C94BF6">
        <w:rPr>
          <w:rFonts w:ascii="Times New Roman" w:hAnsi="Times New Roman"/>
          <w:noProof/>
          <w:sz w:val="24"/>
        </w:rPr>
        <w:t>79</w:t>
      </w:r>
      <w:r>
        <w:rPr>
          <w:rFonts w:ascii="Times New Roman" w:hAnsi="Times New Roman"/>
          <w:noProof/>
          <w:sz w:val="24"/>
        </w:rPr>
        <w:t xml:space="preserve">, paragraphe </w:t>
      </w:r>
      <w:r w:rsidRPr="00C94BF6">
        <w:rPr>
          <w:rFonts w:ascii="Times New Roman" w:hAnsi="Times New Roman"/>
          <w:noProof/>
          <w:sz w:val="24"/>
        </w:rPr>
        <w:t>2</w:t>
      </w:r>
      <w:r>
        <w:rPr>
          <w:rFonts w:ascii="Times New Roman" w:hAnsi="Times New Roman"/>
          <w:noProof/>
          <w:sz w:val="24"/>
        </w:rPr>
        <w:t>, du TFUE, sur la base du vote à la majorité qualifiée et de l’exercice des pouvoirs de codécision du Parlement européen.</w:t>
      </w:r>
      <w:r>
        <w:rPr>
          <w:rFonts w:ascii="Times New Roman" w:hAnsi="Times New Roman"/>
          <w:noProof/>
          <w:sz w:val="24"/>
          <w:vertAlign w:val="superscript"/>
        </w:rPr>
        <w:t xml:space="preserve"> </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Ces règles visent à garantir l’égalité de traitement avec les ressortissants de l’Union sur divers points, y compris les conditions d’emploi (salaires, qualifications professionnelles, etc.). Parallèlement, l’abondante législation constituant l’acquis de l’Union dans le domaine social et celui de l’emploi</w:t>
      </w:r>
      <w:r>
        <w:rPr>
          <w:rStyle w:val="FootnoteReference"/>
          <w:rFonts w:ascii="Times New Roman" w:hAnsi="Times New Roman"/>
          <w:noProof/>
          <w:sz w:val="24"/>
        </w:rPr>
        <w:footnoteReference w:id="29"/>
      </w:r>
      <w:r>
        <w:rPr>
          <w:rFonts w:ascii="Times New Roman" w:hAnsi="Times New Roman"/>
          <w:noProof/>
          <w:sz w:val="24"/>
        </w:rPr>
        <w:t xml:space="preserve">, </w:t>
      </w:r>
      <w:r>
        <w:rPr>
          <w:rStyle w:val="FootnoteReference"/>
          <w:rFonts w:ascii="Times New Roman" w:hAnsi="Times New Roman"/>
          <w:noProof/>
          <w:sz w:val="24"/>
        </w:rPr>
        <w:t xml:space="preserve"> </w:t>
      </w:r>
      <w:r>
        <w:rPr>
          <w:rFonts w:ascii="Times New Roman" w:hAnsi="Times New Roman"/>
          <w:noProof/>
          <w:sz w:val="24"/>
        </w:rPr>
        <w:t xml:space="preserve">qui garantit entre autres des conditions de travail équitables ainsi que la protection de la santé et la sécurité au travail, s’applique à tous les travailleurs couverts par le droit national du travail dans un État membre, quelle que soit leur nationalité. </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En outre, en vertu de différentes dispositions du traité relevant du vote à la majorité qualifiée, l’Union a adopté des recommandations concernant les mesures d’activation pour les personnes rencontrant des difficultés sur le marché du travail. À titre d’exemple, l’Union a déjà fourni des orientations avec la «garantie pour la jeunesse»</w:t>
      </w:r>
      <w:r>
        <w:rPr>
          <w:rStyle w:val="FootnoteReference"/>
          <w:rFonts w:ascii="Times New Roman" w:hAnsi="Times New Roman"/>
          <w:noProof/>
          <w:sz w:val="24"/>
        </w:rPr>
        <w:footnoteReference w:id="30"/>
      </w:r>
      <w:r>
        <w:t>,</w:t>
      </w:r>
      <w:r>
        <w:rPr>
          <w:rFonts w:ascii="Times New Roman" w:hAnsi="Times New Roman"/>
          <w:noProof/>
          <w:sz w:val="24"/>
        </w:rPr>
        <w:t xml:space="preserve"> la recommandation du Conseil relative à l’intégration des chômeurs de longue durée sur le marché du travail</w:t>
      </w:r>
      <w:r>
        <w:rPr>
          <w:rStyle w:val="FootnoteReference"/>
          <w:rFonts w:ascii="Times New Roman" w:hAnsi="Times New Roman"/>
          <w:noProof/>
          <w:sz w:val="24"/>
        </w:rPr>
        <w:footnoteReference w:id="31"/>
      </w:r>
      <w:r>
        <w:t>,</w:t>
      </w:r>
      <w:r>
        <w:rPr>
          <w:rFonts w:ascii="Times New Roman" w:hAnsi="Times New Roman"/>
          <w:noProof/>
          <w:sz w:val="24"/>
        </w:rPr>
        <w:t xml:space="preserve"> et la recommandation du Conseil relative à des parcours de renforcement des compétences</w:t>
      </w:r>
      <w:r>
        <w:rPr>
          <w:rStyle w:val="FootnoteReference"/>
          <w:rFonts w:ascii="Times New Roman" w:hAnsi="Times New Roman"/>
          <w:noProof/>
          <w:sz w:val="24"/>
        </w:rPr>
        <w:footnoteReference w:id="32"/>
      </w:r>
      <w:r>
        <w:t>.</w:t>
      </w:r>
      <w:r>
        <w:rPr>
          <w:rFonts w:ascii="Times New Roman" w:hAnsi="Times New Roman"/>
          <w:noProof/>
          <w:sz w:val="24"/>
        </w:rPr>
        <w:t xml:space="preserve"> Ces recommandations, qui s’appliquent aussi aux ressortissants de pays tiers résidant légalement dans l’Union, reconnaissent que ces derniers constituent sur le marché du travail un groupe vulnérable nécessitant un soutien personnalisé. Ces recommandations sont actuellement appliquées et leurs effets, y compris sur les ressortissants de pays tiers en séjour régulier, doivent encore être évalués.</w:t>
      </w:r>
    </w:p>
    <w:p w:rsidR="004D4A3A" w:rsidRDefault="00D9324A">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Par conséquent, le champ d’application potentiel de l’article </w:t>
      </w:r>
      <w:r w:rsidRPr="00C94BF6">
        <w:rPr>
          <w:rFonts w:ascii="Times New Roman" w:hAnsi="Times New Roman"/>
          <w:noProof/>
          <w:sz w:val="24"/>
        </w:rPr>
        <w:t>153</w:t>
      </w:r>
      <w:r>
        <w:rPr>
          <w:rFonts w:ascii="Times New Roman" w:hAnsi="Times New Roman"/>
          <w:noProof/>
          <w:sz w:val="24"/>
        </w:rPr>
        <w:t xml:space="preserve">, paragraphe </w:t>
      </w:r>
      <w:r w:rsidRPr="00C94BF6">
        <w:rPr>
          <w:rFonts w:ascii="Times New Roman" w:hAnsi="Times New Roman"/>
          <w:noProof/>
          <w:sz w:val="24"/>
        </w:rPr>
        <w:t>1</w:t>
      </w:r>
      <w:r>
        <w:rPr>
          <w:rFonts w:ascii="Times New Roman" w:hAnsi="Times New Roman"/>
          <w:noProof/>
          <w:sz w:val="24"/>
        </w:rPr>
        <w:t>, point g), du TFUE, qui permet à l’Union de soutenir et de compléter les activités des États membres en agissant dans le domaine des conditions d'emploi des ressortissants de pays tiers en séjour régulier, sur la base de l’unanimité, semble plutôt limité.</w:t>
      </w:r>
    </w:p>
    <w:p w:rsidR="004D4A3A" w:rsidRDefault="00D9324A">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Au vu de la législation relevant tant de l’acquis en matière de migration que de l’acquis social, et des recommandations en vigueur, </w:t>
      </w:r>
      <w:r>
        <w:rPr>
          <w:rFonts w:ascii="Times New Roman" w:hAnsi="Times New Roman"/>
          <w:b/>
          <w:noProof/>
          <w:sz w:val="24"/>
        </w:rPr>
        <w:t xml:space="preserve">il semble qu’à l’heure actuelle, l’utilisation de la clause passerelle dans ce domaine ne présente aucune valeur ajoutée significative.  </w:t>
      </w:r>
    </w:p>
    <w:p w:rsidR="00B05299" w:rsidRPr="00210422" w:rsidRDefault="00B05299" w:rsidP="00B05299">
      <w:pPr>
        <w:spacing w:after="0" w:line="240" w:lineRule="auto"/>
        <w:jc w:val="both"/>
        <w:rPr>
          <w:rFonts w:ascii="Times New Roman" w:eastAsia="Calibri" w:hAnsi="Times New Roman" w:cs="Times New Roman"/>
          <w:noProof/>
          <w:sz w:val="24"/>
          <w:szCs w:val="24"/>
          <w:lang w:val="fr-BE" w:eastAsia="en-US" w:bidi="ar-SA"/>
        </w:rPr>
      </w:pPr>
    </w:p>
    <w:p w:rsidR="00B05299" w:rsidRPr="00B05299" w:rsidRDefault="00B05299" w:rsidP="00B05299">
      <w:pPr>
        <w:keepNext/>
        <w:spacing w:after="240" w:line="240" w:lineRule="auto"/>
        <w:ind w:left="397" w:hanging="397"/>
        <w:jc w:val="both"/>
        <w:rPr>
          <w:rFonts w:ascii="Times New Roman" w:eastAsia="Times New Roman" w:hAnsi="Times New Roman" w:cs="Times New Roman"/>
          <w:b/>
          <w:i/>
          <w:noProof/>
          <w:sz w:val="24"/>
          <w:szCs w:val="24"/>
          <w:lang w:eastAsia="en-US" w:bidi="ar-SA"/>
        </w:rPr>
      </w:pPr>
      <w:r w:rsidRPr="00B05299">
        <w:rPr>
          <w:rFonts w:ascii="Times New Roman" w:eastAsia="Calibri" w:hAnsi="Times New Roman" w:cs="Times New Roman"/>
          <w:b/>
          <w:i/>
          <w:sz w:val="24"/>
          <w:szCs w:val="24"/>
          <w:lang w:eastAsia="en-US" w:bidi="ar-SA"/>
        </w:rPr>
        <w:t xml:space="preserve">d) </w:t>
      </w:r>
      <w:r w:rsidRPr="00B05299">
        <w:rPr>
          <w:rFonts w:ascii="Times New Roman" w:eastAsia="Calibri" w:hAnsi="Times New Roman" w:cs="Times New Roman"/>
          <w:b/>
          <w:i/>
          <w:sz w:val="24"/>
          <w:szCs w:val="24"/>
          <w:lang w:eastAsia="en-US" w:bidi="ar-SA"/>
        </w:rPr>
        <w:tab/>
        <w:t>Protection des travailleurs en cas de résiliation du contrat de travail</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La protection des travailleurs en cas de résiliation du contrat de travail (licenciement) est la pierre angulaire des droits nationaux du travail. Elle est étroitement liée aux systèmes de protection sociale et aux institutions du marché du travail des États membres, ce qui englobe la participation des partenaires sociaux et les traditions de négociation collective. La durée et le niveau des prestations de chômage, le degré d’encadrement réglementaire des contrats de travail et les procédures judiciaires et extra-judiciaires diffèrent selon les États membres.</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Au niveau de l’Union, la charte des droits fondamentaux de l’Union et le socle européen des droits sociaux</w:t>
      </w:r>
      <w:r w:rsidRPr="00B05299">
        <w:rPr>
          <w:rFonts w:ascii="Times New Roman" w:eastAsia="Calibri" w:hAnsi="Times New Roman" w:cs="Times New Roman"/>
          <w:noProof/>
          <w:sz w:val="24"/>
          <w:szCs w:val="24"/>
          <w:vertAlign w:val="superscript"/>
          <w:lang w:eastAsia="en-US" w:bidi="ar-SA"/>
        </w:rPr>
        <w:footnoteReference w:id="33"/>
      </w:r>
      <w:r w:rsidRPr="00B05299">
        <w:rPr>
          <w:rFonts w:ascii="Times New Roman" w:eastAsia="Calibri" w:hAnsi="Times New Roman" w:cs="Times New Roman"/>
          <w:sz w:val="24"/>
          <w:szCs w:val="24"/>
          <w:lang w:eastAsia="en-US" w:bidi="ar-SA"/>
        </w:rPr>
        <w:t xml:space="preserve"> établissent des principes horizontaux de protection contre les licenciements, mais c’est au niveau national que sont établis des cadres de protection complets fixant des normes minimales de protection des travailleurs contre les licenciements. Le droit national est le niveau idoine pour prendre en compte les spécificités des différents systèmes nationaux de protection, y compris sur le plan fiscal.</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Le droit dérivé de l’Union comprend des mesures ciblées pour protéger les travailleurs les plus vulnérables contre le licenciement. Les femmes enceintes sont ainsi protégées.  La directive sur le travail à temps partiel</w:t>
      </w:r>
      <w:r w:rsidRPr="00B05299">
        <w:rPr>
          <w:rFonts w:ascii="Times New Roman" w:eastAsia="Calibri" w:hAnsi="Times New Roman" w:cs="Times New Roman"/>
          <w:noProof/>
          <w:sz w:val="24"/>
          <w:szCs w:val="24"/>
          <w:vertAlign w:val="superscript"/>
          <w:lang w:eastAsia="en-US" w:bidi="ar-SA"/>
        </w:rPr>
        <w:footnoteReference w:id="34"/>
      </w:r>
      <w:r w:rsidRPr="00B05299">
        <w:rPr>
          <w:rFonts w:ascii="Times New Roman" w:eastAsia="Calibri" w:hAnsi="Times New Roman" w:cs="Times New Roman"/>
          <w:sz w:val="24"/>
          <w:szCs w:val="24"/>
          <w:lang w:eastAsia="en-US" w:bidi="ar-SA"/>
        </w:rPr>
        <w:t>, la directive sur l’égalité entre hommes et femmes</w:t>
      </w:r>
      <w:r w:rsidRPr="00B05299">
        <w:rPr>
          <w:rFonts w:ascii="Times New Roman" w:eastAsia="Calibri" w:hAnsi="Times New Roman" w:cs="Times New Roman"/>
          <w:noProof/>
          <w:sz w:val="24"/>
          <w:szCs w:val="24"/>
          <w:vertAlign w:val="superscript"/>
          <w:lang w:eastAsia="en-US" w:bidi="ar-SA"/>
        </w:rPr>
        <w:footnoteReference w:id="35"/>
      </w:r>
      <w:r w:rsidRPr="00B05299">
        <w:rPr>
          <w:rFonts w:ascii="Times New Roman" w:eastAsia="Calibri" w:hAnsi="Times New Roman" w:cs="Times New Roman"/>
          <w:sz w:val="24"/>
          <w:szCs w:val="24"/>
          <w:lang w:eastAsia="en-US" w:bidi="ar-SA"/>
        </w:rPr>
        <w:t xml:space="preserve"> et la directive sur l’égalité de traitement entre hommes et femmes exerçant une activité indépendante</w:t>
      </w:r>
      <w:r w:rsidRPr="00B05299">
        <w:rPr>
          <w:rFonts w:ascii="Times New Roman" w:eastAsia="Calibri" w:hAnsi="Times New Roman" w:cs="Times New Roman"/>
          <w:noProof/>
          <w:sz w:val="24"/>
          <w:szCs w:val="24"/>
          <w:vertAlign w:val="superscript"/>
          <w:lang w:eastAsia="en-US" w:bidi="ar-SA"/>
        </w:rPr>
        <w:footnoteReference w:id="36"/>
      </w:r>
      <w:r w:rsidRPr="00B05299">
        <w:rPr>
          <w:rFonts w:ascii="Times New Roman" w:eastAsia="Calibri" w:hAnsi="Times New Roman" w:cs="Times New Roman"/>
          <w:sz w:val="24"/>
          <w:szCs w:val="24"/>
          <w:lang w:eastAsia="en-US" w:bidi="ar-SA"/>
        </w:rPr>
        <w:t xml:space="preserve"> assurent aussi une protection contre le licenciement et contre un traitement défavorable. La directive relative à des conditions de travail transparentes et prévisibles</w:t>
      </w:r>
      <w:r w:rsidRPr="00B05299">
        <w:rPr>
          <w:rFonts w:ascii="Times New Roman" w:eastAsia="Calibri" w:hAnsi="Times New Roman" w:cs="Times New Roman"/>
          <w:noProof/>
          <w:sz w:val="24"/>
          <w:szCs w:val="24"/>
          <w:vertAlign w:val="superscript"/>
          <w:lang w:eastAsia="en-US" w:bidi="ar-SA"/>
        </w:rPr>
        <w:footnoteReference w:id="37"/>
      </w:r>
      <w:r w:rsidRPr="00B05299">
        <w:rPr>
          <w:rFonts w:ascii="Times New Roman" w:eastAsia="Calibri" w:hAnsi="Times New Roman" w:cs="Times New Roman"/>
          <w:sz w:val="24"/>
          <w:szCs w:val="24"/>
          <w:lang w:eastAsia="en-US" w:bidi="ar-SA"/>
        </w:rPr>
        <w:t xml:space="preserve"> garantit aux travailleurs le droit d’être informés de la durée de la période de préavis et interdit le licenciement de travailleurs au motif qu’ils ont exercé leur droit à l’information. De même, la directive sur l’équilibre entre vie professionnelle et vie privée</w:t>
      </w:r>
      <w:r w:rsidRPr="00B05299">
        <w:rPr>
          <w:rFonts w:ascii="Times New Roman" w:eastAsia="Calibri" w:hAnsi="Times New Roman" w:cs="Times New Roman"/>
          <w:noProof/>
          <w:sz w:val="24"/>
          <w:szCs w:val="24"/>
          <w:vertAlign w:val="superscript"/>
          <w:lang w:eastAsia="en-US" w:bidi="ar-SA"/>
        </w:rPr>
        <w:footnoteReference w:id="38"/>
      </w:r>
      <w:r w:rsidRPr="00B05299">
        <w:rPr>
          <w:rFonts w:ascii="Times New Roman" w:eastAsia="Calibri" w:hAnsi="Times New Roman" w:cs="Times New Roman"/>
          <w:sz w:val="24"/>
          <w:szCs w:val="24"/>
          <w:lang w:eastAsia="en-US" w:bidi="ar-SA"/>
        </w:rPr>
        <w:t xml:space="preserve"> interdit le licenciement des travailleurs au motif qu’ils ont demandé un congé de paternité, un congé parental, un congé d’aidant ou des formules souples de travail.</w:t>
      </w:r>
    </w:p>
    <w:p w:rsidR="00B05299" w:rsidRPr="00B05299" w:rsidRDefault="00B05299" w:rsidP="00B05299">
      <w:pPr>
        <w:spacing w:after="240" w:line="240" w:lineRule="auto"/>
        <w:jc w:val="both"/>
        <w:rPr>
          <w:rFonts w:ascii="Times New Roman" w:eastAsia="Times New Roman"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 xml:space="preserve">L’étroite corrélation avec les systèmes de protection sociale et les  institutions du marché du travail des États membres, la diversité de ceux-ci ainsi que la nécessité de respecter la diversité des pratiques et des modèles de dialogue social au niveau national, plaident en faveur du maintien du vote à l’unanimité du Conseil en la matière. En outre, certaines des directives récemment adoptées, mentionnées ci-dessus, ne seront appliquées qu’après une période transitoire, il est donc encore trop tôt pour évaluer leurs résultats dans ce domaine. </w:t>
      </w:r>
      <w:r w:rsidRPr="00B05299">
        <w:rPr>
          <w:rFonts w:ascii="Times New Roman" w:eastAsia="Calibri" w:hAnsi="Times New Roman" w:cs="Times New Roman"/>
          <w:b/>
          <w:sz w:val="24"/>
          <w:szCs w:val="24"/>
          <w:lang w:eastAsia="en-US" w:bidi="ar-SA"/>
        </w:rPr>
        <w:t>Il ne semble pas exister à l’heure actuelle de raisons plaidant clairement en faveur de l’utilisation de la clause passerell.</w:t>
      </w:r>
    </w:p>
    <w:p w:rsidR="00B05299" w:rsidRPr="00B05299" w:rsidRDefault="00B05299" w:rsidP="00B05299">
      <w:pPr>
        <w:keepNext/>
        <w:spacing w:after="240" w:line="240" w:lineRule="auto"/>
        <w:ind w:left="397" w:hanging="397"/>
        <w:jc w:val="both"/>
        <w:rPr>
          <w:rFonts w:ascii="Times New Roman" w:eastAsia="Times New Roman" w:hAnsi="Times New Roman" w:cs="Times New Roman"/>
          <w:b/>
          <w:i/>
          <w:noProof/>
          <w:sz w:val="24"/>
          <w:szCs w:val="24"/>
          <w:lang w:eastAsia="en-US" w:bidi="ar-SA"/>
        </w:rPr>
      </w:pPr>
      <w:r w:rsidRPr="00B05299">
        <w:rPr>
          <w:rFonts w:ascii="Times New Roman" w:eastAsia="Calibri" w:hAnsi="Times New Roman" w:cs="Times New Roman"/>
          <w:b/>
          <w:i/>
          <w:sz w:val="24"/>
          <w:szCs w:val="24"/>
          <w:lang w:eastAsia="en-US" w:bidi="ar-SA"/>
        </w:rPr>
        <w:t xml:space="preserve">e) </w:t>
      </w:r>
      <w:r w:rsidRPr="00B05299">
        <w:rPr>
          <w:rFonts w:ascii="Times New Roman" w:eastAsia="Calibri" w:hAnsi="Times New Roman" w:cs="Times New Roman"/>
          <w:b/>
          <w:i/>
          <w:sz w:val="24"/>
          <w:szCs w:val="24"/>
          <w:lang w:eastAsia="en-US" w:bidi="ar-SA"/>
        </w:rPr>
        <w:tab/>
        <w:t>Représentation et défense collective des intérêts des travailleurs et des employeurs</w:t>
      </w:r>
    </w:p>
    <w:p w:rsidR="00B05299" w:rsidRPr="00B05299" w:rsidRDefault="00B05299" w:rsidP="00B05299">
      <w:pPr>
        <w:spacing w:after="240" w:line="240" w:lineRule="auto"/>
        <w:jc w:val="both"/>
        <w:rPr>
          <w:rFonts w:ascii="Times New Roman" w:eastAsia="Times New Roman"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La représentation et la défense collective des intérêts des travailleurs et des employeurs, y compris la cogestion, reposent sur des principes généraux clés, ancrés dans la charte des droits fondamentaux de l’Union et dans le socle européen des droits sociaux</w:t>
      </w:r>
      <w:r w:rsidRPr="00B05299">
        <w:rPr>
          <w:rFonts w:ascii="Times New Roman" w:eastAsia="Calibri" w:hAnsi="Times New Roman" w:cs="Times New Roman"/>
          <w:noProof/>
          <w:sz w:val="24"/>
          <w:szCs w:val="24"/>
          <w:vertAlign w:val="superscript"/>
          <w:lang w:eastAsia="en-US" w:bidi="ar-SA"/>
        </w:rPr>
        <w:footnoteReference w:id="39"/>
      </w:r>
      <w:r w:rsidRPr="00B05299">
        <w:rPr>
          <w:rFonts w:ascii="Times New Roman" w:eastAsia="Calibri" w:hAnsi="Times New Roman" w:cs="Times New Roman"/>
          <w:sz w:val="24"/>
          <w:szCs w:val="24"/>
          <w:lang w:eastAsia="en-US" w:bidi="ar-SA"/>
        </w:rPr>
        <w:t>. Les pouvoirs de l’Union dans ce domaine demeurent cependant assez strictement limités par le traité, qui  exclut expressément les mesures relatives au droit d’association, au droit de grève et au droit de lock-out</w:t>
      </w:r>
      <w:r w:rsidRPr="00B05299">
        <w:rPr>
          <w:rFonts w:ascii="Times New Roman" w:eastAsia="Times New Roman" w:hAnsi="Times New Roman" w:cs="Times New Roman"/>
          <w:noProof/>
          <w:sz w:val="24"/>
          <w:szCs w:val="24"/>
          <w:vertAlign w:val="superscript"/>
          <w:lang w:eastAsia="en-US" w:bidi="ar-SA"/>
        </w:rPr>
        <w:footnoteReference w:id="40"/>
      </w:r>
      <w:r w:rsidRPr="00B05299">
        <w:rPr>
          <w:rFonts w:ascii="Times New Roman" w:eastAsia="Calibri" w:hAnsi="Times New Roman" w:cs="Times New Roman"/>
          <w:sz w:val="24"/>
          <w:szCs w:val="24"/>
          <w:lang w:eastAsia="en-US" w:bidi="ar-SA"/>
        </w:rPr>
        <w:t>. De plus, il n’existe aucune législation spécifique au niveau de l’Union qui traiterait cette question de manière générale</w:t>
      </w:r>
      <w:r w:rsidRPr="00B05299">
        <w:rPr>
          <w:rFonts w:ascii="Times New Roman" w:eastAsia="Times New Roman" w:hAnsi="Times New Roman" w:cs="Times New Roman"/>
          <w:noProof/>
          <w:sz w:val="24"/>
          <w:szCs w:val="24"/>
          <w:vertAlign w:val="superscript"/>
          <w:lang w:eastAsia="en-US" w:bidi="ar-SA"/>
        </w:rPr>
        <w:footnoteReference w:id="41"/>
      </w:r>
      <w:r w:rsidRPr="00B05299">
        <w:rPr>
          <w:rFonts w:ascii="Times New Roman" w:eastAsia="Calibri" w:hAnsi="Times New Roman" w:cs="Times New Roman"/>
          <w:sz w:val="24"/>
          <w:szCs w:val="24"/>
          <w:lang w:eastAsia="en-US" w:bidi="ar-SA"/>
        </w:rPr>
        <w:t xml:space="preserve">. </w:t>
      </w:r>
    </w:p>
    <w:p w:rsidR="00B05299" w:rsidRPr="00B05299" w:rsidRDefault="00B05299" w:rsidP="00B05299">
      <w:pPr>
        <w:spacing w:after="240" w:line="240" w:lineRule="auto"/>
        <w:jc w:val="both"/>
        <w:rPr>
          <w:rFonts w:ascii="Times New Roman" w:eastAsia="Times New Roman"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 xml:space="preserve">Les règles et les traditions caractérisant la représentation et la défense collective varient considérablement au niveau national. Il existe des disparités significatives entre les États membres sur le degré de représentativité des partenaires sociaux, sur leur participation générale à la prise de décisions, sur le poids des négociations collectives et leur degré de centralisation. De plus, </w:t>
      </w:r>
      <w:r w:rsidRPr="00C94BF6">
        <w:rPr>
          <w:rFonts w:ascii="Times New Roman" w:eastAsia="Calibri" w:hAnsi="Times New Roman" w:cs="Times New Roman"/>
          <w:sz w:val="24"/>
          <w:szCs w:val="24"/>
          <w:lang w:eastAsia="en-US" w:bidi="ar-SA"/>
        </w:rPr>
        <w:t>18</w:t>
      </w:r>
      <w:r w:rsidRPr="00B05299">
        <w:rPr>
          <w:rFonts w:ascii="Times New Roman" w:eastAsia="Calibri" w:hAnsi="Times New Roman" w:cs="Times New Roman"/>
          <w:sz w:val="24"/>
          <w:szCs w:val="24"/>
          <w:lang w:eastAsia="en-US" w:bidi="ar-SA"/>
        </w:rPr>
        <w:t xml:space="preserve"> États membres disposent de modèles de représentation des travailleurs au niveau des conseils d’administration des entreprises et ces modèles diffèrent beaucoup les uns des autres.</w:t>
      </w:r>
    </w:p>
    <w:p w:rsidR="00B05299" w:rsidRPr="00B05299" w:rsidRDefault="00B05299" w:rsidP="00B05299">
      <w:pPr>
        <w:spacing w:after="240" w:line="240" w:lineRule="auto"/>
        <w:jc w:val="both"/>
        <w:rPr>
          <w:rFonts w:ascii="Times New Roman" w:eastAsia="Times New Roman"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La Commission reste déterminée à soutenir le renforcement des capacités des partenaires sociaux, conformément à la déclaration conjointe quadripartite de la présidence du Conseil de l’Union européenne, de la Commission et des partenaires sociaux européens intitulée «Un nouveau départ pour le dialogue social»</w:t>
      </w:r>
      <w:r w:rsidRPr="00B05299">
        <w:rPr>
          <w:rFonts w:ascii="Times New Roman" w:eastAsia="Times New Roman" w:hAnsi="Times New Roman" w:cs="Times New Roman"/>
          <w:noProof/>
          <w:sz w:val="24"/>
          <w:szCs w:val="24"/>
          <w:vertAlign w:val="superscript"/>
          <w:lang w:eastAsia="en-US" w:bidi="ar-SA"/>
        </w:rPr>
        <w:footnoteReference w:id="42"/>
      </w:r>
      <w:r w:rsidRPr="00B05299">
        <w:rPr>
          <w:rFonts w:ascii="Times New Roman" w:eastAsia="Calibri" w:hAnsi="Times New Roman" w:cs="Times New Roman"/>
          <w:sz w:val="24"/>
          <w:szCs w:val="24"/>
          <w:lang w:eastAsia="en-US" w:bidi="ar-SA"/>
        </w:rPr>
        <w:t>.</w:t>
      </w:r>
    </w:p>
    <w:p w:rsidR="00B05299" w:rsidRPr="00B05299" w:rsidRDefault="00B05299" w:rsidP="00B05299">
      <w:pPr>
        <w:spacing w:after="240" w:line="240" w:lineRule="auto"/>
        <w:jc w:val="both"/>
        <w:rPr>
          <w:rFonts w:ascii="Times New Roman" w:eastAsia="Times New Roman"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 xml:space="preserve">La Commission s’est félicitée du programme de travail autonome </w:t>
      </w:r>
      <w:r w:rsidRPr="00C94BF6">
        <w:rPr>
          <w:rFonts w:ascii="Times New Roman" w:eastAsia="Calibri" w:hAnsi="Times New Roman" w:cs="Times New Roman"/>
          <w:sz w:val="24"/>
          <w:szCs w:val="24"/>
          <w:lang w:eastAsia="en-US" w:bidi="ar-SA"/>
        </w:rPr>
        <w:t>2019</w:t>
      </w:r>
      <w:r w:rsidRPr="00B05299">
        <w:rPr>
          <w:rFonts w:ascii="Times New Roman" w:eastAsia="Calibri" w:hAnsi="Times New Roman" w:cs="Times New Roman"/>
          <w:sz w:val="24"/>
          <w:szCs w:val="24"/>
          <w:lang w:eastAsia="en-US" w:bidi="ar-SA"/>
        </w:rPr>
        <w:t>-</w:t>
      </w:r>
      <w:r w:rsidRPr="00C94BF6">
        <w:rPr>
          <w:rFonts w:ascii="Times New Roman" w:eastAsia="Calibri" w:hAnsi="Times New Roman" w:cs="Times New Roman"/>
          <w:sz w:val="24"/>
          <w:szCs w:val="24"/>
          <w:lang w:eastAsia="en-US" w:bidi="ar-SA"/>
        </w:rPr>
        <w:t>2021</w:t>
      </w:r>
      <w:r w:rsidRPr="00B05299">
        <w:rPr>
          <w:rFonts w:ascii="Times New Roman" w:eastAsia="Calibri" w:hAnsi="Times New Roman" w:cs="Times New Roman"/>
          <w:sz w:val="24"/>
          <w:szCs w:val="24"/>
          <w:lang w:eastAsia="en-US" w:bidi="ar-SA"/>
        </w:rPr>
        <w:t xml:space="preserve"> approuvé le </w:t>
      </w:r>
      <w:r w:rsidRPr="00C94BF6">
        <w:rPr>
          <w:rFonts w:ascii="Times New Roman" w:eastAsia="Calibri" w:hAnsi="Times New Roman" w:cs="Times New Roman"/>
          <w:sz w:val="24"/>
          <w:szCs w:val="24"/>
          <w:lang w:eastAsia="en-US" w:bidi="ar-SA"/>
        </w:rPr>
        <w:t>6</w:t>
      </w:r>
      <w:r w:rsidRPr="00B05299">
        <w:rPr>
          <w:rFonts w:ascii="Times New Roman" w:eastAsia="Calibri" w:hAnsi="Times New Roman" w:cs="Times New Roman"/>
          <w:sz w:val="24"/>
          <w:szCs w:val="24"/>
          <w:lang w:eastAsia="en-US" w:bidi="ar-SA"/>
        </w:rPr>
        <w:t xml:space="preserve"> février </w:t>
      </w:r>
      <w:r w:rsidRPr="00C94BF6">
        <w:rPr>
          <w:rFonts w:ascii="Times New Roman" w:eastAsia="Calibri" w:hAnsi="Times New Roman" w:cs="Times New Roman"/>
          <w:sz w:val="24"/>
          <w:szCs w:val="24"/>
          <w:lang w:eastAsia="en-US" w:bidi="ar-SA"/>
        </w:rPr>
        <w:t>2019</w:t>
      </w:r>
      <w:r w:rsidRPr="00B05299">
        <w:rPr>
          <w:rFonts w:ascii="Times New Roman" w:eastAsia="Calibri" w:hAnsi="Times New Roman" w:cs="Times New Roman"/>
          <w:sz w:val="24"/>
          <w:szCs w:val="24"/>
          <w:lang w:eastAsia="en-US" w:bidi="ar-SA"/>
        </w:rPr>
        <w:t xml:space="preserve"> par les organisations interprofessionnelles européennes de partenaires sociaux</w:t>
      </w:r>
      <w:r w:rsidRPr="00B05299">
        <w:rPr>
          <w:rFonts w:ascii="Times New Roman" w:eastAsia="Times New Roman" w:hAnsi="Times New Roman" w:cs="Times New Roman"/>
          <w:noProof/>
          <w:sz w:val="24"/>
          <w:szCs w:val="24"/>
          <w:vertAlign w:val="superscript"/>
          <w:lang w:eastAsia="en-US" w:bidi="ar-SA"/>
        </w:rPr>
        <w:footnoteReference w:id="43"/>
      </w:r>
      <w:r w:rsidRPr="00B05299">
        <w:rPr>
          <w:rFonts w:ascii="Times New Roman" w:eastAsia="Calibri" w:hAnsi="Times New Roman" w:cs="Times New Roman"/>
          <w:sz w:val="24"/>
          <w:szCs w:val="24"/>
          <w:lang w:eastAsia="en-US" w:bidi="ar-SA"/>
        </w:rPr>
        <w:t>, qui témoigne de leur volonté de dégager des solutions pour une économie européenne équitable, compétitive et pérenne.</w:t>
      </w:r>
    </w:p>
    <w:p w:rsidR="00B05299" w:rsidRPr="00B05299" w:rsidRDefault="00B05299" w:rsidP="00B05299">
      <w:pPr>
        <w:spacing w:after="240" w:line="240" w:lineRule="auto"/>
        <w:jc w:val="both"/>
        <w:rPr>
          <w:rFonts w:ascii="Times New Roman" w:eastAsia="Times New Roman" w:hAnsi="Times New Roman" w:cs="Times New Roman"/>
          <w:b/>
          <w:noProof/>
          <w:sz w:val="24"/>
          <w:szCs w:val="24"/>
          <w:lang w:eastAsia="en-US" w:bidi="ar-SA"/>
        </w:rPr>
      </w:pPr>
      <w:r w:rsidRPr="00B05299">
        <w:rPr>
          <w:rFonts w:ascii="Times New Roman" w:eastAsia="Calibri" w:hAnsi="Times New Roman" w:cs="Times New Roman"/>
          <w:sz w:val="24"/>
          <w:szCs w:val="24"/>
          <w:lang w:eastAsia="en-US" w:bidi="ar-SA"/>
        </w:rPr>
        <w:t xml:space="preserve">L’étroite corrélation avec les règles et traditions nationales caractérisant la représentation et la défense collective ainsi que la diversité de celles-ci plaident fortement en faveur du maintien du vote à l’unanimité du Conseil en la matière. </w:t>
      </w:r>
      <w:r w:rsidRPr="00B05299">
        <w:rPr>
          <w:rFonts w:ascii="Times New Roman" w:eastAsia="Calibri" w:hAnsi="Times New Roman" w:cs="Times New Roman"/>
          <w:b/>
          <w:sz w:val="24"/>
          <w:szCs w:val="24"/>
          <w:lang w:eastAsia="en-US" w:bidi="ar-SA"/>
        </w:rPr>
        <w:t>Il ne semble pas exister à l’heure actuelle de raisons plaidant clairement en faveur de l’utilisation de la clause passerell.</w:t>
      </w:r>
    </w:p>
    <w:p w:rsidR="00B05299" w:rsidRPr="00B05299" w:rsidRDefault="00B05299" w:rsidP="00B05299">
      <w:pPr>
        <w:spacing w:after="240" w:line="240" w:lineRule="auto"/>
        <w:jc w:val="both"/>
        <w:rPr>
          <w:rFonts w:ascii="Times New Roman" w:eastAsia="Times New Roman" w:hAnsi="Times New Roman" w:cs="Times New Roman"/>
          <w:b/>
          <w:noProof/>
          <w:sz w:val="24"/>
          <w:szCs w:val="24"/>
          <w:lang w:eastAsia="en-US" w:bidi="ar-SA"/>
        </w:rPr>
      </w:pPr>
    </w:p>
    <w:p w:rsidR="00B05299" w:rsidRPr="00B05299" w:rsidRDefault="00B05299" w:rsidP="00B05299">
      <w:pPr>
        <w:keepNext/>
        <w:numPr>
          <w:ilvl w:val="0"/>
          <w:numId w:val="100"/>
        </w:numPr>
        <w:suppressAutoHyphens/>
        <w:spacing w:after="240" w:line="240" w:lineRule="auto"/>
        <w:jc w:val="both"/>
        <w:rPr>
          <w:rFonts w:ascii="Times New Roman" w:eastAsia="SimSun" w:hAnsi="Times New Roman" w:cs="Times New Roman"/>
          <w:b/>
          <w:noProof/>
          <w:sz w:val="24"/>
          <w:szCs w:val="24"/>
          <w:lang w:eastAsia="ar-SA" w:bidi="ar-SA"/>
        </w:rPr>
      </w:pPr>
      <w:r w:rsidRPr="00B05299">
        <w:rPr>
          <w:rFonts w:ascii="Times New Roman" w:eastAsia="SimSun" w:hAnsi="Times New Roman" w:cs="font413"/>
          <w:b/>
          <w:sz w:val="24"/>
          <w:szCs w:val="24"/>
          <w:lang w:eastAsia="ar-SA" w:bidi="ar-SA"/>
        </w:rPr>
        <w:t>Conclusions et prochaines étapes</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L’Union dispose déjà de procédures assurant une prise de décision efficace, rapide et souple dans le domaine social pour atteindre ses objectifs de promotion du bien-être de sa population, d’économie sociale de marché hautement compétitive, de plein emploi et de progrès social, de lutte contre l’exclusion sociale et la discrimination, et pour réagir à la mutation du monde du travail face à des évolutions mondiales telles que la numérisation, le vieillissement de la population et les migrations.</w:t>
      </w:r>
    </w:p>
    <w:p w:rsidR="00B05299" w:rsidRPr="00B05299" w:rsidRDefault="00B05299" w:rsidP="00B05299">
      <w:pPr>
        <w:spacing w:after="12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Au vu des considérations exposées dans la présente communication:</w:t>
      </w:r>
    </w:p>
    <w:p w:rsidR="00B05299" w:rsidRPr="00B05299" w:rsidRDefault="00B05299" w:rsidP="00B05299">
      <w:pPr>
        <w:numPr>
          <w:ilvl w:val="0"/>
          <w:numId w:val="105"/>
        </w:numPr>
        <w:suppressAutoHyphens/>
        <w:spacing w:after="120" w:line="240" w:lineRule="auto"/>
        <w:jc w:val="both"/>
        <w:rPr>
          <w:rFonts w:ascii="Times New Roman" w:eastAsia="Times New Roman" w:hAnsi="Times New Roman" w:cs="Times New Roman"/>
          <w:noProof/>
          <w:sz w:val="24"/>
          <w:szCs w:val="24"/>
          <w:lang w:eastAsia="ar-SA" w:bidi="ar-SA"/>
        </w:rPr>
      </w:pPr>
      <w:r w:rsidRPr="00B05299">
        <w:rPr>
          <w:rFonts w:ascii="Times New Roman" w:eastAsia="SimSun" w:hAnsi="Times New Roman" w:cs="font413"/>
          <w:sz w:val="24"/>
          <w:szCs w:val="24"/>
          <w:lang w:eastAsia="ar-SA" w:bidi="ar-SA"/>
        </w:rPr>
        <w:t>s’agissant des domaines encore soumis au vote à l’unanimité, la prise de décision dans l’Union pourrait devenir plus rapide, plus souple et plus efficace grâce à un recours accru au vote à la majorité qualifiée ou à la procédure législative ordinaire, lequel favoriserait par ailleurs une culture du compromis et un processus décisionnel répondant aux besoins des citoyens et de l’économie de l’Union dans son ensemble et garantissant ainsi un marché unique équitable;</w:t>
      </w:r>
    </w:p>
    <w:p w:rsidR="00B05299" w:rsidRPr="00B05299" w:rsidRDefault="00B05299" w:rsidP="00B05299">
      <w:pPr>
        <w:numPr>
          <w:ilvl w:val="0"/>
          <w:numId w:val="105"/>
        </w:numPr>
        <w:suppressAutoHyphens/>
        <w:spacing w:after="120" w:line="240" w:lineRule="auto"/>
        <w:jc w:val="both"/>
        <w:rPr>
          <w:rFonts w:ascii="Calibri" w:eastAsia="SimSun" w:hAnsi="Calibri" w:cs="font413"/>
          <w:noProof/>
          <w:lang w:eastAsia="ar-SA" w:bidi="ar-SA"/>
        </w:rPr>
      </w:pPr>
      <w:r w:rsidRPr="00B05299">
        <w:rPr>
          <w:rFonts w:ascii="Times New Roman" w:eastAsia="SimSun" w:hAnsi="Times New Roman" w:cs="font413"/>
          <w:sz w:val="24"/>
          <w:szCs w:val="24"/>
          <w:lang w:eastAsia="ar-SA" w:bidi="ar-SA"/>
        </w:rPr>
        <w:t xml:space="preserve">quoi qu’il en soit, les traités garantissent la faculté d’utiliser ponctuellement les clauses passerelles, au cas par cas. Les domaines de la politique sociale qui relèvent encore du vote à l’unanimité et des procédures législatives spéciales ne sont pas tous pareillement indispensables pour améliorer la capacité de l’Union à agir; </w:t>
      </w:r>
    </w:p>
    <w:p w:rsidR="00B05299" w:rsidRPr="00B05299" w:rsidRDefault="00B05299" w:rsidP="00B05299">
      <w:pPr>
        <w:numPr>
          <w:ilvl w:val="0"/>
          <w:numId w:val="105"/>
        </w:numPr>
        <w:suppressAutoHyphens/>
        <w:spacing w:after="120" w:line="240" w:lineRule="auto"/>
        <w:jc w:val="both"/>
        <w:rPr>
          <w:rFonts w:ascii="Calibri" w:eastAsia="SimSun" w:hAnsi="Calibri" w:cs="font413"/>
          <w:noProof/>
          <w:lang w:eastAsia="ar-SA" w:bidi="ar-SA"/>
        </w:rPr>
      </w:pPr>
      <w:r w:rsidRPr="00B05299">
        <w:rPr>
          <w:rFonts w:ascii="Times New Roman" w:eastAsia="SimSun" w:hAnsi="Times New Roman" w:cs="font413"/>
          <w:sz w:val="24"/>
          <w:szCs w:val="24"/>
          <w:lang w:eastAsia="ar-SA" w:bidi="ar-SA"/>
        </w:rPr>
        <w:t>du point de vue de la Commission, il serait utile d’envisager le recours à la clause passerelle générale dans un proche avenir pour faciliter la prise de décision dans le domaine de la non-discrimination et l’adoption de recommandations en matière de sécurité sociale et de protection sociale des travailleurs. Dans les autres domaines (conditions d’emploi des ressortissants des pays tiers en séjour régulier, licenciements; représentation et défense collective des intérêts des travailleurs et des employeurs), il ne semble pas exister à l’heure actuelle d'élément clair justifiant l’utilisation de la clause passerelle correspondante, mais la Commission reste attentive à toute évolution en ce sens;</w:t>
      </w:r>
    </w:p>
    <w:p w:rsidR="00B05299" w:rsidRPr="00B05299" w:rsidRDefault="00B05299" w:rsidP="00B05299">
      <w:pPr>
        <w:numPr>
          <w:ilvl w:val="0"/>
          <w:numId w:val="105"/>
        </w:numPr>
        <w:suppressAutoHyphens/>
        <w:spacing w:after="120" w:line="240" w:lineRule="auto"/>
        <w:jc w:val="both"/>
        <w:rPr>
          <w:rFonts w:ascii="Times New Roman" w:eastAsia="SimSun" w:hAnsi="Times New Roman" w:cs="Times New Roman"/>
          <w:noProof/>
          <w:sz w:val="24"/>
          <w:szCs w:val="24"/>
          <w:lang w:eastAsia="ar-SA" w:bidi="ar-SA"/>
        </w:rPr>
      </w:pPr>
      <w:r w:rsidRPr="00B05299">
        <w:rPr>
          <w:rFonts w:ascii="Times New Roman" w:eastAsia="SimSun" w:hAnsi="Times New Roman" w:cs="font413"/>
          <w:sz w:val="24"/>
          <w:szCs w:val="24"/>
          <w:lang w:eastAsia="ar-SA" w:bidi="ar-SA"/>
        </w:rPr>
        <w:t xml:space="preserve">pour activer la clause passerelle dans les domaines de la non-discrimination et de la sécurité sociale et protection sociale des travailleurs, il faudrait que le Conseil européen adopte une décision à cet effet conformément à la procédure prévue à l’article </w:t>
      </w:r>
      <w:r w:rsidRPr="00C94BF6">
        <w:rPr>
          <w:rFonts w:ascii="Times New Roman" w:eastAsia="SimSun" w:hAnsi="Times New Roman" w:cs="font413"/>
          <w:sz w:val="24"/>
          <w:szCs w:val="24"/>
          <w:lang w:eastAsia="ar-SA" w:bidi="ar-SA"/>
        </w:rPr>
        <w:t>48</w:t>
      </w:r>
      <w:r w:rsidRPr="00B05299">
        <w:rPr>
          <w:rFonts w:ascii="Times New Roman" w:eastAsia="SimSun" w:hAnsi="Times New Roman" w:cs="font413"/>
          <w:sz w:val="24"/>
          <w:szCs w:val="24"/>
          <w:lang w:eastAsia="ar-SA" w:bidi="ar-SA"/>
        </w:rPr>
        <w:t xml:space="preserve">, paragraphe </w:t>
      </w:r>
      <w:r w:rsidRPr="00C94BF6">
        <w:rPr>
          <w:rFonts w:ascii="Times New Roman" w:eastAsia="SimSun" w:hAnsi="Times New Roman" w:cs="font413"/>
          <w:sz w:val="24"/>
          <w:szCs w:val="24"/>
          <w:lang w:eastAsia="ar-SA" w:bidi="ar-SA"/>
        </w:rPr>
        <w:t>7</w:t>
      </w:r>
      <w:r w:rsidRPr="00B05299">
        <w:rPr>
          <w:rFonts w:ascii="Times New Roman" w:eastAsia="SimSun" w:hAnsi="Times New Roman" w:cs="font413"/>
          <w:sz w:val="24"/>
          <w:szCs w:val="24"/>
          <w:lang w:eastAsia="ar-SA" w:bidi="ar-SA"/>
        </w:rPr>
        <w:t xml:space="preserve">, du TUE, comme indiqué dans la partie </w:t>
      </w:r>
      <w:r w:rsidRPr="00C94BF6">
        <w:rPr>
          <w:rFonts w:ascii="Times New Roman" w:eastAsia="SimSun" w:hAnsi="Times New Roman" w:cs="font413"/>
          <w:sz w:val="24"/>
          <w:szCs w:val="24"/>
          <w:lang w:eastAsia="ar-SA" w:bidi="ar-SA"/>
        </w:rPr>
        <w:t>4</w:t>
      </w:r>
      <w:r w:rsidRPr="00B05299">
        <w:rPr>
          <w:rFonts w:ascii="Times New Roman" w:eastAsia="SimSun" w:hAnsi="Times New Roman" w:cs="font413"/>
          <w:sz w:val="24"/>
          <w:szCs w:val="24"/>
          <w:lang w:eastAsia="ar-SA" w:bidi="ar-SA"/>
        </w:rPr>
        <w:t xml:space="preserve"> de la présente communication. </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La Commission invite le Parlement européen, le Conseil européen, le Comité économique et social européen, le Comité des régions, les partenaires sociaux et toutes les parties prenantes à engager un débat ouvert sur un recours accru au vote à la majorité qualifiée ou à la procédure législative ordinaire dans le domaine de la politique sociale sur la base de la présente communication.</w:t>
      </w:r>
    </w:p>
    <w:p w:rsidR="00B05299" w:rsidRPr="00B05299" w:rsidRDefault="00B05299" w:rsidP="00B05299">
      <w:pPr>
        <w:spacing w:after="240" w:line="240" w:lineRule="auto"/>
        <w:contextualSpacing/>
        <w:jc w:val="center"/>
        <w:rPr>
          <w:rFonts w:ascii="Times New Roman" w:eastAsia="Calibri" w:hAnsi="Times New Roman" w:cs="Times New Roman"/>
          <w:noProof/>
          <w:sz w:val="24"/>
          <w:szCs w:val="24"/>
          <w:lang w:eastAsia="en-US" w:bidi="ar-SA"/>
        </w:rPr>
      </w:pPr>
      <w:r w:rsidRPr="00B05299">
        <w:rPr>
          <w:rFonts w:ascii="Times New Roman" w:eastAsia="Calibri" w:hAnsi="Times New Roman" w:cs="Times New Roman"/>
          <w:sz w:val="24"/>
          <w:szCs w:val="24"/>
          <w:lang w:eastAsia="en-US" w:bidi="ar-SA"/>
        </w:rPr>
        <w:t>***</w:t>
      </w:r>
    </w:p>
    <w:p w:rsidR="00B05299" w:rsidRPr="00B05299" w:rsidRDefault="00B05299" w:rsidP="00B05299">
      <w:pPr>
        <w:spacing w:after="240" w:line="240" w:lineRule="auto"/>
        <w:jc w:val="both"/>
        <w:rPr>
          <w:rFonts w:ascii="Times New Roman" w:eastAsia="Calibri" w:hAnsi="Times New Roman" w:cs="Times New Roman"/>
          <w:noProof/>
          <w:sz w:val="24"/>
          <w:szCs w:val="24"/>
          <w:lang w:eastAsia="en-US" w:bidi="ar-SA"/>
        </w:rPr>
      </w:pPr>
    </w:p>
    <w:sectPr w:rsidR="00B05299" w:rsidRPr="00B05299">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5D" w:rsidRDefault="00FC2A5D">
      <w:pPr>
        <w:spacing w:after="0" w:line="240" w:lineRule="auto"/>
      </w:pPr>
      <w:r>
        <w:separator/>
      </w:r>
    </w:p>
  </w:endnote>
  <w:endnote w:type="continuationSeparator" w:id="0">
    <w:p w:rsidR="00FC2A5D" w:rsidRDefault="00FC2A5D">
      <w:pPr>
        <w:spacing w:after="0" w:line="240" w:lineRule="auto"/>
      </w:pPr>
      <w:r>
        <w:continuationSeparator/>
      </w:r>
    </w:p>
  </w:endnote>
  <w:endnote w:type="continuationNotice" w:id="1">
    <w:p w:rsidR="00FC2A5D" w:rsidRDefault="00FC2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C94BF6" w:rsidP="0021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210422" w:rsidP="00210422">
    <w:pPr>
      <w:pStyle w:val="FooterCoverPage"/>
      <w:rPr>
        <w:rFonts w:ascii="Arial" w:hAnsi="Arial" w:cs="Arial"/>
        <w:b/>
        <w:sz w:val="48"/>
      </w:rPr>
    </w:pPr>
    <w:r w:rsidRPr="00210422">
      <w:rPr>
        <w:rFonts w:ascii="Arial" w:hAnsi="Arial" w:cs="Arial"/>
        <w:b/>
        <w:sz w:val="48"/>
      </w:rPr>
      <w:t>FR</w:t>
    </w:r>
    <w:r w:rsidRPr="00210422">
      <w:rPr>
        <w:rFonts w:ascii="Arial" w:hAnsi="Arial" w:cs="Arial"/>
        <w:b/>
        <w:sz w:val="48"/>
      </w:rPr>
      <w:tab/>
    </w:r>
    <w:r w:rsidRPr="00210422">
      <w:rPr>
        <w:rFonts w:ascii="Arial" w:hAnsi="Arial" w:cs="Arial"/>
        <w:b/>
        <w:sz w:val="48"/>
      </w:rPr>
      <w:tab/>
    </w:r>
    <w:r w:rsidRPr="00210422">
      <w:tab/>
    </w:r>
    <w:r w:rsidRPr="0021042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C94BF6" w:rsidP="0021042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3" w:rsidRDefault="00B803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92282"/>
      <w:docPartObj>
        <w:docPartGallery w:val="Page Numbers (Bottom of Page)"/>
        <w:docPartUnique/>
      </w:docPartObj>
    </w:sdtPr>
    <w:sdtEndPr>
      <w:rPr>
        <w:rFonts w:ascii="Times New Roman" w:hAnsi="Times New Roman" w:cs="Times New Roman"/>
        <w:noProof/>
      </w:rPr>
    </w:sdtEndPr>
    <w:sdtContent>
      <w:p w:rsidR="00B80383" w:rsidRDefault="00B8038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10422">
          <w:rPr>
            <w:rFonts w:ascii="Times New Roman" w:hAnsi="Times New Roman" w:cs="Times New Roman"/>
            <w:noProof/>
          </w:rPr>
          <w:t>1</w:t>
        </w:r>
        <w:r>
          <w:rPr>
            <w:rFonts w:ascii="Times New Roman" w:hAnsi="Times New Roman" w:cs="Times New Roman"/>
            <w:noProof/>
          </w:rPr>
          <w:fldChar w:fldCharType="end"/>
        </w:r>
      </w:p>
    </w:sdtContent>
  </w:sdt>
  <w:p w:rsidR="00B80383" w:rsidRDefault="00B80383">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3" w:rsidRDefault="00B80383">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5D" w:rsidRDefault="00FC2A5D">
      <w:pPr>
        <w:spacing w:after="0" w:line="240" w:lineRule="auto"/>
      </w:pPr>
      <w:r>
        <w:separator/>
      </w:r>
    </w:p>
  </w:footnote>
  <w:footnote w:type="continuationSeparator" w:id="0">
    <w:p w:rsidR="00FC2A5D" w:rsidRDefault="00FC2A5D">
      <w:pPr>
        <w:spacing w:after="0" w:line="240" w:lineRule="auto"/>
      </w:pPr>
      <w:r>
        <w:continuationSeparator/>
      </w:r>
    </w:p>
  </w:footnote>
  <w:footnote w:type="continuationNotice" w:id="1">
    <w:p w:rsidR="00FC2A5D" w:rsidRDefault="00FC2A5D">
      <w:pPr>
        <w:spacing w:after="0" w:line="240" w:lineRule="auto"/>
      </w:pPr>
    </w:p>
  </w:footnote>
  <w:footnote w:id="2">
    <w:p w:rsidR="00B80383" w:rsidRDefault="00B80383">
      <w:pPr>
        <w:pStyle w:val="footnotetext1"/>
        <w:spacing w:after="0" w:line="240" w:lineRule="auto"/>
        <w:ind w:left="284" w:hanging="284"/>
        <w:jc w:val="both"/>
        <w:rPr>
          <w:rFonts w:ascii="Times New Roman" w:eastAsia="Times New Roman" w:hAnsi="Times New Roman" w:cs="Times New Roman"/>
          <w:bCs/>
          <w:kern w:val="36"/>
          <w:lang w:eastAsia="fr-BE"/>
        </w:rPr>
      </w:pPr>
      <w:r>
        <w:rPr>
          <w:rStyle w:val="FootnoteReference"/>
        </w:rPr>
        <w:footnoteRef/>
      </w:r>
      <w:r>
        <w:t xml:space="preserve"> </w:t>
      </w:r>
      <w:r>
        <w:tab/>
      </w:r>
      <w:r>
        <w:rPr>
          <w:rFonts w:ascii="Times New Roman" w:hAnsi="Times New Roman"/>
          <w:kern w:val="36"/>
        </w:rPr>
        <w:t xml:space="preserve">Pour de plus amples informations, voir: </w:t>
      </w:r>
    </w:p>
    <w:p w:rsidR="00B80383" w:rsidRDefault="00210422">
      <w:pPr>
        <w:pStyle w:val="footnotetext1"/>
        <w:spacing w:after="0" w:line="240" w:lineRule="auto"/>
        <w:ind w:left="284" w:firstLine="0"/>
        <w:jc w:val="both"/>
        <w:rPr>
          <w:rFonts w:ascii="Times New Roman" w:eastAsia="Times New Roman" w:hAnsi="Times New Roman" w:cs="Times New Roman"/>
          <w:bCs/>
          <w:kern w:val="36"/>
          <w:lang w:eastAsia="fr-BE"/>
        </w:rPr>
      </w:pPr>
      <w:hyperlink r:id="rId1">
        <w:r w:rsidR="00B80383">
          <w:rPr>
            <w:rStyle w:val="Hyperlink"/>
            <w:rFonts w:ascii="Times New Roman" w:hAnsi="Times New Roman"/>
            <w:kern w:val="36"/>
          </w:rPr>
          <w:t>https://ec.europa.eu/commission/sites/beta-political/files/social_priorities_juncker_commission_fr.pdf</w:t>
        </w:r>
      </w:hyperlink>
      <w:r w:rsidR="00B80383">
        <w:rPr>
          <w:rFonts w:ascii="Times New Roman" w:hAnsi="Times New Roman"/>
          <w:kern w:val="36"/>
        </w:rPr>
        <w:t xml:space="preserve"> et l’annexe </w:t>
      </w:r>
      <w:r w:rsidR="00B80383" w:rsidRPr="00C94BF6">
        <w:rPr>
          <w:rFonts w:ascii="Times New Roman" w:hAnsi="Times New Roman"/>
          <w:kern w:val="36"/>
        </w:rPr>
        <w:t>2</w:t>
      </w:r>
      <w:r w:rsidR="00B80383">
        <w:rPr>
          <w:rFonts w:ascii="Times New Roman" w:hAnsi="Times New Roman"/>
          <w:kern w:val="36"/>
        </w:rPr>
        <w:t>.</w:t>
      </w:r>
    </w:p>
  </w:footnote>
  <w:footnote w:id="3">
    <w:p w:rsidR="00B80383" w:rsidRPr="00D9324A" w:rsidRDefault="00B80383">
      <w:pPr>
        <w:pStyle w:val="Heading1"/>
        <w:spacing w:before="0" w:beforeAutospacing="0" w:after="0" w:afterAutospacing="0"/>
        <w:ind w:left="284" w:hanging="284"/>
        <w:jc w:val="both"/>
        <w:rPr>
          <w:sz w:val="20"/>
          <w:szCs w:val="20"/>
        </w:rPr>
      </w:pPr>
      <w:r>
        <w:rPr>
          <w:rStyle w:val="FootnoteReference"/>
          <w:b w:val="0"/>
          <w:sz w:val="20"/>
        </w:rPr>
        <w:footnoteRef/>
      </w:r>
      <w:r>
        <w:rPr>
          <w:b w:val="0"/>
          <w:sz w:val="20"/>
        </w:rPr>
        <w:t xml:space="preserve"> </w:t>
      </w:r>
      <w:r>
        <w:tab/>
      </w:r>
      <w:r>
        <w:rPr>
          <w:b w:val="0"/>
          <w:sz w:val="20"/>
        </w:rPr>
        <w:t xml:space="preserve">Déclaration des dirigeants de </w:t>
      </w:r>
      <w:r w:rsidRPr="00C94BF6">
        <w:rPr>
          <w:b w:val="0"/>
          <w:sz w:val="20"/>
        </w:rPr>
        <w:t>27</w:t>
      </w:r>
      <w:r>
        <w:rPr>
          <w:b w:val="0"/>
          <w:sz w:val="20"/>
        </w:rPr>
        <w:t xml:space="preserve"> États membres et du Conseil européen, du Parlement européen et de la Commission européenne (Rome, </w:t>
      </w:r>
      <w:r w:rsidRPr="00C94BF6">
        <w:rPr>
          <w:b w:val="0"/>
          <w:sz w:val="20"/>
        </w:rPr>
        <w:t>25</w:t>
      </w:r>
      <w:r>
        <w:rPr>
          <w:b w:val="0"/>
          <w:sz w:val="20"/>
        </w:rPr>
        <w:t> mars </w:t>
      </w:r>
      <w:r w:rsidRPr="00C94BF6">
        <w:rPr>
          <w:b w:val="0"/>
          <w:sz w:val="20"/>
        </w:rPr>
        <w:t>2017</w:t>
      </w:r>
      <w:r>
        <w:rPr>
          <w:b w:val="0"/>
          <w:sz w:val="20"/>
        </w:rPr>
        <w:t>):</w:t>
      </w:r>
      <w:r>
        <w:tab/>
      </w:r>
      <w:r>
        <w:rPr>
          <w:b w:val="0"/>
          <w:sz w:val="20"/>
          <w:szCs w:val="20"/>
        </w:rPr>
        <w:br/>
      </w:r>
      <w:hyperlink r:id="rId2">
        <w:r>
          <w:rPr>
            <w:rStyle w:val="Hyperlink"/>
            <w:b w:val="0"/>
            <w:sz w:val="20"/>
          </w:rPr>
          <w:t>http://europa.eu/rapid/press-release_STATEMENT-</w:t>
        </w:r>
        <w:r w:rsidRPr="00C94BF6">
          <w:rPr>
            <w:rStyle w:val="Hyperlink"/>
            <w:b w:val="0"/>
            <w:sz w:val="20"/>
          </w:rPr>
          <w:t>17</w:t>
        </w:r>
        <w:r>
          <w:rPr>
            <w:rStyle w:val="Hyperlink"/>
            <w:b w:val="0"/>
            <w:sz w:val="20"/>
          </w:rPr>
          <w:t>-</w:t>
        </w:r>
        <w:r w:rsidRPr="00C94BF6">
          <w:rPr>
            <w:rStyle w:val="Hyperlink"/>
            <w:b w:val="0"/>
            <w:sz w:val="20"/>
          </w:rPr>
          <w:t>767</w:t>
        </w:r>
        <w:r>
          <w:rPr>
            <w:rStyle w:val="Hyperlink"/>
            <w:b w:val="0"/>
            <w:sz w:val="20"/>
          </w:rPr>
          <w:t>_fr.htm</w:t>
        </w:r>
      </w:hyperlink>
    </w:p>
  </w:footnote>
  <w:footnote w:id="4">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socle européen des droits sociaux a été proclamé par le Parlement européen, le Conseil et la Commission lors du sommet social de Göteborg pour des emplois et une croissance équitables (novembre </w:t>
      </w:r>
      <w:r w:rsidRPr="00C94BF6">
        <w:rPr>
          <w:rFonts w:ascii="Times New Roman" w:hAnsi="Times New Roman"/>
        </w:rPr>
        <w:t>2017</w:t>
      </w:r>
      <w:r>
        <w:rPr>
          <w:rFonts w:ascii="Times New Roman" w:hAnsi="Times New Roman"/>
        </w:rPr>
        <w:t xml:space="preserve">): </w:t>
      </w:r>
      <w:hyperlink r:id="rId3">
        <w:r>
          <w:rPr>
            <w:rStyle w:val="Hyperlink"/>
            <w:rFonts w:ascii="Times New Roman" w:hAnsi="Times New Roman"/>
          </w:rPr>
          <w:t>https://ec.europa.eu/commission/priorities/</w:t>
        </w:r>
        <w:r>
          <w:rPr>
            <w:rStyle w:val="Hyperlink"/>
            <w:rFonts w:ascii="Times New Roman" w:hAnsi="Times New Roman" w:cs="Times New Roman"/>
          </w:rPr>
          <w:br/>
        </w:r>
        <w:r>
          <w:rPr>
            <w:rStyle w:val="Hyperlink"/>
            <w:rFonts w:ascii="Times New Roman" w:hAnsi="Times New Roman"/>
          </w:rPr>
          <w:t>deeper-and-fairer-economic-and-monetary-union/european-pillar-social-rights_fr</w:t>
        </w:r>
      </w:hyperlink>
      <w:r>
        <w:rPr>
          <w:rFonts w:ascii="Times New Roman" w:hAnsi="Times New Roman"/>
        </w:rPr>
        <w:t xml:space="preserve"> </w:t>
      </w:r>
    </w:p>
  </w:footnote>
  <w:footnote w:id="5">
    <w:p w:rsidR="00B80383" w:rsidRPr="00D9324A" w:rsidRDefault="00B80383">
      <w:pPr>
        <w:pStyle w:val="Heading1"/>
        <w:spacing w:before="0" w:beforeAutospacing="0" w:after="0" w:afterAutospacing="0"/>
        <w:ind w:left="284" w:hanging="284"/>
        <w:jc w:val="both"/>
      </w:pPr>
      <w:r>
        <w:rPr>
          <w:rStyle w:val="FootnoteReference"/>
          <w:b w:val="0"/>
          <w:kern w:val="0"/>
          <w:sz w:val="20"/>
        </w:rPr>
        <w:footnoteRef/>
      </w:r>
      <w:r>
        <w:rPr>
          <w:b w:val="0"/>
          <w:sz w:val="20"/>
        </w:rPr>
        <w:t xml:space="preserve"> </w:t>
      </w:r>
      <w:r>
        <w:tab/>
      </w:r>
      <w:r>
        <w:rPr>
          <w:b w:val="0"/>
          <w:sz w:val="20"/>
        </w:rPr>
        <w:t xml:space="preserve">Voir l’annexe </w:t>
      </w:r>
      <w:r w:rsidRPr="00C94BF6">
        <w:rPr>
          <w:b w:val="0"/>
          <w:sz w:val="20"/>
        </w:rPr>
        <w:t>2</w:t>
      </w:r>
      <w:r>
        <w:rPr>
          <w:b w:val="0"/>
          <w:sz w:val="20"/>
        </w:rPr>
        <w:t xml:space="preserve"> pour un résumé des initiatives adoptées dans le domaine social pendant le mandat de la Commission Juncker.</w:t>
      </w:r>
    </w:p>
  </w:footnote>
  <w:footnote w:id="6">
    <w:p w:rsidR="00B80383" w:rsidRDefault="00B80383">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 xml:space="preserve">Voir le «discours sur l’état de l’Union» de Jean-Claude Juncker, du </w:t>
      </w:r>
      <w:r w:rsidRPr="00C94BF6">
        <w:rPr>
          <w:rFonts w:ascii="Times New Roman" w:hAnsi="Times New Roman"/>
          <w:color w:val="auto"/>
          <w:sz w:val="20"/>
        </w:rPr>
        <w:t>12</w:t>
      </w:r>
      <w:r>
        <w:rPr>
          <w:rFonts w:ascii="Times New Roman" w:hAnsi="Times New Roman"/>
          <w:color w:val="auto"/>
          <w:sz w:val="20"/>
        </w:rPr>
        <w:t xml:space="preserve"> septembre </w:t>
      </w:r>
      <w:r w:rsidRPr="00C94BF6">
        <w:rPr>
          <w:rFonts w:ascii="Times New Roman" w:hAnsi="Times New Roman"/>
          <w:color w:val="auto"/>
          <w:sz w:val="20"/>
        </w:rPr>
        <w:t>2018</w:t>
      </w:r>
      <w:r>
        <w:rPr>
          <w:rFonts w:ascii="Times New Roman" w:hAnsi="Times New Roman"/>
          <w:color w:val="auto"/>
          <w:sz w:val="20"/>
        </w:rPr>
        <w:t xml:space="preserve">, et le programme de travail </w:t>
      </w:r>
      <w:r w:rsidRPr="00C94BF6">
        <w:rPr>
          <w:rFonts w:ascii="Times New Roman" w:hAnsi="Times New Roman"/>
          <w:color w:val="auto"/>
          <w:sz w:val="20"/>
        </w:rPr>
        <w:t>2019</w:t>
      </w:r>
      <w:r>
        <w:rPr>
          <w:rFonts w:ascii="Times New Roman" w:hAnsi="Times New Roman"/>
          <w:color w:val="auto"/>
          <w:sz w:val="20"/>
        </w:rPr>
        <w:t xml:space="preserve"> de la Commission [COM(</w:t>
      </w:r>
      <w:r w:rsidRPr="00C94BF6">
        <w:rPr>
          <w:rFonts w:ascii="Times New Roman" w:hAnsi="Times New Roman"/>
          <w:color w:val="auto"/>
          <w:sz w:val="20"/>
        </w:rPr>
        <w:t>2018</w:t>
      </w:r>
      <w:r>
        <w:rPr>
          <w:rFonts w:ascii="Times New Roman" w:hAnsi="Times New Roman"/>
          <w:color w:val="auto"/>
          <w:sz w:val="20"/>
        </w:rPr>
        <w:t>) </w:t>
      </w:r>
      <w:r w:rsidRPr="00C94BF6">
        <w:rPr>
          <w:rFonts w:ascii="Times New Roman" w:hAnsi="Times New Roman"/>
          <w:color w:val="auto"/>
          <w:sz w:val="20"/>
        </w:rPr>
        <w:t>800</w:t>
      </w:r>
      <w:r>
        <w:rPr>
          <w:rFonts w:ascii="Times New Roman" w:hAnsi="Times New Roman"/>
          <w:color w:val="auto"/>
          <w:sz w:val="20"/>
        </w:rPr>
        <w:t xml:space="preserve"> final].</w:t>
      </w:r>
    </w:p>
  </w:footnote>
  <w:footnote w:id="7">
    <w:p w:rsidR="00B80383" w:rsidRPr="00D9324A" w:rsidRDefault="00B80383">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sidRPr="00D9324A">
        <w:rPr>
          <w:rFonts w:ascii="Times New Roman" w:hAnsi="Times New Roman"/>
          <w:lang w:val="pt-PT"/>
        </w:rPr>
        <w:t xml:space="preserve"> </w:t>
      </w:r>
      <w:r w:rsidRPr="00D9324A">
        <w:rPr>
          <w:lang w:val="pt-PT"/>
        </w:rPr>
        <w:tab/>
      </w:r>
      <w:r w:rsidRPr="00D9324A">
        <w:rPr>
          <w:rFonts w:ascii="Times New Roman" w:hAnsi="Times New Roman"/>
          <w:lang w:val="pt-PT"/>
        </w:rPr>
        <w:t>COM(</w:t>
      </w:r>
      <w:r w:rsidRPr="00C94BF6">
        <w:rPr>
          <w:rFonts w:ascii="Times New Roman" w:hAnsi="Times New Roman"/>
          <w:lang w:val="pt-PT"/>
        </w:rPr>
        <w:t>2018</w:t>
      </w:r>
      <w:r w:rsidRPr="00D9324A">
        <w:rPr>
          <w:rFonts w:ascii="Times New Roman" w:hAnsi="Times New Roman"/>
          <w:lang w:val="pt-PT"/>
        </w:rPr>
        <w:t>) </w:t>
      </w:r>
      <w:r w:rsidRPr="00C94BF6">
        <w:rPr>
          <w:rFonts w:ascii="Times New Roman" w:hAnsi="Times New Roman"/>
          <w:lang w:val="pt-PT"/>
        </w:rPr>
        <w:t>647</w:t>
      </w:r>
      <w:r w:rsidRPr="00D9324A">
        <w:rPr>
          <w:rFonts w:ascii="Times New Roman" w:hAnsi="Times New Roman"/>
          <w:lang w:val="pt-PT"/>
        </w:rPr>
        <w:t xml:space="preserve"> final.</w:t>
      </w:r>
    </w:p>
  </w:footnote>
  <w:footnote w:id="8">
    <w:p w:rsidR="00B80383" w:rsidRPr="00D9324A" w:rsidRDefault="00B80383">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sidRPr="00D9324A">
        <w:rPr>
          <w:rFonts w:ascii="Times New Roman" w:hAnsi="Times New Roman"/>
          <w:lang w:val="pt-PT"/>
        </w:rPr>
        <w:t xml:space="preserve"> </w:t>
      </w:r>
      <w:r w:rsidRPr="00D9324A">
        <w:rPr>
          <w:lang w:val="pt-PT"/>
        </w:rPr>
        <w:tab/>
      </w:r>
      <w:r w:rsidRPr="00D9324A">
        <w:rPr>
          <w:rFonts w:ascii="Times New Roman" w:hAnsi="Times New Roman"/>
          <w:lang w:val="pt-PT"/>
        </w:rPr>
        <w:t>COM(</w:t>
      </w:r>
      <w:r w:rsidRPr="00C94BF6">
        <w:rPr>
          <w:rFonts w:ascii="Times New Roman" w:hAnsi="Times New Roman"/>
          <w:lang w:val="pt-PT"/>
        </w:rPr>
        <w:t>2019</w:t>
      </w:r>
      <w:r w:rsidRPr="00D9324A">
        <w:rPr>
          <w:rFonts w:ascii="Times New Roman" w:hAnsi="Times New Roman"/>
          <w:lang w:val="pt-PT"/>
        </w:rPr>
        <w:t>) </w:t>
      </w:r>
      <w:r w:rsidRPr="00C94BF6">
        <w:rPr>
          <w:rFonts w:ascii="Times New Roman" w:hAnsi="Times New Roman"/>
          <w:lang w:val="pt-PT"/>
        </w:rPr>
        <w:t>8</w:t>
      </w:r>
      <w:r w:rsidRPr="00D9324A">
        <w:rPr>
          <w:rFonts w:ascii="Times New Roman" w:hAnsi="Times New Roman"/>
          <w:lang w:val="pt-PT"/>
        </w:rPr>
        <w:t xml:space="preserve"> final.</w:t>
      </w:r>
    </w:p>
  </w:footnote>
  <w:footnote w:id="9">
    <w:p w:rsidR="00B80383" w:rsidRPr="00D9324A" w:rsidRDefault="00B80383">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sidRPr="00D9324A">
        <w:rPr>
          <w:rFonts w:ascii="Times New Roman" w:hAnsi="Times New Roman"/>
          <w:lang w:val="pt-PT"/>
        </w:rPr>
        <w:t xml:space="preserve"> </w:t>
      </w:r>
      <w:r w:rsidRPr="00D9324A">
        <w:rPr>
          <w:lang w:val="pt-PT"/>
        </w:rPr>
        <w:tab/>
      </w:r>
      <w:r w:rsidRPr="00D9324A">
        <w:rPr>
          <w:rFonts w:ascii="Times New Roman" w:hAnsi="Times New Roman"/>
          <w:lang w:val="pt-PT"/>
        </w:rPr>
        <w:t>COM(</w:t>
      </w:r>
      <w:r w:rsidRPr="00C94BF6">
        <w:rPr>
          <w:rFonts w:ascii="Times New Roman" w:hAnsi="Times New Roman"/>
          <w:lang w:val="pt-PT"/>
        </w:rPr>
        <w:t>2019</w:t>
      </w:r>
      <w:r w:rsidRPr="00D9324A">
        <w:rPr>
          <w:rFonts w:ascii="Times New Roman" w:hAnsi="Times New Roman"/>
          <w:lang w:val="pt-PT"/>
        </w:rPr>
        <w:t>) </w:t>
      </w:r>
      <w:r w:rsidRPr="00C94BF6">
        <w:rPr>
          <w:rFonts w:ascii="Times New Roman" w:hAnsi="Times New Roman"/>
          <w:lang w:val="pt-PT"/>
        </w:rPr>
        <w:t>177</w:t>
      </w:r>
      <w:r w:rsidRPr="00D9324A">
        <w:rPr>
          <w:rFonts w:ascii="Times New Roman" w:hAnsi="Times New Roman"/>
          <w:lang w:val="pt-PT"/>
        </w:rPr>
        <w:t xml:space="preserve"> final.</w:t>
      </w:r>
    </w:p>
  </w:footnote>
  <w:footnote w:id="10">
    <w:p w:rsidR="00B80383" w:rsidRPr="00D9324A" w:rsidRDefault="00B80383">
      <w:pPr>
        <w:pStyle w:val="footnotetext1"/>
        <w:spacing w:after="0" w:line="240" w:lineRule="auto"/>
        <w:ind w:left="284" w:hanging="284"/>
        <w:jc w:val="both"/>
        <w:rPr>
          <w:rFonts w:ascii="Times New Roman" w:hAnsi="Times New Roman" w:cs="Times New Roman"/>
          <w:strike/>
          <w:lang w:eastAsia="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L’article </w:t>
      </w:r>
      <w:r w:rsidRPr="00C94BF6">
        <w:rPr>
          <w:rFonts w:ascii="Times New Roman" w:hAnsi="Times New Roman"/>
        </w:rPr>
        <w:t>154</w:t>
      </w:r>
      <w:r>
        <w:rPr>
          <w:rFonts w:ascii="Times New Roman" w:hAnsi="Times New Roman"/>
        </w:rPr>
        <w:t xml:space="preserve"> du traité sur le fonctionnement de l’Union européenne (TFUE) prévoit une procédure de consultation obligatoire en deux temps: la Commission consulte les partenaires sociaux premièrement sur l’orientation possible d’une initiative et, deuxièmement, sur le contenu de l’initiative envisagée.  Durant ces deux phases, les partenaires sociaux peuvent informer la Commission de leur volonté d’engager le processus de négociation devant déboucher sur un accord entre eux dans le domaine proposé. En pareil cas, la Commission suspend son initiative pendant toute la durée des négociations. Si celles-ci aboutissent, les partenaires sociaux peuvent demander que leur accord soit mis en œuvre au moyen d’une décision du Conseil, sur proposition de la Commission. En l’absence d’accord des partenaires sociaux au terme de la seconde phase de consultation, la Commission peut décider de présenter une proposition.</w:t>
      </w:r>
    </w:p>
  </w:footnote>
  <w:footnote w:id="11">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444444"/>
        </w:rPr>
        <w:t xml:space="preserve">Article </w:t>
      </w:r>
      <w:r w:rsidRPr="00C94BF6">
        <w:rPr>
          <w:rFonts w:ascii="Times New Roman" w:hAnsi="Times New Roman"/>
          <w:color w:val="444444"/>
        </w:rPr>
        <w:t>155</w:t>
      </w:r>
      <w:r>
        <w:rPr>
          <w:rFonts w:ascii="Times New Roman" w:hAnsi="Times New Roman"/>
          <w:color w:val="444444"/>
        </w:rPr>
        <w:t xml:space="preserve"> du TFUE.</w:t>
      </w:r>
    </w:p>
  </w:footnote>
  <w:footnote w:id="12">
    <w:p w:rsidR="00B80383" w:rsidRDefault="00B80383">
      <w:pPr>
        <w:pStyle w:val="Default"/>
        <w:keepLines/>
        <w:ind w:left="284" w:hanging="284"/>
        <w:jc w:val="both"/>
        <w:rPr>
          <w:rFonts w:ascii="Times New Roman" w:eastAsia="Times New Roman" w:hAnsi="Times New Roman" w:cs="Times New Roman"/>
          <w:sz w:val="20"/>
          <w:szCs w:val="20"/>
          <w:lang w:eastAsia="de-DE"/>
        </w:rPr>
      </w:pPr>
      <w:r>
        <w:rPr>
          <w:rFonts w:ascii="Times New Roman" w:hAnsi="Times New Roman"/>
          <w:sz w:val="20"/>
          <w:vertAlign w:val="superscript"/>
        </w:rPr>
        <w:footnoteRef/>
      </w:r>
      <w:r>
        <w:rPr>
          <w:rFonts w:ascii="Times New Roman" w:hAnsi="Times New Roman"/>
          <w:color w:val="auto"/>
          <w:sz w:val="20"/>
          <w:vertAlign w:val="superscript"/>
        </w:rPr>
        <w:t xml:space="preserve"> </w:t>
      </w:r>
      <w:r>
        <w:tab/>
      </w:r>
      <w:r>
        <w:rPr>
          <w:rFonts w:ascii="Times New Roman" w:hAnsi="Times New Roman"/>
          <w:sz w:val="20"/>
        </w:rPr>
        <w:t xml:space="preserve">Depuis le traité de Lisbonne de </w:t>
      </w:r>
      <w:r w:rsidRPr="00C94BF6">
        <w:rPr>
          <w:rFonts w:ascii="Times New Roman" w:hAnsi="Times New Roman"/>
          <w:sz w:val="20"/>
        </w:rPr>
        <w:t>2009</w:t>
      </w:r>
      <w:r>
        <w:rPr>
          <w:rFonts w:ascii="Times New Roman" w:hAnsi="Times New Roman"/>
          <w:sz w:val="20"/>
        </w:rPr>
        <w:t xml:space="preserve">, la coordination des systèmes de sécurité sociale des États membres dans le cadre de la libre circulation des travailleurs, au titre de l’article </w:t>
      </w:r>
      <w:r w:rsidRPr="00C94BF6">
        <w:rPr>
          <w:rFonts w:ascii="Times New Roman" w:hAnsi="Times New Roman"/>
          <w:sz w:val="20"/>
        </w:rPr>
        <w:t>48</w:t>
      </w:r>
      <w:r>
        <w:rPr>
          <w:rFonts w:ascii="Times New Roman" w:hAnsi="Times New Roman"/>
          <w:sz w:val="20"/>
        </w:rPr>
        <w:t xml:space="preserve"> du TFUE, est soumise au vote à la majorité qualifiée et à la procédure législative ordinaire plutôt qu’au vote à l’unanimité. </w:t>
      </w:r>
      <w:r>
        <w:rPr>
          <w:rFonts w:ascii="Times New Roman" w:hAnsi="Times New Roman"/>
          <w:color w:val="auto"/>
          <w:sz w:val="20"/>
        </w:rPr>
        <w:t xml:space="preserve">Voir l’annexe </w:t>
      </w:r>
      <w:r w:rsidRPr="00C94BF6">
        <w:rPr>
          <w:rFonts w:ascii="Times New Roman" w:hAnsi="Times New Roman"/>
          <w:color w:val="auto"/>
          <w:sz w:val="20"/>
        </w:rPr>
        <w:t>1</w:t>
      </w:r>
      <w:r>
        <w:rPr>
          <w:rFonts w:ascii="Times New Roman" w:hAnsi="Times New Roman"/>
          <w:color w:val="auto"/>
          <w:sz w:val="20"/>
        </w:rPr>
        <w:t xml:space="preserve"> pour une vue d’ensemble de l’évolution de l’acquis dans le domaine de la politique sociale.</w:t>
      </w:r>
      <w:r>
        <w:rPr>
          <w:rFonts w:ascii="Times New Roman" w:hAnsi="Times New Roman"/>
          <w:sz w:val="20"/>
        </w:rPr>
        <w:t xml:space="preserve"> Ce changement s’est accompagné de l’introduction d’une clause qualifiée de «frein de secours», à l’article </w:t>
      </w:r>
      <w:r w:rsidRPr="00C94BF6">
        <w:rPr>
          <w:rFonts w:ascii="Times New Roman" w:hAnsi="Times New Roman"/>
          <w:sz w:val="20"/>
        </w:rPr>
        <w:t>48</w:t>
      </w:r>
      <w:r>
        <w:rPr>
          <w:rFonts w:ascii="Times New Roman" w:hAnsi="Times New Roman"/>
          <w:sz w:val="20"/>
        </w:rPr>
        <w:t xml:space="preserve"> du TFUE, selon laquelle un membre du Conseil peut déclarer qu'un projet d'acte législatif de coordination porterait atteinte à des aspects importants de son système de sécurité sociale (dont le champ d'application, le coût ou la structure financière de celui-ci), ou en affecterait l'équilibre financier, et demander que le Conseil européen soit saisi;  la procédure législative ordinaire est alors suspendue. Dans un délai de quatre mois, après discussion, le Conseil européen renvoie le projet au Conseil, qui met fin à la suspension de la procédure législative ordinaire, ou n'agit pas, ou demande à la Commission de présenter une nouvelle proposition (auquel cas l'acte initialement proposé est réputé non adopté).</w:t>
      </w:r>
    </w:p>
  </w:footnote>
  <w:footnote w:id="13">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w:t>
      </w:r>
      <w:r w:rsidRPr="00C94BF6">
        <w:rPr>
          <w:rFonts w:ascii="Times New Roman" w:hAnsi="Times New Roman"/>
        </w:rPr>
        <w:t>2001</w:t>
      </w:r>
      <w:r>
        <w:rPr>
          <w:rFonts w:ascii="Times New Roman" w:hAnsi="Times New Roman"/>
        </w:rPr>
        <w:t>/</w:t>
      </w:r>
      <w:r w:rsidRPr="00C94BF6">
        <w:rPr>
          <w:rFonts w:ascii="Times New Roman" w:hAnsi="Times New Roman"/>
        </w:rPr>
        <w:t>86</w:t>
      </w:r>
      <w:r>
        <w:rPr>
          <w:rFonts w:ascii="Times New Roman" w:hAnsi="Times New Roman"/>
        </w:rPr>
        <w:t xml:space="preserve">/CE du Conseil du </w:t>
      </w:r>
      <w:r w:rsidRPr="00C94BF6">
        <w:rPr>
          <w:rFonts w:ascii="Times New Roman" w:hAnsi="Times New Roman"/>
        </w:rPr>
        <w:t>8</w:t>
      </w:r>
      <w:r>
        <w:rPr>
          <w:rFonts w:ascii="Times New Roman" w:hAnsi="Times New Roman"/>
        </w:rPr>
        <w:t xml:space="preserve"> octobre </w:t>
      </w:r>
      <w:r w:rsidRPr="00C94BF6">
        <w:rPr>
          <w:rFonts w:ascii="Times New Roman" w:hAnsi="Times New Roman"/>
        </w:rPr>
        <w:t>2001</w:t>
      </w:r>
      <w:r>
        <w:rPr>
          <w:rFonts w:ascii="Times New Roman" w:hAnsi="Times New Roman"/>
        </w:rPr>
        <w:t xml:space="preserve"> complétant le statut de la Société européenne pour ce qui concerne l'implication des travailleurs et directive </w:t>
      </w:r>
      <w:r w:rsidRPr="00C94BF6">
        <w:rPr>
          <w:rFonts w:ascii="Times New Roman" w:hAnsi="Times New Roman"/>
        </w:rPr>
        <w:t>2003</w:t>
      </w:r>
      <w:r>
        <w:rPr>
          <w:rFonts w:ascii="Times New Roman" w:hAnsi="Times New Roman"/>
        </w:rPr>
        <w:t>/</w:t>
      </w:r>
      <w:r w:rsidRPr="00C94BF6">
        <w:rPr>
          <w:rFonts w:ascii="Times New Roman" w:hAnsi="Times New Roman"/>
        </w:rPr>
        <w:t>72</w:t>
      </w:r>
      <w:r>
        <w:rPr>
          <w:rFonts w:ascii="Times New Roman" w:hAnsi="Times New Roman"/>
        </w:rPr>
        <w:t xml:space="preserve">/CE du Conseil du </w:t>
      </w:r>
      <w:r w:rsidRPr="00C94BF6">
        <w:rPr>
          <w:rFonts w:ascii="Times New Roman" w:hAnsi="Times New Roman"/>
        </w:rPr>
        <w:t>22</w:t>
      </w:r>
      <w:r>
        <w:rPr>
          <w:rFonts w:ascii="Times New Roman" w:hAnsi="Times New Roman"/>
        </w:rPr>
        <w:t xml:space="preserve"> juillet </w:t>
      </w:r>
      <w:r w:rsidRPr="00C94BF6">
        <w:rPr>
          <w:rFonts w:ascii="Times New Roman" w:hAnsi="Times New Roman"/>
        </w:rPr>
        <w:t>2003</w:t>
      </w:r>
      <w:r>
        <w:rPr>
          <w:rFonts w:ascii="Times New Roman" w:hAnsi="Times New Roman"/>
        </w:rPr>
        <w:t xml:space="preserve"> complétant le statut de la société coopérative européenne pour ce qui concerne l'implication des travailleurs.</w:t>
      </w:r>
    </w:p>
  </w:footnote>
  <w:footnote w:id="14">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w:t>
      </w:r>
      <w:r w:rsidRPr="00C94BF6">
        <w:rPr>
          <w:rFonts w:ascii="Times New Roman" w:hAnsi="Times New Roman"/>
        </w:rPr>
        <w:t>2014</w:t>
      </w:r>
      <w:r>
        <w:rPr>
          <w:rFonts w:ascii="Times New Roman" w:hAnsi="Times New Roman"/>
        </w:rPr>
        <w:t>/</w:t>
      </w:r>
      <w:r w:rsidRPr="00C94BF6">
        <w:rPr>
          <w:rFonts w:ascii="Times New Roman" w:hAnsi="Times New Roman"/>
        </w:rPr>
        <w:t>50</w:t>
      </w:r>
      <w:r>
        <w:rPr>
          <w:rFonts w:ascii="Times New Roman" w:hAnsi="Times New Roman"/>
        </w:rPr>
        <w:t xml:space="preserve">/UE du Parlement européen et du Conseil du </w:t>
      </w:r>
      <w:r w:rsidRPr="00C94BF6">
        <w:rPr>
          <w:rFonts w:ascii="Times New Roman" w:hAnsi="Times New Roman"/>
        </w:rPr>
        <w:t>16</w:t>
      </w:r>
      <w:r>
        <w:rPr>
          <w:rFonts w:ascii="Times New Roman" w:hAnsi="Times New Roman"/>
        </w:rPr>
        <w:t xml:space="preserve"> avril </w:t>
      </w:r>
      <w:r w:rsidRPr="00C94BF6">
        <w:rPr>
          <w:rFonts w:ascii="Times New Roman" w:hAnsi="Times New Roman"/>
        </w:rPr>
        <w:t>2014</w:t>
      </w:r>
      <w:r>
        <w:rPr>
          <w:rFonts w:ascii="Times New Roman" w:hAnsi="Times New Roman"/>
        </w:rPr>
        <w:t xml:space="preserve"> relative aux prescriptions minimales visant à accroître la mobilité des travailleurs entre les États membres en améliorant l'acquisition et la préservation des droits à pension complémentaire.</w:t>
      </w:r>
    </w:p>
  </w:footnote>
  <w:footnote w:id="15">
    <w:p w:rsidR="00B80383" w:rsidRPr="00D9324A"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Article </w:t>
      </w:r>
      <w:r w:rsidRPr="00C94BF6">
        <w:rPr>
          <w:rFonts w:ascii="Times New Roman" w:hAnsi="Times New Roman"/>
        </w:rPr>
        <w:t>20</w:t>
      </w:r>
      <w:r>
        <w:rPr>
          <w:rFonts w:ascii="Times New Roman" w:hAnsi="Times New Roman"/>
        </w:rPr>
        <w:t xml:space="preserve"> du TUE et articles </w:t>
      </w:r>
      <w:r w:rsidRPr="00C94BF6">
        <w:rPr>
          <w:rFonts w:ascii="Times New Roman" w:hAnsi="Times New Roman"/>
        </w:rPr>
        <w:t>326</w:t>
      </w:r>
      <w:r>
        <w:rPr>
          <w:rFonts w:ascii="Times New Roman" w:hAnsi="Times New Roman"/>
        </w:rPr>
        <w:t xml:space="preserve"> à </w:t>
      </w:r>
      <w:r w:rsidRPr="00C94BF6">
        <w:rPr>
          <w:rFonts w:ascii="Times New Roman" w:hAnsi="Times New Roman"/>
        </w:rPr>
        <w:t>334</w:t>
      </w:r>
      <w:r>
        <w:rPr>
          <w:rFonts w:ascii="Times New Roman" w:hAnsi="Times New Roman"/>
        </w:rPr>
        <w:t xml:space="preserve"> du TFUE.</w:t>
      </w:r>
    </w:p>
  </w:footnote>
  <w:footnote w:id="16">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Proposition de directive du Conseil relative à la mise en œuvre du principe de l’égalité de traitement entre les personnes sans distinction de religion ou de convictions, de handicap, d’âge ou d’orientation sexuelle [COM(</w:t>
      </w:r>
      <w:r w:rsidRPr="00C94BF6">
        <w:rPr>
          <w:rFonts w:ascii="Times New Roman" w:hAnsi="Times New Roman"/>
        </w:rPr>
        <w:t>2008</w:t>
      </w:r>
      <w:r>
        <w:rPr>
          <w:rFonts w:ascii="Times New Roman" w:hAnsi="Times New Roman"/>
        </w:rPr>
        <w:t>) </w:t>
      </w:r>
      <w:r w:rsidRPr="00C94BF6">
        <w:rPr>
          <w:rFonts w:ascii="Times New Roman" w:hAnsi="Times New Roman"/>
        </w:rPr>
        <w:t>426</w:t>
      </w:r>
      <w:r>
        <w:rPr>
          <w:rFonts w:ascii="Times New Roman" w:hAnsi="Times New Roman"/>
        </w:rPr>
        <w:t> final du </w:t>
      </w:r>
      <w:r w:rsidRPr="00C94BF6">
        <w:rPr>
          <w:rFonts w:ascii="Times New Roman" w:hAnsi="Times New Roman"/>
        </w:rPr>
        <w:t>2</w:t>
      </w:r>
      <w:r>
        <w:rPr>
          <w:rFonts w:ascii="Times New Roman" w:hAnsi="Times New Roman"/>
        </w:rPr>
        <w:t>.</w:t>
      </w:r>
      <w:r w:rsidRPr="00C94BF6">
        <w:rPr>
          <w:rFonts w:ascii="Times New Roman" w:hAnsi="Times New Roman"/>
        </w:rPr>
        <w:t>7</w:t>
      </w:r>
      <w:r>
        <w:rPr>
          <w:rFonts w:ascii="Times New Roman" w:hAnsi="Times New Roman"/>
        </w:rPr>
        <w:t>.</w:t>
      </w:r>
      <w:r w:rsidRPr="00C94BF6">
        <w:rPr>
          <w:rFonts w:ascii="Times New Roman" w:hAnsi="Times New Roman"/>
        </w:rPr>
        <w:t>2008</w:t>
      </w:r>
      <w:r>
        <w:rPr>
          <w:rFonts w:ascii="Times New Roman" w:hAnsi="Times New Roman"/>
        </w:rPr>
        <w:t>].</w:t>
      </w:r>
    </w:p>
  </w:footnote>
  <w:footnote w:id="17">
    <w:p w:rsidR="00B80383" w:rsidRPr="00D9324A"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Article </w:t>
      </w:r>
      <w:r w:rsidRPr="00C94BF6">
        <w:rPr>
          <w:rFonts w:ascii="Times New Roman" w:hAnsi="Times New Roman"/>
        </w:rPr>
        <w:t>19</w:t>
      </w:r>
      <w:r>
        <w:rPr>
          <w:rFonts w:ascii="Times New Roman" w:hAnsi="Times New Roman"/>
        </w:rPr>
        <w:t xml:space="preserve">, paragraphe </w:t>
      </w:r>
      <w:r w:rsidRPr="00C94BF6">
        <w:rPr>
          <w:rFonts w:ascii="Times New Roman" w:hAnsi="Times New Roman"/>
        </w:rPr>
        <w:t>2</w:t>
      </w:r>
      <w:r>
        <w:rPr>
          <w:rFonts w:ascii="Times New Roman" w:hAnsi="Times New Roman"/>
        </w:rPr>
        <w:t>, du TFUE.</w:t>
      </w:r>
    </w:p>
  </w:footnote>
  <w:footnote w:id="18">
    <w:p w:rsidR="00B80383" w:rsidRDefault="00B80383">
      <w:pPr>
        <w:pStyle w:val="footnotetext1"/>
        <w:spacing w:after="0" w:line="240" w:lineRule="auto"/>
        <w:ind w:left="284" w:hanging="284"/>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Directive </w:t>
      </w:r>
      <w:r w:rsidRPr="00C94BF6">
        <w:rPr>
          <w:rFonts w:ascii="Times New Roman" w:hAnsi="Times New Roman"/>
        </w:rPr>
        <w:t>2004</w:t>
      </w:r>
      <w:r>
        <w:rPr>
          <w:rFonts w:ascii="Times New Roman" w:hAnsi="Times New Roman"/>
        </w:rPr>
        <w:t>/</w:t>
      </w:r>
      <w:r w:rsidRPr="00C94BF6">
        <w:rPr>
          <w:rFonts w:ascii="Times New Roman" w:hAnsi="Times New Roman"/>
        </w:rPr>
        <w:t>113</w:t>
      </w:r>
      <w:r>
        <w:rPr>
          <w:rFonts w:ascii="Times New Roman" w:hAnsi="Times New Roman"/>
        </w:rPr>
        <w:t xml:space="preserve">/CE du Conseil mettant en œuvre le principe de l'égalité entre les femmes et les hommes dans l'accès aux biens et services et la fourniture de biens et services; directive </w:t>
      </w:r>
      <w:r w:rsidRPr="00C94BF6">
        <w:rPr>
          <w:rFonts w:ascii="Times New Roman" w:hAnsi="Times New Roman"/>
        </w:rPr>
        <w:t>2000</w:t>
      </w:r>
      <w:r>
        <w:rPr>
          <w:rFonts w:ascii="Times New Roman" w:hAnsi="Times New Roman"/>
        </w:rPr>
        <w:t>/</w:t>
      </w:r>
      <w:r w:rsidRPr="00C94BF6">
        <w:rPr>
          <w:rFonts w:ascii="Times New Roman" w:hAnsi="Times New Roman"/>
        </w:rPr>
        <w:t>43</w:t>
      </w:r>
      <w:r>
        <w:rPr>
          <w:rFonts w:ascii="Times New Roman" w:hAnsi="Times New Roman"/>
        </w:rPr>
        <w:t xml:space="preserve">/CE du Conseil relative à la mise en œuvre du principe de l’égalité de traitement entre les personnes sans distinction de race ou d’origine ethnique; directive </w:t>
      </w:r>
      <w:r w:rsidRPr="00C94BF6">
        <w:rPr>
          <w:rFonts w:ascii="Times New Roman" w:hAnsi="Times New Roman"/>
        </w:rPr>
        <w:t>2000</w:t>
      </w:r>
      <w:r>
        <w:rPr>
          <w:rFonts w:ascii="Times New Roman" w:hAnsi="Times New Roman"/>
        </w:rPr>
        <w:t>/</w:t>
      </w:r>
      <w:r w:rsidRPr="00C94BF6">
        <w:rPr>
          <w:rFonts w:ascii="Times New Roman" w:hAnsi="Times New Roman"/>
        </w:rPr>
        <w:t>78</w:t>
      </w:r>
      <w:r>
        <w:rPr>
          <w:rFonts w:ascii="Times New Roman" w:hAnsi="Times New Roman"/>
        </w:rPr>
        <w:t>/CE du Conseil portant création d’un cadre général en faveur de l’égalité de traitement en matière d’emploi et de travail.</w:t>
      </w:r>
    </w:p>
    <w:p w:rsidR="00B80383" w:rsidRDefault="00B80383">
      <w:pPr>
        <w:pStyle w:val="footnotetext1"/>
        <w:spacing w:after="0" w:line="240" w:lineRule="auto"/>
        <w:ind w:left="284" w:firstLine="0"/>
        <w:jc w:val="both"/>
        <w:rPr>
          <w:rFonts w:ascii="Times New Roman" w:hAnsi="Times New Roman" w:cs="Times New Roman"/>
        </w:rPr>
      </w:pPr>
      <w:r>
        <w:rPr>
          <w:rFonts w:ascii="Times New Roman" w:hAnsi="Times New Roman"/>
        </w:rPr>
        <w:t xml:space="preserve">D’autres instruments, qui ont été adoptés à la majorité qualifiée parce qu’ils relevaient d’une autre disposition du traité, concernent des domaines similaires:  directive </w:t>
      </w:r>
      <w:r w:rsidRPr="00C94BF6">
        <w:rPr>
          <w:rFonts w:ascii="Times New Roman" w:hAnsi="Times New Roman"/>
        </w:rPr>
        <w:t>2006</w:t>
      </w:r>
      <w:r>
        <w:rPr>
          <w:rFonts w:ascii="Times New Roman" w:hAnsi="Times New Roman"/>
        </w:rPr>
        <w:t>/</w:t>
      </w:r>
      <w:r w:rsidRPr="00C94BF6">
        <w:rPr>
          <w:rFonts w:ascii="Times New Roman" w:hAnsi="Times New Roman"/>
        </w:rPr>
        <w:t>54</w:t>
      </w:r>
      <w:r>
        <w:rPr>
          <w:rFonts w:ascii="Times New Roman" w:hAnsi="Times New Roman"/>
        </w:rPr>
        <w:t xml:space="preserve">/CE du Parlement européen et du Conseil  relative à la mise en œuvre du principe de l'égalité des chances et de l'égalité de traitement entre hommes et femmes en matière d'emploi et de travail et directive </w:t>
      </w:r>
      <w:r w:rsidRPr="00C94BF6">
        <w:rPr>
          <w:rFonts w:ascii="Times New Roman" w:hAnsi="Times New Roman"/>
        </w:rPr>
        <w:t>2010</w:t>
      </w:r>
      <w:r>
        <w:rPr>
          <w:rFonts w:ascii="Times New Roman" w:hAnsi="Times New Roman"/>
        </w:rPr>
        <w:t>/</w:t>
      </w:r>
      <w:r w:rsidRPr="00C94BF6">
        <w:rPr>
          <w:rFonts w:ascii="Times New Roman" w:hAnsi="Times New Roman"/>
        </w:rPr>
        <w:t>41</w:t>
      </w:r>
      <w:r>
        <w:rPr>
          <w:rFonts w:ascii="Times New Roman" w:hAnsi="Times New Roman"/>
        </w:rPr>
        <w:t xml:space="preserve">/UE du Parlement européen et du Conseil concernant l’application du principe de l’égalité de traitement entre hommes et femmes exerçant une activité indépendante, et abrogeant la directive </w:t>
      </w:r>
      <w:r w:rsidRPr="00C94BF6">
        <w:rPr>
          <w:rFonts w:ascii="Times New Roman" w:hAnsi="Times New Roman"/>
        </w:rPr>
        <w:t>86</w:t>
      </w:r>
      <w:r>
        <w:rPr>
          <w:rFonts w:ascii="Times New Roman" w:hAnsi="Times New Roman"/>
        </w:rPr>
        <w:t>/</w:t>
      </w:r>
      <w:r w:rsidRPr="00C94BF6">
        <w:rPr>
          <w:rFonts w:ascii="Times New Roman" w:hAnsi="Times New Roman"/>
        </w:rPr>
        <w:t>613</w:t>
      </w:r>
      <w:r>
        <w:rPr>
          <w:rFonts w:ascii="Times New Roman" w:hAnsi="Times New Roman"/>
        </w:rPr>
        <w:t>/CEE du Conseil.</w:t>
      </w:r>
    </w:p>
  </w:footnote>
  <w:footnote w:id="19">
    <w:p w:rsidR="00B80383" w:rsidRDefault="00B80383">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La proposition de </w:t>
      </w:r>
      <w:r w:rsidRPr="00C94BF6">
        <w:rPr>
          <w:rFonts w:ascii="Times New Roman" w:hAnsi="Times New Roman"/>
          <w:sz w:val="20"/>
        </w:rPr>
        <w:t>2008</w:t>
      </w:r>
      <w:r>
        <w:rPr>
          <w:rFonts w:ascii="Times New Roman" w:hAnsi="Times New Roman"/>
          <w:sz w:val="20"/>
        </w:rPr>
        <w:t xml:space="preserve"> de directive du Conseil relative à la mise en œuvre du principe de l’égalité de traitement entre les personnes sans distinction de religion ou de convictions, de handicap, d’âge ou d’orientation sexuelle [COM(</w:t>
      </w:r>
      <w:r w:rsidRPr="00C94BF6">
        <w:rPr>
          <w:rFonts w:ascii="Times New Roman" w:hAnsi="Times New Roman"/>
          <w:sz w:val="20"/>
        </w:rPr>
        <w:t>2008</w:t>
      </w:r>
      <w:r>
        <w:rPr>
          <w:rFonts w:ascii="Times New Roman" w:hAnsi="Times New Roman"/>
          <w:sz w:val="20"/>
        </w:rPr>
        <w:t xml:space="preserve">) </w:t>
      </w:r>
      <w:r w:rsidRPr="00C94BF6">
        <w:rPr>
          <w:rFonts w:ascii="Times New Roman" w:hAnsi="Times New Roman"/>
          <w:sz w:val="20"/>
        </w:rPr>
        <w:t>426</w:t>
      </w:r>
      <w:r>
        <w:rPr>
          <w:rFonts w:ascii="Times New Roman" w:hAnsi="Times New Roman"/>
          <w:sz w:val="20"/>
        </w:rPr>
        <w:t xml:space="preserve"> final], qui répond à ces préoccupations et étend la protection contre les discriminations fondées sur la religion ou les convictions, le handicap, l’âge ou l’orientation sexuelle à des domaines autres que l’emploi, est bloquée au Conseil.</w:t>
      </w:r>
    </w:p>
  </w:footnote>
  <w:footnote w:id="20">
    <w:p w:rsidR="00B80383" w:rsidRDefault="00B80383">
      <w:pPr>
        <w:pStyle w:val="footnotetext1"/>
        <w:spacing w:after="0" w:line="240" w:lineRule="auto"/>
        <w:ind w:left="284" w:hanging="284"/>
        <w:jc w:val="both"/>
        <w:rPr>
          <w:rFonts w:ascii="Times New Roman"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Article </w:t>
      </w:r>
      <w:r w:rsidRPr="00C94BF6">
        <w:rPr>
          <w:rFonts w:ascii="Times New Roman" w:hAnsi="Times New Roman"/>
        </w:rPr>
        <w:t>2</w:t>
      </w:r>
      <w:r>
        <w:rPr>
          <w:rFonts w:ascii="Times New Roman" w:hAnsi="Times New Roman"/>
        </w:rPr>
        <w:t xml:space="preserve"> du TUE et article </w:t>
      </w:r>
      <w:r w:rsidRPr="00C94BF6">
        <w:rPr>
          <w:rFonts w:ascii="Times New Roman" w:hAnsi="Times New Roman"/>
        </w:rPr>
        <w:t>8</w:t>
      </w:r>
      <w:r>
        <w:rPr>
          <w:rFonts w:ascii="Times New Roman" w:hAnsi="Times New Roman"/>
        </w:rPr>
        <w:t xml:space="preserve"> du TFUE en particulier.</w:t>
      </w:r>
    </w:p>
  </w:footnote>
  <w:footnote w:id="21">
    <w:p w:rsidR="00B80383" w:rsidRDefault="00B80383">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L’un des buts poursuivis au titre de l’objectif </w:t>
      </w:r>
      <w:r w:rsidRPr="00C94BF6">
        <w:rPr>
          <w:rFonts w:ascii="Times New Roman" w:hAnsi="Times New Roman"/>
          <w:sz w:val="20"/>
        </w:rPr>
        <w:t>10</w:t>
      </w:r>
      <w:r>
        <w:rPr>
          <w:rFonts w:ascii="Times New Roman" w:hAnsi="Times New Roman"/>
          <w:sz w:val="20"/>
        </w:rPr>
        <w:t xml:space="preserve"> (Réduire les inégalités dans les pays et d’un pays à l’autre) est de garantir l’égalité des chances et de réduire les inégalités de résultats. </w:t>
      </w:r>
      <w:r>
        <w:tab/>
      </w:r>
      <w:r>
        <w:rPr>
          <w:rFonts w:ascii="Times New Roman" w:hAnsi="Times New Roman" w:cs="Times New Roman"/>
          <w:sz w:val="20"/>
          <w:szCs w:val="20"/>
        </w:rPr>
        <w:br/>
      </w:r>
      <w:r>
        <w:rPr>
          <w:rFonts w:ascii="Times New Roman" w:hAnsi="Times New Roman"/>
          <w:sz w:val="20"/>
        </w:rPr>
        <w:t>Objectif </w:t>
      </w:r>
      <w:r w:rsidRPr="00C94BF6">
        <w:rPr>
          <w:rFonts w:ascii="Times New Roman" w:hAnsi="Times New Roman"/>
          <w:sz w:val="20"/>
        </w:rPr>
        <w:t>10</w:t>
      </w:r>
      <w:r>
        <w:rPr>
          <w:rFonts w:ascii="Times New Roman" w:hAnsi="Times New Roman"/>
          <w:sz w:val="20"/>
        </w:rPr>
        <w:t>.</w:t>
      </w:r>
      <w:r w:rsidRPr="00C94BF6">
        <w:rPr>
          <w:rFonts w:ascii="Times New Roman" w:hAnsi="Times New Roman"/>
          <w:sz w:val="20"/>
        </w:rPr>
        <w:t>2</w:t>
      </w:r>
      <w:r>
        <w:rPr>
          <w:rFonts w:ascii="Times New Roman" w:hAnsi="Times New Roman"/>
          <w:sz w:val="20"/>
        </w:rPr>
        <w:t xml:space="preserve">: D’ici à </w:t>
      </w:r>
      <w:r w:rsidRPr="00C94BF6">
        <w:rPr>
          <w:rFonts w:ascii="Times New Roman" w:hAnsi="Times New Roman"/>
          <w:sz w:val="20"/>
        </w:rPr>
        <w:t>2030</w:t>
      </w:r>
      <w:r>
        <w:rPr>
          <w:rFonts w:ascii="Times New Roman" w:hAnsi="Times New Roman"/>
          <w:sz w:val="20"/>
        </w:rPr>
        <w:t xml:space="preserve">, autonomiser toutes les personnes et favoriser leur intégration sociale, économique et politique, indépendamment de leur âge, de leur sexe, de leur handicap, de leur race, de leur appartenance ethnique, de leurs origines, de leur religion ou de leur statut économique ou autre.  </w:t>
      </w:r>
      <w:r>
        <w:tab/>
      </w:r>
      <w:r>
        <w:rPr>
          <w:rFonts w:ascii="Times New Roman" w:hAnsi="Times New Roman" w:cs="Times New Roman"/>
          <w:sz w:val="20"/>
          <w:szCs w:val="20"/>
        </w:rPr>
        <w:br/>
      </w:r>
      <w:r>
        <w:rPr>
          <w:rFonts w:ascii="Times New Roman" w:hAnsi="Times New Roman"/>
          <w:sz w:val="20"/>
        </w:rPr>
        <w:t>Objectif </w:t>
      </w:r>
      <w:r w:rsidRPr="00C94BF6">
        <w:rPr>
          <w:rFonts w:ascii="Times New Roman" w:hAnsi="Times New Roman"/>
          <w:sz w:val="20"/>
        </w:rPr>
        <w:t>10</w:t>
      </w:r>
      <w:r>
        <w:rPr>
          <w:rFonts w:ascii="Times New Roman" w:hAnsi="Times New Roman"/>
          <w:sz w:val="20"/>
        </w:rPr>
        <w:t>.</w:t>
      </w:r>
      <w:r w:rsidRPr="00C94BF6">
        <w:rPr>
          <w:rFonts w:ascii="Times New Roman" w:hAnsi="Times New Roman"/>
          <w:sz w:val="20"/>
        </w:rPr>
        <w:t>3</w:t>
      </w:r>
      <w:r>
        <w:rPr>
          <w:rFonts w:ascii="Times New Roman" w:hAnsi="Times New Roman"/>
          <w:sz w:val="20"/>
        </w:rPr>
        <w:t>: Assurer l’égalité des chances et réduire l’inégalité des résultats, notamment en éliminant les lois, politiques et pratiques discriminatoires et en encourageant l’adoption de lois, politiques et mesures adéquates en la matière.</w:t>
      </w:r>
    </w:p>
  </w:footnote>
  <w:footnote w:id="22">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Service de recherche du Parlement européen, </w:t>
      </w:r>
      <w:r>
        <w:rPr>
          <w:rFonts w:ascii="Times New Roman" w:eastAsiaTheme="minorHAnsi" w:hAnsi="Times New Roman"/>
          <w:i/>
        </w:rPr>
        <w:t>Equality and the fight against racism and xenophobia (Cost of non</w:t>
      </w:r>
      <w:r>
        <w:noBreakHyphen/>
      </w:r>
      <w:r>
        <w:rPr>
          <w:rFonts w:ascii="Times New Roman" w:eastAsiaTheme="minorHAnsi" w:hAnsi="Times New Roman"/>
          <w:i/>
        </w:rPr>
        <w:t>Europe report)</w:t>
      </w:r>
      <w:r>
        <w:rPr>
          <w:rFonts w:ascii="Times New Roman" w:hAnsi="Times New Roman"/>
        </w:rPr>
        <w:t xml:space="preserve"> [L’égalité et la lutte contre le racisme et la xénophobie (Le coût de la non-Europe)] (PE </w:t>
      </w:r>
      <w:r w:rsidRPr="00C94BF6">
        <w:rPr>
          <w:rFonts w:ascii="Times New Roman" w:hAnsi="Times New Roman"/>
        </w:rPr>
        <w:t>615</w:t>
      </w:r>
      <w:r>
        <w:rPr>
          <w:rFonts w:ascii="Times New Roman" w:hAnsi="Times New Roman"/>
        </w:rPr>
        <w:t>.</w:t>
      </w:r>
      <w:r w:rsidRPr="00C94BF6">
        <w:rPr>
          <w:rFonts w:ascii="Times New Roman" w:hAnsi="Times New Roman"/>
        </w:rPr>
        <w:t>660</w:t>
      </w:r>
      <w:r>
        <w:rPr>
          <w:rFonts w:ascii="Times New Roman" w:hAnsi="Times New Roman"/>
        </w:rPr>
        <w:t xml:space="preserve">, mars </w:t>
      </w:r>
      <w:r w:rsidRPr="00C94BF6">
        <w:rPr>
          <w:rFonts w:ascii="Times New Roman" w:hAnsi="Times New Roman"/>
        </w:rPr>
        <w:t>2018</w:t>
      </w:r>
      <w:r>
        <w:rPr>
          <w:rFonts w:ascii="Times New Roman" w:hAnsi="Times New Roman"/>
        </w:rPr>
        <w:t>);</w:t>
      </w:r>
      <w:r>
        <w:tab/>
      </w:r>
      <w:r>
        <w:rPr>
          <w:rFonts w:ascii="Times New Roman" w:hAnsi="Times New Roman" w:cs="Times New Roman"/>
        </w:rPr>
        <w:br/>
      </w:r>
      <w:r>
        <w:rPr>
          <w:rFonts w:ascii="Times New Roman" w:hAnsi="Times New Roman"/>
        </w:rPr>
        <w:t xml:space="preserve"> </w:t>
      </w:r>
      <w:hyperlink r:id="rId4">
        <w:r>
          <w:rPr>
            <w:rStyle w:val="Hyperlink"/>
            <w:rFonts w:ascii="Times New Roman" w:hAnsi="Times New Roman"/>
          </w:rPr>
          <w:t>http://www.europarl.europa.eu/thinktank/en/document.html?reference=EPRS_STU(</w:t>
        </w:r>
        <w:r w:rsidRPr="00C94BF6">
          <w:rPr>
            <w:rStyle w:val="Hyperlink"/>
            <w:rFonts w:ascii="Times New Roman" w:hAnsi="Times New Roman"/>
          </w:rPr>
          <w:t>2018</w:t>
        </w:r>
        <w:r>
          <w:rPr>
            <w:rStyle w:val="Hyperlink"/>
            <w:rFonts w:ascii="Times New Roman" w:hAnsi="Times New Roman"/>
          </w:rPr>
          <w:t>)</w:t>
        </w:r>
        <w:r w:rsidRPr="00C94BF6">
          <w:rPr>
            <w:rStyle w:val="Hyperlink"/>
            <w:rFonts w:ascii="Times New Roman" w:hAnsi="Times New Roman"/>
          </w:rPr>
          <w:t>615660</w:t>
        </w:r>
      </w:hyperlink>
    </w:p>
  </w:footnote>
  <w:footnote w:id="23">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 xml:space="preserve">Article </w:t>
      </w:r>
      <w:r w:rsidRPr="00C94BF6">
        <w:rPr>
          <w:rFonts w:ascii="Times New Roman" w:eastAsiaTheme="minorHAnsi" w:hAnsi="Times New Roman"/>
        </w:rPr>
        <w:t>13</w:t>
      </w:r>
      <w:r>
        <w:rPr>
          <w:rFonts w:ascii="Times New Roman" w:eastAsiaTheme="minorHAnsi" w:hAnsi="Times New Roman"/>
        </w:rPr>
        <w:t xml:space="preserve"> de la directive </w:t>
      </w:r>
      <w:r w:rsidRPr="00C94BF6">
        <w:rPr>
          <w:rFonts w:ascii="Times New Roman" w:eastAsiaTheme="minorHAnsi" w:hAnsi="Times New Roman"/>
        </w:rPr>
        <w:t>2000</w:t>
      </w:r>
      <w:r>
        <w:rPr>
          <w:rFonts w:ascii="Times New Roman" w:eastAsiaTheme="minorHAnsi" w:hAnsi="Times New Roman"/>
        </w:rPr>
        <w:t>/</w:t>
      </w:r>
      <w:r w:rsidRPr="00C94BF6">
        <w:rPr>
          <w:rFonts w:ascii="Times New Roman" w:eastAsiaTheme="minorHAnsi" w:hAnsi="Times New Roman"/>
        </w:rPr>
        <w:t>43</w:t>
      </w:r>
      <w:r>
        <w:rPr>
          <w:rFonts w:ascii="Times New Roman" w:eastAsiaTheme="minorHAnsi" w:hAnsi="Times New Roman"/>
        </w:rPr>
        <w:t xml:space="preserve">/CE, article </w:t>
      </w:r>
      <w:r w:rsidRPr="00C94BF6">
        <w:rPr>
          <w:rFonts w:ascii="Times New Roman" w:eastAsiaTheme="minorHAnsi" w:hAnsi="Times New Roman"/>
        </w:rPr>
        <w:t>11</w:t>
      </w:r>
      <w:r>
        <w:rPr>
          <w:rFonts w:ascii="Times New Roman" w:eastAsiaTheme="minorHAnsi" w:hAnsi="Times New Roman"/>
        </w:rPr>
        <w:t xml:space="preserve"> de la directive </w:t>
      </w:r>
      <w:r w:rsidRPr="00C94BF6">
        <w:rPr>
          <w:rFonts w:ascii="Times New Roman" w:eastAsiaTheme="minorHAnsi" w:hAnsi="Times New Roman"/>
        </w:rPr>
        <w:t>2010</w:t>
      </w:r>
      <w:r>
        <w:rPr>
          <w:rFonts w:ascii="Times New Roman" w:eastAsiaTheme="minorHAnsi" w:hAnsi="Times New Roman"/>
        </w:rPr>
        <w:t>/</w:t>
      </w:r>
      <w:r w:rsidRPr="00C94BF6">
        <w:rPr>
          <w:rFonts w:ascii="Times New Roman" w:eastAsiaTheme="minorHAnsi" w:hAnsi="Times New Roman"/>
        </w:rPr>
        <w:t>41</w:t>
      </w:r>
      <w:r>
        <w:rPr>
          <w:rFonts w:ascii="Times New Roman" w:eastAsiaTheme="minorHAnsi" w:hAnsi="Times New Roman"/>
        </w:rPr>
        <w:t xml:space="preserve">/UE, article </w:t>
      </w:r>
      <w:r w:rsidRPr="00C94BF6">
        <w:rPr>
          <w:rFonts w:ascii="Times New Roman" w:eastAsiaTheme="minorHAnsi" w:hAnsi="Times New Roman"/>
        </w:rPr>
        <w:t>12</w:t>
      </w:r>
      <w:r>
        <w:rPr>
          <w:rFonts w:ascii="Times New Roman" w:eastAsiaTheme="minorHAnsi" w:hAnsi="Times New Roman"/>
        </w:rPr>
        <w:t xml:space="preserve"> de la directive </w:t>
      </w:r>
      <w:r w:rsidRPr="00C94BF6">
        <w:rPr>
          <w:rFonts w:ascii="Times New Roman" w:eastAsiaTheme="minorHAnsi" w:hAnsi="Times New Roman"/>
        </w:rPr>
        <w:t>2004</w:t>
      </w:r>
      <w:r>
        <w:rPr>
          <w:rFonts w:ascii="Times New Roman" w:eastAsiaTheme="minorHAnsi" w:hAnsi="Times New Roman"/>
        </w:rPr>
        <w:t>/</w:t>
      </w:r>
      <w:r w:rsidRPr="00C94BF6">
        <w:rPr>
          <w:rFonts w:ascii="Times New Roman" w:eastAsiaTheme="minorHAnsi" w:hAnsi="Times New Roman"/>
        </w:rPr>
        <w:t>113</w:t>
      </w:r>
      <w:r>
        <w:rPr>
          <w:rFonts w:ascii="Times New Roman" w:eastAsiaTheme="minorHAnsi" w:hAnsi="Times New Roman"/>
        </w:rPr>
        <w:t xml:space="preserve">/CE et article </w:t>
      </w:r>
      <w:r w:rsidRPr="00C94BF6">
        <w:rPr>
          <w:rFonts w:ascii="Times New Roman" w:eastAsiaTheme="minorHAnsi" w:hAnsi="Times New Roman"/>
        </w:rPr>
        <w:t>20</w:t>
      </w:r>
      <w:r>
        <w:rPr>
          <w:rFonts w:ascii="Times New Roman" w:eastAsiaTheme="minorHAnsi" w:hAnsi="Times New Roman"/>
        </w:rPr>
        <w:t xml:space="preserve"> de la directive </w:t>
      </w:r>
      <w:r w:rsidRPr="00C94BF6">
        <w:rPr>
          <w:rFonts w:ascii="Times New Roman" w:eastAsiaTheme="minorHAnsi" w:hAnsi="Times New Roman"/>
        </w:rPr>
        <w:t>2006</w:t>
      </w:r>
      <w:r>
        <w:rPr>
          <w:rFonts w:ascii="Times New Roman" w:eastAsiaTheme="minorHAnsi" w:hAnsi="Times New Roman"/>
        </w:rPr>
        <w:t>/</w:t>
      </w:r>
      <w:r w:rsidRPr="00C94BF6">
        <w:rPr>
          <w:rFonts w:ascii="Times New Roman" w:eastAsiaTheme="minorHAnsi" w:hAnsi="Times New Roman"/>
        </w:rPr>
        <w:t>54</w:t>
      </w:r>
      <w:r>
        <w:rPr>
          <w:rFonts w:ascii="Times New Roman" w:eastAsiaTheme="minorHAnsi" w:hAnsi="Times New Roman"/>
        </w:rPr>
        <w:t>/CE.</w:t>
      </w:r>
    </w:p>
  </w:footnote>
  <w:footnote w:id="24">
    <w:p w:rsidR="00B80383" w:rsidRDefault="00B80383">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Commission Recommendation on standards for equality bodies of </w:t>
      </w:r>
      <w:r w:rsidRPr="00C94BF6">
        <w:rPr>
          <w:rFonts w:ascii="Times New Roman" w:hAnsi="Times New Roman"/>
          <w:sz w:val="20"/>
        </w:rPr>
        <w:t>22</w:t>
      </w:r>
      <w:r>
        <w:rPr>
          <w:rFonts w:ascii="Times New Roman" w:hAnsi="Times New Roman"/>
          <w:sz w:val="20"/>
        </w:rPr>
        <w:t>.</w:t>
      </w:r>
      <w:r w:rsidRPr="00C94BF6">
        <w:rPr>
          <w:rFonts w:ascii="Times New Roman" w:hAnsi="Times New Roman"/>
          <w:sz w:val="20"/>
        </w:rPr>
        <w:t>6</w:t>
      </w:r>
      <w:r>
        <w:rPr>
          <w:rFonts w:ascii="Times New Roman" w:hAnsi="Times New Roman"/>
          <w:sz w:val="20"/>
        </w:rPr>
        <w:t>.</w:t>
      </w:r>
      <w:r w:rsidRPr="00C94BF6">
        <w:rPr>
          <w:rFonts w:ascii="Times New Roman" w:hAnsi="Times New Roman"/>
          <w:sz w:val="20"/>
        </w:rPr>
        <w:t>2018</w:t>
      </w:r>
      <w:r>
        <w:rPr>
          <w:rFonts w:ascii="Times New Roman" w:hAnsi="Times New Roman"/>
          <w:sz w:val="20"/>
        </w:rPr>
        <w:t xml:space="preserve"> (Recommandation de la Commission relative aux normes applicables aux organismes pour l’égalité du </w:t>
      </w:r>
      <w:r w:rsidRPr="00C94BF6">
        <w:rPr>
          <w:rFonts w:ascii="Times New Roman" w:hAnsi="Times New Roman"/>
          <w:sz w:val="20"/>
        </w:rPr>
        <w:t>22</w:t>
      </w:r>
      <w:r>
        <w:rPr>
          <w:rFonts w:ascii="Times New Roman" w:hAnsi="Times New Roman"/>
          <w:sz w:val="20"/>
        </w:rPr>
        <w:t>.</w:t>
      </w:r>
      <w:r w:rsidRPr="00C94BF6">
        <w:rPr>
          <w:rFonts w:ascii="Times New Roman" w:hAnsi="Times New Roman"/>
          <w:sz w:val="20"/>
        </w:rPr>
        <w:t>6</w:t>
      </w:r>
      <w:r>
        <w:rPr>
          <w:rFonts w:ascii="Times New Roman" w:hAnsi="Times New Roman"/>
          <w:sz w:val="20"/>
        </w:rPr>
        <w:t>.</w:t>
      </w:r>
      <w:r w:rsidRPr="00C94BF6">
        <w:rPr>
          <w:rFonts w:ascii="Times New Roman" w:hAnsi="Times New Roman"/>
          <w:sz w:val="20"/>
        </w:rPr>
        <w:t>2018</w:t>
      </w:r>
      <w:r>
        <w:rPr>
          <w:rFonts w:ascii="Times New Roman" w:hAnsi="Times New Roman"/>
          <w:sz w:val="20"/>
        </w:rPr>
        <w:t>), C(</w:t>
      </w:r>
      <w:r w:rsidRPr="00C94BF6">
        <w:rPr>
          <w:rFonts w:ascii="Times New Roman" w:hAnsi="Times New Roman"/>
          <w:sz w:val="20"/>
        </w:rPr>
        <w:t>2018</w:t>
      </w:r>
      <w:r>
        <w:rPr>
          <w:rFonts w:ascii="Times New Roman" w:hAnsi="Times New Roman"/>
          <w:sz w:val="20"/>
        </w:rPr>
        <w:t xml:space="preserve">) </w:t>
      </w:r>
      <w:r w:rsidRPr="00C94BF6">
        <w:rPr>
          <w:rFonts w:ascii="Times New Roman" w:hAnsi="Times New Roman"/>
          <w:sz w:val="20"/>
        </w:rPr>
        <w:t>3850</w:t>
      </w:r>
      <w:r>
        <w:rPr>
          <w:rFonts w:ascii="Times New Roman" w:hAnsi="Times New Roman"/>
          <w:sz w:val="20"/>
        </w:rPr>
        <w:t xml:space="preserve"> final;</w:t>
      </w:r>
      <w:r>
        <w:tab/>
      </w:r>
      <w:r>
        <w:rPr>
          <w:rFonts w:ascii="Times New Roman" w:eastAsia="Times New Roman" w:hAnsi="Times New Roman" w:cs="Times New Roman"/>
          <w:sz w:val="20"/>
          <w:szCs w:val="20"/>
        </w:rPr>
        <w:br/>
      </w:r>
      <w:hyperlink r:id="rId5">
        <w:r>
          <w:rPr>
            <w:rStyle w:val="Hyperlink"/>
            <w:rFonts w:ascii="Times New Roman" w:hAnsi="Times New Roman"/>
            <w:sz w:val="20"/>
          </w:rPr>
          <w:t>https://ec.europa.eu/info/sites/info/files/</w:t>
        </w:r>
        <w:r w:rsidRPr="00C94BF6">
          <w:rPr>
            <w:rStyle w:val="Hyperlink"/>
            <w:rFonts w:ascii="Times New Roman" w:hAnsi="Times New Roman"/>
            <w:sz w:val="20"/>
          </w:rPr>
          <w:t>2</w:t>
        </w:r>
        <w:r>
          <w:rPr>
            <w:rStyle w:val="Hyperlink"/>
            <w:rFonts w:ascii="Times New Roman" w:hAnsi="Times New Roman"/>
            <w:sz w:val="20"/>
          </w:rPr>
          <w:t>_en_act_part</w:t>
        </w:r>
        <w:r w:rsidRPr="00C94BF6">
          <w:rPr>
            <w:rStyle w:val="Hyperlink"/>
            <w:rFonts w:ascii="Times New Roman" w:hAnsi="Times New Roman"/>
            <w:sz w:val="20"/>
          </w:rPr>
          <w:t>1</w:t>
        </w:r>
        <w:r>
          <w:rPr>
            <w:rStyle w:val="Hyperlink"/>
            <w:rFonts w:ascii="Times New Roman" w:hAnsi="Times New Roman"/>
            <w:sz w:val="20"/>
          </w:rPr>
          <w:t>_v</w:t>
        </w:r>
        <w:r w:rsidRPr="00C94BF6">
          <w:rPr>
            <w:rStyle w:val="Hyperlink"/>
            <w:rFonts w:ascii="Times New Roman" w:hAnsi="Times New Roman"/>
            <w:sz w:val="20"/>
          </w:rPr>
          <w:t>4</w:t>
        </w:r>
        <w:r>
          <w:rPr>
            <w:rStyle w:val="Hyperlink"/>
            <w:rFonts w:ascii="Times New Roman" w:hAnsi="Times New Roman"/>
            <w:sz w:val="20"/>
          </w:rPr>
          <w:t>.pdf</w:t>
        </w:r>
      </w:hyperlink>
      <w:r>
        <w:rPr>
          <w:rStyle w:val="Hyperlink"/>
          <w:rFonts w:ascii="Times New Roman" w:hAnsi="Times New Roman"/>
          <w:sz w:val="20"/>
        </w:rPr>
        <w:t>.</w:t>
      </w:r>
    </w:p>
  </w:footnote>
  <w:footnote w:id="25">
    <w:p w:rsidR="00B80383" w:rsidRDefault="00B80383">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Eurobarometer </w:t>
      </w:r>
      <w:r w:rsidRPr="00C94BF6">
        <w:rPr>
          <w:rFonts w:ascii="Times New Roman" w:hAnsi="Times New Roman"/>
          <w:sz w:val="20"/>
        </w:rPr>
        <w:t>437</w:t>
      </w:r>
      <w:r>
        <w:rPr>
          <w:rFonts w:ascii="Times New Roman" w:hAnsi="Times New Roman"/>
          <w:sz w:val="20"/>
        </w:rPr>
        <w:t xml:space="preserve">, </w:t>
      </w:r>
      <w:r>
        <w:rPr>
          <w:rFonts w:ascii="Times New Roman" w:hAnsi="Times New Roman"/>
          <w:i/>
          <w:sz w:val="20"/>
        </w:rPr>
        <w:t xml:space="preserve">Discrimination in the EU in </w:t>
      </w:r>
      <w:r w:rsidRPr="00C94BF6">
        <w:rPr>
          <w:rFonts w:ascii="Times New Roman" w:hAnsi="Times New Roman"/>
          <w:i/>
          <w:sz w:val="20"/>
        </w:rPr>
        <w:t>2015</w:t>
      </w:r>
      <w:r>
        <w:rPr>
          <w:rFonts w:ascii="Times New Roman" w:hAnsi="Times New Roman"/>
          <w:i/>
          <w:sz w:val="20"/>
        </w:rPr>
        <w:t xml:space="preserve"> (Les discriminations dans l’UE en </w:t>
      </w:r>
      <w:r w:rsidRPr="00C94BF6">
        <w:rPr>
          <w:rFonts w:ascii="Times New Roman" w:hAnsi="Times New Roman"/>
          <w:i/>
          <w:sz w:val="20"/>
        </w:rPr>
        <w:t>2015</w:t>
      </w:r>
      <w:r>
        <w:rPr>
          <w:rFonts w:ascii="Times New Roman" w:hAnsi="Times New Roman"/>
          <w:i/>
          <w:sz w:val="20"/>
        </w:rPr>
        <w:t>)</w:t>
      </w:r>
      <w:r>
        <w:rPr>
          <w:rFonts w:ascii="Times New Roman" w:hAnsi="Times New Roman"/>
          <w:sz w:val="20"/>
        </w:rPr>
        <w:t>.</w:t>
      </w:r>
    </w:p>
  </w:footnote>
  <w:footnote w:id="26">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Fonts w:ascii="Times New Roman" w:hAnsi="Times New Roman"/>
          </w:rPr>
          <w:t>Voir</w:t>
        </w:r>
      </w:hyperlink>
      <w:r>
        <w:rPr>
          <w:rFonts w:ascii="Times New Roman" w:hAnsi="Times New Roman"/>
        </w:rPr>
        <w:t xml:space="preserve"> la note de bas de page </w:t>
      </w:r>
      <w:r w:rsidRPr="00C94BF6">
        <w:rPr>
          <w:rFonts w:ascii="Times New Roman" w:hAnsi="Times New Roman"/>
        </w:rPr>
        <w:t>21</w:t>
      </w:r>
      <w:r>
        <w:rPr>
          <w:rFonts w:ascii="Times New Roman" w:hAnsi="Times New Roman"/>
        </w:rPr>
        <w:t xml:space="preserve">. </w:t>
      </w:r>
    </w:p>
  </w:footnote>
  <w:footnote w:id="27">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En vertu des dispositions de l’article </w:t>
      </w:r>
      <w:r w:rsidRPr="00C94BF6">
        <w:rPr>
          <w:rFonts w:ascii="Times New Roman" w:hAnsi="Times New Roman"/>
        </w:rPr>
        <w:t>153</w:t>
      </w:r>
      <w:r>
        <w:rPr>
          <w:rFonts w:ascii="Times New Roman" w:hAnsi="Times New Roman"/>
        </w:rPr>
        <w:t xml:space="preserve">, paragraphe </w:t>
      </w:r>
      <w:r w:rsidRPr="00C94BF6">
        <w:rPr>
          <w:rFonts w:ascii="Times New Roman" w:hAnsi="Times New Roman"/>
        </w:rPr>
        <w:t>1</w:t>
      </w:r>
      <w:r>
        <w:rPr>
          <w:rFonts w:ascii="Times New Roman" w:hAnsi="Times New Roman"/>
        </w:rPr>
        <w:t xml:space="preserve">, point c), du TFUE; l’article </w:t>
      </w:r>
      <w:r w:rsidRPr="00C94BF6">
        <w:rPr>
          <w:rFonts w:ascii="Times New Roman" w:hAnsi="Times New Roman"/>
        </w:rPr>
        <w:t>48</w:t>
      </w:r>
      <w:r>
        <w:rPr>
          <w:rFonts w:ascii="Times New Roman" w:hAnsi="Times New Roman"/>
        </w:rPr>
        <w:t xml:space="preserve"> du TFUE habilite l’Union à adopter, dans le domaine de la sécurité sociale, les mesures nécessaires pour l'établissement de la libre circulation des travailleurs. Ces mesures étant soumises au vote à la majorité qualifiée, elles ne sont pas examinées dans la présente communication. </w:t>
      </w:r>
    </w:p>
  </w:footnote>
  <w:footnote w:id="28">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L’acquis en matière de migration légale comprend les actes suivants: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la directive </w:t>
      </w:r>
      <w:r w:rsidRPr="00C94BF6">
        <w:rPr>
          <w:rFonts w:ascii="Times New Roman" w:hAnsi="Times New Roman"/>
        </w:rPr>
        <w:t>2003</w:t>
      </w:r>
      <w:r>
        <w:rPr>
          <w:rFonts w:ascii="Times New Roman" w:hAnsi="Times New Roman"/>
        </w:rPr>
        <w:t>/</w:t>
      </w:r>
      <w:r w:rsidRPr="00C94BF6">
        <w:rPr>
          <w:rFonts w:ascii="Times New Roman" w:hAnsi="Times New Roman"/>
        </w:rPr>
        <w:t>86</w:t>
      </w:r>
      <w:r>
        <w:rPr>
          <w:rFonts w:ascii="Times New Roman" w:hAnsi="Times New Roman"/>
        </w:rPr>
        <w:t xml:space="preserve">/CE du Conseil du </w:t>
      </w:r>
      <w:r w:rsidRPr="00C94BF6">
        <w:rPr>
          <w:rFonts w:ascii="Times New Roman" w:hAnsi="Times New Roman"/>
        </w:rPr>
        <w:t>22</w:t>
      </w:r>
      <w:r>
        <w:rPr>
          <w:rFonts w:ascii="Times New Roman" w:hAnsi="Times New Roman"/>
        </w:rPr>
        <w:t xml:space="preserve"> septembre </w:t>
      </w:r>
      <w:r w:rsidRPr="00C94BF6">
        <w:rPr>
          <w:rFonts w:ascii="Times New Roman" w:hAnsi="Times New Roman"/>
        </w:rPr>
        <w:t>2003</w:t>
      </w:r>
      <w:r>
        <w:rPr>
          <w:rFonts w:ascii="Times New Roman" w:hAnsi="Times New Roman"/>
        </w:rPr>
        <w:t xml:space="preserve"> relative au droit au regroupement familial;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la directive </w:t>
      </w:r>
      <w:r w:rsidRPr="00C94BF6">
        <w:rPr>
          <w:rFonts w:ascii="Times New Roman" w:hAnsi="Times New Roman"/>
        </w:rPr>
        <w:t>2003</w:t>
      </w:r>
      <w:r>
        <w:rPr>
          <w:rFonts w:ascii="Times New Roman" w:hAnsi="Times New Roman"/>
        </w:rPr>
        <w:t>/</w:t>
      </w:r>
      <w:r w:rsidRPr="00C94BF6">
        <w:rPr>
          <w:rFonts w:ascii="Times New Roman" w:hAnsi="Times New Roman"/>
        </w:rPr>
        <w:t>109</w:t>
      </w:r>
      <w:r>
        <w:rPr>
          <w:rFonts w:ascii="Times New Roman" w:hAnsi="Times New Roman"/>
        </w:rPr>
        <w:t xml:space="preserve">/CE du Conseil du </w:t>
      </w:r>
      <w:r w:rsidRPr="00C94BF6">
        <w:rPr>
          <w:rFonts w:ascii="Times New Roman" w:hAnsi="Times New Roman"/>
        </w:rPr>
        <w:t>25</w:t>
      </w:r>
      <w:r>
        <w:rPr>
          <w:rFonts w:ascii="Times New Roman" w:hAnsi="Times New Roman"/>
        </w:rPr>
        <w:t> novembre </w:t>
      </w:r>
      <w:r w:rsidRPr="00C94BF6">
        <w:rPr>
          <w:rFonts w:ascii="Times New Roman" w:hAnsi="Times New Roman"/>
        </w:rPr>
        <w:t>2003</w:t>
      </w:r>
      <w:r>
        <w:rPr>
          <w:rFonts w:ascii="Times New Roman" w:hAnsi="Times New Roman"/>
        </w:rPr>
        <w:t xml:space="preserve"> relative au statut des ressortissants de pays tiers résidents de longue durée;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la directive </w:t>
      </w:r>
      <w:r w:rsidRPr="00C94BF6">
        <w:rPr>
          <w:rFonts w:ascii="Times New Roman" w:hAnsi="Times New Roman"/>
        </w:rPr>
        <w:t>2009</w:t>
      </w:r>
      <w:r>
        <w:rPr>
          <w:rFonts w:ascii="Times New Roman" w:hAnsi="Times New Roman"/>
        </w:rPr>
        <w:t>/</w:t>
      </w:r>
      <w:r w:rsidRPr="00C94BF6">
        <w:rPr>
          <w:rFonts w:ascii="Times New Roman" w:hAnsi="Times New Roman"/>
        </w:rPr>
        <w:t>50</w:t>
      </w:r>
      <w:r>
        <w:rPr>
          <w:rFonts w:ascii="Times New Roman" w:hAnsi="Times New Roman"/>
        </w:rPr>
        <w:t xml:space="preserve">/CE du Conseil du </w:t>
      </w:r>
      <w:r w:rsidRPr="00C94BF6">
        <w:rPr>
          <w:rFonts w:ascii="Times New Roman" w:hAnsi="Times New Roman"/>
        </w:rPr>
        <w:t>25</w:t>
      </w:r>
      <w:r>
        <w:rPr>
          <w:rFonts w:ascii="Times New Roman" w:hAnsi="Times New Roman"/>
        </w:rPr>
        <w:t xml:space="preserve"> mai </w:t>
      </w:r>
      <w:r w:rsidRPr="00C94BF6">
        <w:rPr>
          <w:rFonts w:ascii="Times New Roman" w:hAnsi="Times New Roman"/>
        </w:rPr>
        <w:t>2009</w:t>
      </w:r>
      <w:r>
        <w:rPr>
          <w:rFonts w:ascii="Times New Roman" w:hAnsi="Times New Roman"/>
        </w:rPr>
        <w:t xml:space="preserve"> établissant les conditions d’entrée et de séjour des ressortissants de pays tiers aux fins d’un emploi hautement qualifié (directive «carte bleue européenne»);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la directive </w:t>
      </w:r>
      <w:r w:rsidRPr="00C94BF6">
        <w:rPr>
          <w:rFonts w:ascii="Times New Roman" w:hAnsi="Times New Roman"/>
        </w:rPr>
        <w:t>2011</w:t>
      </w:r>
      <w:r>
        <w:rPr>
          <w:rFonts w:ascii="Times New Roman" w:hAnsi="Times New Roman"/>
        </w:rPr>
        <w:t>/</w:t>
      </w:r>
      <w:r w:rsidRPr="00C94BF6">
        <w:rPr>
          <w:rFonts w:ascii="Times New Roman" w:hAnsi="Times New Roman"/>
        </w:rPr>
        <w:t>98</w:t>
      </w:r>
      <w:r>
        <w:rPr>
          <w:rFonts w:ascii="Times New Roman" w:hAnsi="Times New Roman"/>
        </w:rPr>
        <w:t xml:space="preserve">/UE du Parlement européen et du Conseil du </w:t>
      </w:r>
      <w:r w:rsidRPr="00C94BF6">
        <w:rPr>
          <w:rFonts w:ascii="Times New Roman" w:hAnsi="Times New Roman"/>
        </w:rPr>
        <w:t>13</w:t>
      </w:r>
      <w:r>
        <w:rPr>
          <w:rFonts w:ascii="Times New Roman" w:hAnsi="Times New Roman"/>
        </w:rPr>
        <w:t xml:space="preserve"> décembre </w:t>
      </w:r>
      <w:r w:rsidRPr="00C94BF6">
        <w:rPr>
          <w:rFonts w:ascii="Times New Roman" w:hAnsi="Times New Roman"/>
        </w:rPr>
        <w:t>2011</w:t>
      </w:r>
      <w:r>
        <w:rPr>
          <w:rFonts w:ascii="Times New Roman" w:hAnsi="Times New Roman"/>
        </w:rPr>
        <w:t xml:space="preserve">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la directive </w:t>
      </w:r>
      <w:r w:rsidRPr="00C94BF6">
        <w:rPr>
          <w:rFonts w:ascii="Times New Roman" w:hAnsi="Times New Roman"/>
        </w:rPr>
        <w:t>2014</w:t>
      </w:r>
      <w:r>
        <w:rPr>
          <w:rFonts w:ascii="Times New Roman" w:hAnsi="Times New Roman"/>
        </w:rPr>
        <w:t>/</w:t>
      </w:r>
      <w:r w:rsidRPr="00C94BF6">
        <w:rPr>
          <w:rFonts w:ascii="Times New Roman" w:hAnsi="Times New Roman"/>
        </w:rPr>
        <w:t>36</w:t>
      </w:r>
      <w:r>
        <w:rPr>
          <w:rFonts w:ascii="Times New Roman" w:hAnsi="Times New Roman"/>
        </w:rPr>
        <w:t xml:space="preserve">/UE du Parlement européen et du Conseil du </w:t>
      </w:r>
      <w:r w:rsidRPr="00C94BF6">
        <w:rPr>
          <w:rFonts w:ascii="Times New Roman" w:hAnsi="Times New Roman"/>
        </w:rPr>
        <w:t>26</w:t>
      </w:r>
      <w:r>
        <w:rPr>
          <w:rFonts w:ascii="Times New Roman" w:hAnsi="Times New Roman"/>
        </w:rPr>
        <w:t xml:space="preserve"> février </w:t>
      </w:r>
      <w:r w:rsidRPr="00C94BF6">
        <w:rPr>
          <w:rFonts w:ascii="Times New Roman" w:hAnsi="Times New Roman"/>
        </w:rPr>
        <w:t>2014</w:t>
      </w:r>
      <w:r>
        <w:rPr>
          <w:rFonts w:ascii="Times New Roman" w:hAnsi="Times New Roman"/>
        </w:rPr>
        <w:t xml:space="preserve"> établissant les conditions d’entrée et de séjour des ressortissants de pays tiers aux fins d’un emploi en tant que travailleur saisonnier;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la directive </w:t>
      </w:r>
      <w:r w:rsidRPr="00C94BF6">
        <w:rPr>
          <w:rFonts w:ascii="Times New Roman" w:hAnsi="Times New Roman"/>
        </w:rPr>
        <w:t>2014</w:t>
      </w:r>
      <w:r>
        <w:rPr>
          <w:rFonts w:ascii="Times New Roman" w:hAnsi="Times New Roman"/>
        </w:rPr>
        <w:t>/</w:t>
      </w:r>
      <w:r w:rsidRPr="00C94BF6">
        <w:rPr>
          <w:rFonts w:ascii="Times New Roman" w:hAnsi="Times New Roman"/>
        </w:rPr>
        <w:t>66</w:t>
      </w:r>
      <w:r>
        <w:rPr>
          <w:rFonts w:ascii="Times New Roman" w:hAnsi="Times New Roman"/>
        </w:rPr>
        <w:t xml:space="preserve">/UE du Parlement européen et du Conseil du </w:t>
      </w:r>
      <w:r w:rsidRPr="00C94BF6">
        <w:rPr>
          <w:rFonts w:ascii="Times New Roman" w:hAnsi="Times New Roman"/>
        </w:rPr>
        <w:t>15</w:t>
      </w:r>
      <w:r>
        <w:rPr>
          <w:rFonts w:ascii="Times New Roman" w:hAnsi="Times New Roman"/>
        </w:rPr>
        <w:t xml:space="preserve"> mai </w:t>
      </w:r>
      <w:r w:rsidRPr="00C94BF6">
        <w:rPr>
          <w:rFonts w:ascii="Times New Roman" w:hAnsi="Times New Roman"/>
        </w:rPr>
        <w:t>2014</w:t>
      </w:r>
      <w:r>
        <w:rPr>
          <w:rFonts w:ascii="Times New Roman" w:hAnsi="Times New Roman"/>
        </w:rPr>
        <w:t xml:space="preserve"> établissant les conditions d’entrée et de séjour des ressortissants de pays tiers dans le cadre d’un transfert temporaire intragroupe; </w:t>
      </w:r>
    </w:p>
    <w:p w:rsidR="00B80383" w:rsidRDefault="00B80383">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la directive (UE) </w:t>
      </w:r>
      <w:r w:rsidRPr="00C94BF6">
        <w:rPr>
          <w:rFonts w:ascii="Times New Roman" w:hAnsi="Times New Roman"/>
        </w:rPr>
        <w:t>2016</w:t>
      </w:r>
      <w:r>
        <w:rPr>
          <w:rFonts w:ascii="Times New Roman" w:hAnsi="Times New Roman"/>
        </w:rPr>
        <w:t>/</w:t>
      </w:r>
      <w:r w:rsidRPr="00C94BF6">
        <w:rPr>
          <w:rFonts w:ascii="Times New Roman" w:hAnsi="Times New Roman"/>
        </w:rPr>
        <w:t>801</w:t>
      </w:r>
      <w:r>
        <w:rPr>
          <w:rFonts w:ascii="Times New Roman" w:hAnsi="Times New Roman"/>
        </w:rPr>
        <w:t xml:space="preserve"> du Parlement européen et du Conseil du </w:t>
      </w:r>
      <w:r w:rsidRPr="00C94BF6">
        <w:rPr>
          <w:rFonts w:ascii="Times New Roman" w:hAnsi="Times New Roman"/>
        </w:rPr>
        <w:t>11</w:t>
      </w:r>
      <w:r>
        <w:rPr>
          <w:rFonts w:ascii="Times New Roman" w:hAnsi="Times New Roman"/>
        </w:rPr>
        <w:t xml:space="preserve"> mai </w:t>
      </w:r>
      <w:r w:rsidRPr="00C94BF6">
        <w:rPr>
          <w:rFonts w:ascii="Times New Roman" w:hAnsi="Times New Roman"/>
        </w:rPr>
        <w:t>2016</w:t>
      </w:r>
      <w:r>
        <w:rPr>
          <w:rFonts w:ascii="Times New Roman" w:hAnsi="Times New Roman"/>
        </w:rPr>
        <w:t xml:space="preserve"> relative aux conditions d’entrée et de séjour des ressortissants de pays tiers à des fins de recherche, d’études, de formation, de volontariat et de programmes d’échange d’élèves ou de projets éducatifs et de travail au pair.</w:t>
      </w:r>
    </w:p>
    <w:p w:rsidR="00B80383" w:rsidRDefault="00B80383">
      <w:pPr>
        <w:pStyle w:val="FootnoteText"/>
      </w:pPr>
      <w:r>
        <w:t xml:space="preserve"> </w:t>
      </w:r>
    </w:p>
  </w:footnote>
  <w:footnote w:id="29">
    <w:p w:rsidR="00B80383" w:rsidRPr="00D9324A" w:rsidRDefault="00B80383">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À titre d’exemple, sur la santé et la sécurité au travail (directive-cadre </w:t>
      </w:r>
      <w:r w:rsidRPr="00C94BF6">
        <w:rPr>
          <w:rFonts w:ascii="Times New Roman" w:hAnsi="Times New Roman"/>
        </w:rPr>
        <w:t>89</w:t>
      </w:r>
      <w:r>
        <w:rPr>
          <w:rFonts w:ascii="Times New Roman" w:hAnsi="Times New Roman"/>
        </w:rPr>
        <w:t>/</w:t>
      </w:r>
      <w:r w:rsidRPr="00C94BF6">
        <w:rPr>
          <w:rFonts w:ascii="Times New Roman" w:hAnsi="Times New Roman"/>
        </w:rPr>
        <w:t>391</w:t>
      </w:r>
      <w:r>
        <w:rPr>
          <w:rFonts w:ascii="Times New Roman" w:hAnsi="Times New Roman"/>
        </w:rPr>
        <w:t xml:space="preserve">/CEE et </w:t>
      </w:r>
      <w:r w:rsidRPr="00C94BF6">
        <w:rPr>
          <w:rFonts w:ascii="Times New Roman" w:hAnsi="Times New Roman"/>
        </w:rPr>
        <w:t>25</w:t>
      </w:r>
      <w:r>
        <w:rPr>
          <w:rFonts w:ascii="Times New Roman" w:hAnsi="Times New Roman"/>
        </w:rPr>
        <w:t xml:space="preserve"> directives connexes), et les conditions de travail: directive </w:t>
      </w:r>
      <w:r w:rsidRPr="00C94BF6">
        <w:rPr>
          <w:rFonts w:ascii="Times New Roman" w:hAnsi="Times New Roman"/>
        </w:rPr>
        <w:t>91</w:t>
      </w:r>
      <w:r>
        <w:rPr>
          <w:rFonts w:ascii="Times New Roman" w:hAnsi="Times New Roman"/>
        </w:rPr>
        <w:t>/</w:t>
      </w:r>
      <w:r w:rsidRPr="00C94BF6">
        <w:rPr>
          <w:rFonts w:ascii="Times New Roman" w:hAnsi="Times New Roman"/>
        </w:rPr>
        <w:t>533</w:t>
      </w:r>
      <w:r>
        <w:rPr>
          <w:rFonts w:ascii="Times New Roman" w:hAnsi="Times New Roman"/>
        </w:rPr>
        <w:t xml:space="preserve">/CEE (déclaration écrite); directive </w:t>
      </w:r>
      <w:r w:rsidRPr="00C94BF6">
        <w:rPr>
          <w:rFonts w:ascii="Times New Roman" w:hAnsi="Times New Roman"/>
        </w:rPr>
        <w:t>94</w:t>
      </w:r>
      <w:r>
        <w:rPr>
          <w:rFonts w:ascii="Times New Roman" w:hAnsi="Times New Roman"/>
        </w:rPr>
        <w:t>/</w:t>
      </w:r>
      <w:r w:rsidRPr="00C94BF6">
        <w:rPr>
          <w:rFonts w:ascii="Times New Roman" w:hAnsi="Times New Roman"/>
        </w:rPr>
        <w:t>33</w:t>
      </w:r>
      <w:r>
        <w:rPr>
          <w:rFonts w:ascii="Times New Roman" w:hAnsi="Times New Roman"/>
        </w:rPr>
        <w:t xml:space="preserve">/CE (jeunes au travail); directive </w:t>
      </w:r>
      <w:r w:rsidRPr="00C94BF6">
        <w:rPr>
          <w:rFonts w:ascii="Times New Roman" w:hAnsi="Times New Roman"/>
        </w:rPr>
        <w:t>2008</w:t>
      </w:r>
      <w:r>
        <w:rPr>
          <w:rFonts w:ascii="Times New Roman" w:hAnsi="Times New Roman"/>
        </w:rPr>
        <w:t>/</w:t>
      </w:r>
      <w:r w:rsidRPr="00C94BF6">
        <w:rPr>
          <w:rFonts w:ascii="Times New Roman" w:hAnsi="Times New Roman"/>
        </w:rPr>
        <w:t>104</w:t>
      </w:r>
      <w:r>
        <w:rPr>
          <w:rFonts w:ascii="Times New Roman" w:hAnsi="Times New Roman"/>
        </w:rPr>
        <w:t xml:space="preserve">/CE (travail intérimaire); directive </w:t>
      </w:r>
      <w:r w:rsidRPr="00C94BF6">
        <w:rPr>
          <w:rFonts w:ascii="Times New Roman" w:hAnsi="Times New Roman"/>
        </w:rPr>
        <w:t>2008</w:t>
      </w:r>
      <w:r>
        <w:rPr>
          <w:rFonts w:ascii="Times New Roman" w:hAnsi="Times New Roman"/>
        </w:rPr>
        <w:t>/</w:t>
      </w:r>
      <w:r w:rsidRPr="00C94BF6">
        <w:rPr>
          <w:rFonts w:ascii="Times New Roman" w:hAnsi="Times New Roman"/>
        </w:rPr>
        <w:t>94</w:t>
      </w:r>
      <w:r>
        <w:rPr>
          <w:rFonts w:ascii="Times New Roman" w:hAnsi="Times New Roman"/>
        </w:rPr>
        <w:t xml:space="preserve">/CE (protection des travailleurs salariés en cas d’insolvabilité de l’employeur); directive </w:t>
      </w:r>
      <w:r w:rsidRPr="00C94BF6">
        <w:rPr>
          <w:rFonts w:ascii="Times New Roman" w:hAnsi="Times New Roman"/>
        </w:rPr>
        <w:t>1997</w:t>
      </w:r>
      <w:r>
        <w:rPr>
          <w:rFonts w:ascii="Times New Roman" w:hAnsi="Times New Roman"/>
        </w:rPr>
        <w:t>/</w:t>
      </w:r>
      <w:r w:rsidRPr="00C94BF6">
        <w:rPr>
          <w:rFonts w:ascii="Times New Roman" w:hAnsi="Times New Roman"/>
        </w:rPr>
        <w:t>81</w:t>
      </w:r>
      <w:r>
        <w:rPr>
          <w:rFonts w:ascii="Times New Roman" w:hAnsi="Times New Roman"/>
        </w:rPr>
        <w:t xml:space="preserve">/CE (travail à temps partiel); directive </w:t>
      </w:r>
      <w:r w:rsidRPr="00C94BF6">
        <w:rPr>
          <w:rFonts w:ascii="Times New Roman" w:hAnsi="Times New Roman"/>
        </w:rPr>
        <w:t>1999</w:t>
      </w:r>
      <w:r>
        <w:rPr>
          <w:rFonts w:ascii="Times New Roman" w:hAnsi="Times New Roman"/>
        </w:rPr>
        <w:t>/</w:t>
      </w:r>
      <w:r w:rsidRPr="00C94BF6">
        <w:rPr>
          <w:rFonts w:ascii="Times New Roman" w:hAnsi="Times New Roman"/>
        </w:rPr>
        <w:t>70</w:t>
      </w:r>
      <w:r>
        <w:rPr>
          <w:rFonts w:ascii="Times New Roman" w:hAnsi="Times New Roman"/>
        </w:rPr>
        <w:t xml:space="preserve">/CE (travail à durée déterminée); directive </w:t>
      </w:r>
      <w:r w:rsidRPr="00C94BF6">
        <w:rPr>
          <w:rFonts w:ascii="Times New Roman" w:hAnsi="Times New Roman"/>
        </w:rPr>
        <w:t>2002</w:t>
      </w:r>
      <w:r>
        <w:rPr>
          <w:rFonts w:ascii="Times New Roman" w:hAnsi="Times New Roman"/>
        </w:rPr>
        <w:t>/</w:t>
      </w:r>
      <w:r w:rsidRPr="00C94BF6">
        <w:rPr>
          <w:rFonts w:ascii="Times New Roman" w:hAnsi="Times New Roman"/>
        </w:rPr>
        <w:t>14</w:t>
      </w:r>
      <w:r>
        <w:rPr>
          <w:rFonts w:ascii="Times New Roman" w:hAnsi="Times New Roman"/>
        </w:rPr>
        <w:t xml:space="preserve">/CE (information et consultation); directive </w:t>
      </w:r>
      <w:r w:rsidRPr="00C94BF6">
        <w:rPr>
          <w:rFonts w:ascii="Times New Roman" w:hAnsi="Times New Roman"/>
        </w:rPr>
        <w:t>2003</w:t>
      </w:r>
      <w:r>
        <w:rPr>
          <w:rFonts w:ascii="Times New Roman" w:hAnsi="Times New Roman"/>
        </w:rPr>
        <w:t>/</w:t>
      </w:r>
      <w:r w:rsidRPr="00C94BF6">
        <w:rPr>
          <w:rFonts w:ascii="Times New Roman" w:hAnsi="Times New Roman"/>
        </w:rPr>
        <w:t>88</w:t>
      </w:r>
      <w:r>
        <w:rPr>
          <w:rFonts w:ascii="Times New Roman" w:hAnsi="Times New Roman"/>
        </w:rPr>
        <w:t>/CE (temps de travail).</w:t>
      </w:r>
      <w:r>
        <w:t xml:space="preserve">  </w:t>
      </w:r>
    </w:p>
  </w:footnote>
  <w:footnote w:id="30">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Recommandation du Conseil du </w:t>
      </w:r>
      <w:r w:rsidRPr="00C94BF6">
        <w:rPr>
          <w:rFonts w:ascii="Times New Roman" w:hAnsi="Times New Roman"/>
        </w:rPr>
        <w:t>22</w:t>
      </w:r>
      <w:r>
        <w:rPr>
          <w:rFonts w:ascii="Times New Roman" w:hAnsi="Times New Roman"/>
        </w:rPr>
        <w:t> avril </w:t>
      </w:r>
      <w:r w:rsidRPr="00C94BF6">
        <w:rPr>
          <w:rFonts w:ascii="Times New Roman" w:hAnsi="Times New Roman"/>
        </w:rPr>
        <w:t>2013</w:t>
      </w:r>
      <w:r>
        <w:rPr>
          <w:rFonts w:ascii="Times New Roman" w:hAnsi="Times New Roman"/>
        </w:rPr>
        <w:t xml:space="preserve"> sur l’établissement d’une garantie pour la jeunesse (</w:t>
      </w:r>
      <w:r w:rsidRPr="00C94BF6">
        <w:rPr>
          <w:rFonts w:ascii="Times New Roman" w:hAnsi="Times New Roman"/>
        </w:rPr>
        <w:t>2013</w:t>
      </w:r>
      <w:r>
        <w:rPr>
          <w:rFonts w:ascii="Times New Roman" w:hAnsi="Times New Roman"/>
        </w:rPr>
        <w:t xml:space="preserve">/C </w:t>
      </w:r>
      <w:r w:rsidRPr="00C94BF6">
        <w:rPr>
          <w:rFonts w:ascii="Times New Roman" w:hAnsi="Times New Roman"/>
        </w:rPr>
        <w:t>120</w:t>
      </w:r>
      <w:r>
        <w:rPr>
          <w:rFonts w:ascii="Times New Roman" w:hAnsi="Times New Roman"/>
        </w:rPr>
        <w:t>/</w:t>
      </w:r>
      <w:r w:rsidRPr="00C94BF6">
        <w:rPr>
          <w:rFonts w:ascii="Times New Roman" w:hAnsi="Times New Roman"/>
        </w:rPr>
        <w:t>01</w:t>
      </w:r>
      <w:r>
        <w:rPr>
          <w:rFonts w:ascii="Times New Roman" w:hAnsi="Times New Roman"/>
        </w:rPr>
        <w:t>).</w:t>
      </w:r>
    </w:p>
  </w:footnote>
  <w:footnote w:id="31">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Emphasis"/>
          <w:rFonts w:ascii="Times New Roman" w:hAnsi="Times New Roman"/>
          <w:i w:val="0"/>
        </w:rPr>
        <w:t xml:space="preserve">Recommandation du Conseil du </w:t>
      </w:r>
      <w:r w:rsidRPr="00C94BF6">
        <w:rPr>
          <w:rStyle w:val="Emphasis"/>
          <w:rFonts w:ascii="Times New Roman" w:hAnsi="Times New Roman"/>
          <w:i w:val="0"/>
        </w:rPr>
        <w:t>15</w:t>
      </w:r>
      <w:r>
        <w:rPr>
          <w:rStyle w:val="Emphasis"/>
          <w:rFonts w:ascii="Times New Roman" w:hAnsi="Times New Roman"/>
          <w:i w:val="0"/>
        </w:rPr>
        <w:t xml:space="preserve"> février </w:t>
      </w:r>
      <w:r w:rsidRPr="00C94BF6">
        <w:rPr>
          <w:rStyle w:val="Emphasis"/>
          <w:rFonts w:ascii="Times New Roman" w:hAnsi="Times New Roman"/>
          <w:i w:val="0"/>
        </w:rPr>
        <w:t>2016</w:t>
      </w:r>
      <w:r>
        <w:rPr>
          <w:rStyle w:val="Emphasis"/>
          <w:rFonts w:ascii="Times New Roman" w:hAnsi="Times New Roman"/>
          <w:i w:val="0"/>
        </w:rPr>
        <w:t xml:space="preserve"> relative à l’intégration des chômeurs de longue durée sur le marché du travail (</w:t>
      </w:r>
      <w:r w:rsidRPr="00C94BF6">
        <w:rPr>
          <w:rStyle w:val="Emphasis"/>
          <w:rFonts w:ascii="Times New Roman" w:hAnsi="Times New Roman"/>
          <w:i w:val="0"/>
        </w:rPr>
        <w:t>2016</w:t>
      </w:r>
      <w:r>
        <w:rPr>
          <w:rStyle w:val="Emphasis"/>
          <w:rFonts w:ascii="Times New Roman" w:hAnsi="Times New Roman"/>
          <w:i w:val="0"/>
        </w:rPr>
        <w:t>/C </w:t>
      </w:r>
      <w:r w:rsidRPr="00C94BF6">
        <w:rPr>
          <w:rStyle w:val="Emphasis"/>
          <w:rFonts w:ascii="Times New Roman" w:hAnsi="Times New Roman"/>
          <w:i w:val="0"/>
        </w:rPr>
        <w:t>67</w:t>
      </w:r>
      <w:r>
        <w:rPr>
          <w:rStyle w:val="Emphasis"/>
          <w:rFonts w:ascii="Times New Roman" w:hAnsi="Times New Roman"/>
          <w:i w:val="0"/>
        </w:rPr>
        <w:t>/</w:t>
      </w:r>
      <w:r w:rsidRPr="00C94BF6">
        <w:rPr>
          <w:rStyle w:val="Emphasis"/>
          <w:rFonts w:ascii="Times New Roman" w:hAnsi="Times New Roman"/>
          <w:i w:val="0"/>
        </w:rPr>
        <w:t>01</w:t>
      </w:r>
      <w:r>
        <w:rPr>
          <w:rStyle w:val="Emphasis"/>
          <w:rFonts w:ascii="Times New Roman" w:hAnsi="Times New Roman"/>
          <w:i w:val="0"/>
        </w:rPr>
        <w:t>).</w:t>
      </w:r>
    </w:p>
  </w:footnote>
  <w:footnote w:id="32">
    <w:p w:rsidR="00B80383" w:rsidRDefault="00B80383">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Recommandation du Conseil du </w:t>
      </w:r>
      <w:r w:rsidRPr="00C94BF6">
        <w:rPr>
          <w:rFonts w:ascii="Times New Roman" w:hAnsi="Times New Roman"/>
        </w:rPr>
        <w:t>19</w:t>
      </w:r>
      <w:r>
        <w:rPr>
          <w:rFonts w:ascii="Times New Roman" w:hAnsi="Times New Roman"/>
        </w:rPr>
        <w:t xml:space="preserve"> décembre </w:t>
      </w:r>
      <w:r w:rsidRPr="00C94BF6">
        <w:rPr>
          <w:rFonts w:ascii="Times New Roman" w:hAnsi="Times New Roman"/>
        </w:rPr>
        <w:t>2016</w:t>
      </w:r>
      <w:r>
        <w:rPr>
          <w:rFonts w:ascii="Times New Roman" w:hAnsi="Times New Roman"/>
        </w:rPr>
        <w:t xml:space="preserve"> relative à des parcours de renforcement des compétences: de nouvelles perspectives pour les adultes (</w:t>
      </w:r>
      <w:r w:rsidRPr="00C94BF6">
        <w:rPr>
          <w:rFonts w:ascii="Times New Roman" w:hAnsi="Times New Roman"/>
        </w:rPr>
        <w:t>2016</w:t>
      </w:r>
      <w:r>
        <w:rPr>
          <w:rFonts w:ascii="Times New Roman" w:hAnsi="Times New Roman"/>
        </w:rPr>
        <w:t>/C</w:t>
      </w:r>
      <w:r w:rsidRPr="00C94BF6">
        <w:rPr>
          <w:rFonts w:ascii="Times New Roman" w:hAnsi="Times New Roman"/>
        </w:rPr>
        <w:t>484</w:t>
      </w:r>
      <w:r>
        <w:rPr>
          <w:rFonts w:ascii="Times New Roman" w:hAnsi="Times New Roman"/>
        </w:rPr>
        <w:t>/</w:t>
      </w:r>
      <w:r w:rsidRPr="00C94BF6">
        <w:rPr>
          <w:rFonts w:ascii="Times New Roman" w:hAnsi="Times New Roman"/>
        </w:rPr>
        <w:t>01</w:t>
      </w:r>
      <w:r>
        <w:rPr>
          <w:rFonts w:ascii="Times New Roman" w:hAnsi="Times New Roman"/>
        </w:rPr>
        <w:t>).</w:t>
      </w:r>
    </w:p>
  </w:footnote>
  <w:footnote w:id="33">
    <w:p w:rsidR="00B80383" w:rsidRPr="00390A54" w:rsidRDefault="00B80383" w:rsidP="00B05299">
      <w:pPr>
        <w:pStyle w:val="footnotetext1"/>
        <w:spacing w:after="0" w:line="240" w:lineRule="auto"/>
        <w:ind w:left="284" w:hanging="284"/>
        <w:jc w:val="both"/>
        <w:rPr>
          <w:rFonts w:ascii="Times New Roman" w:eastAsiaTheme="minorHAnsi"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t xml:space="preserve">Aux termes du principe </w:t>
      </w:r>
      <w:r w:rsidRPr="00C94BF6">
        <w:rPr>
          <w:rFonts w:ascii="Times New Roman" w:hAnsi="Times New Roman"/>
        </w:rPr>
        <w:t>7</w:t>
      </w:r>
      <w:r w:rsidRPr="00390A54">
        <w:rPr>
          <w:rFonts w:ascii="Times New Roman" w:hAnsi="Times New Roman"/>
        </w:rPr>
        <w:t> b du socle européen des droits sociaux: «Les travailleurs ont le droit d’être informés des raisons conduisant à leur licenciement, préalablement à celui-ci, et de recevoir un préavis raisonnable. Ils ont le droit d’avoir accès à un système de règlement des litiges efficace et impartial et de bénéficier, en cas de licenciement injustifié, d’un droit de recours, assorti d’une compensation adéquate.»</w:t>
      </w:r>
    </w:p>
  </w:footnote>
  <w:footnote w:id="34">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t xml:space="preserve">Directive </w:t>
      </w:r>
      <w:r w:rsidRPr="00C94BF6">
        <w:rPr>
          <w:rFonts w:ascii="Times New Roman" w:hAnsi="Times New Roman"/>
        </w:rPr>
        <w:t>97</w:t>
      </w:r>
      <w:r w:rsidRPr="00390A54">
        <w:rPr>
          <w:rFonts w:ascii="Times New Roman" w:hAnsi="Times New Roman"/>
        </w:rPr>
        <w:t>/</w:t>
      </w:r>
      <w:r w:rsidRPr="00C94BF6">
        <w:rPr>
          <w:rFonts w:ascii="Times New Roman" w:hAnsi="Times New Roman"/>
        </w:rPr>
        <w:t>81</w:t>
      </w:r>
      <w:r w:rsidRPr="00390A54">
        <w:rPr>
          <w:rFonts w:ascii="Times New Roman" w:hAnsi="Times New Roman"/>
        </w:rPr>
        <w:t xml:space="preserve">/CE du Conseil du </w:t>
      </w:r>
      <w:r w:rsidRPr="00C94BF6">
        <w:rPr>
          <w:rFonts w:ascii="Times New Roman" w:hAnsi="Times New Roman"/>
        </w:rPr>
        <w:t>15</w:t>
      </w:r>
      <w:r w:rsidRPr="00390A54">
        <w:rPr>
          <w:rFonts w:ascii="Times New Roman" w:hAnsi="Times New Roman"/>
        </w:rPr>
        <w:t xml:space="preserve"> décembre </w:t>
      </w:r>
      <w:r w:rsidRPr="00C94BF6">
        <w:rPr>
          <w:rFonts w:ascii="Times New Roman" w:hAnsi="Times New Roman"/>
        </w:rPr>
        <w:t>1997</w:t>
      </w:r>
      <w:r w:rsidRPr="00390A54">
        <w:rPr>
          <w:rFonts w:ascii="Times New Roman" w:hAnsi="Times New Roman"/>
        </w:rPr>
        <w:t xml:space="preserve"> concernant l’accord-cadre sur le travail à temps partiel conclu par l’UNICE, le CEEP et la CES.</w:t>
      </w:r>
    </w:p>
  </w:footnote>
  <w:footnote w:id="35">
    <w:p w:rsidR="00B80383" w:rsidRPr="00390A54" w:rsidRDefault="00B80383" w:rsidP="00B05299">
      <w:pPr>
        <w:spacing w:after="0" w:line="240" w:lineRule="auto"/>
        <w:ind w:left="284" w:hanging="284"/>
        <w:jc w:val="both"/>
        <w:rPr>
          <w:rFonts w:ascii="Times New Roman" w:hAnsi="Times New Roman" w:cs="Times New Roman"/>
          <w:sz w:val="20"/>
          <w:szCs w:val="20"/>
        </w:rPr>
      </w:pPr>
      <w:r w:rsidRPr="00390A54">
        <w:rPr>
          <w:rStyle w:val="FootnoteReference"/>
          <w:rFonts w:ascii="Times New Roman" w:hAnsi="Times New Roman" w:cs="Times New Roman"/>
          <w:sz w:val="20"/>
          <w:szCs w:val="20"/>
        </w:rPr>
        <w:footnoteRef/>
      </w:r>
      <w:r w:rsidRPr="00390A54">
        <w:rPr>
          <w:rFonts w:ascii="Times New Roman" w:hAnsi="Times New Roman"/>
          <w:sz w:val="20"/>
          <w:szCs w:val="20"/>
        </w:rPr>
        <w:t xml:space="preserve"> </w:t>
      </w:r>
      <w:r w:rsidRPr="00390A54">
        <w:rPr>
          <w:rFonts w:ascii="Times New Roman" w:hAnsi="Times New Roman"/>
          <w:sz w:val="20"/>
          <w:szCs w:val="20"/>
        </w:rPr>
        <w:tab/>
        <w:t xml:space="preserve">Directive </w:t>
      </w:r>
      <w:r w:rsidRPr="00C94BF6">
        <w:rPr>
          <w:rFonts w:ascii="Times New Roman" w:hAnsi="Times New Roman"/>
          <w:sz w:val="20"/>
          <w:szCs w:val="20"/>
        </w:rPr>
        <w:t>2006</w:t>
      </w:r>
      <w:r w:rsidRPr="00390A54">
        <w:rPr>
          <w:rFonts w:ascii="Times New Roman" w:hAnsi="Times New Roman"/>
          <w:sz w:val="20"/>
          <w:szCs w:val="20"/>
        </w:rPr>
        <w:t>/</w:t>
      </w:r>
      <w:r w:rsidRPr="00C94BF6">
        <w:rPr>
          <w:rFonts w:ascii="Times New Roman" w:hAnsi="Times New Roman"/>
          <w:sz w:val="20"/>
          <w:szCs w:val="20"/>
        </w:rPr>
        <w:t>54</w:t>
      </w:r>
      <w:r w:rsidRPr="00390A54">
        <w:rPr>
          <w:rFonts w:ascii="Times New Roman" w:hAnsi="Times New Roman"/>
          <w:sz w:val="20"/>
          <w:szCs w:val="20"/>
        </w:rPr>
        <w:t xml:space="preserve">/CE du Parlement européen et du Conseil du </w:t>
      </w:r>
      <w:r w:rsidRPr="00C94BF6">
        <w:rPr>
          <w:rFonts w:ascii="Times New Roman" w:hAnsi="Times New Roman"/>
          <w:sz w:val="20"/>
          <w:szCs w:val="20"/>
        </w:rPr>
        <w:t>5</w:t>
      </w:r>
      <w:r w:rsidRPr="00390A54">
        <w:rPr>
          <w:rFonts w:ascii="Times New Roman" w:hAnsi="Times New Roman"/>
          <w:sz w:val="20"/>
          <w:szCs w:val="20"/>
        </w:rPr>
        <w:t xml:space="preserve"> juillet </w:t>
      </w:r>
      <w:r w:rsidRPr="00C94BF6">
        <w:rPr>
          <w:rFonts w:ascii="Times New Roman" w:hAnsi="Times New Roman"/>
          <w:sz w:val="20"/>
          <w:szCs w:val="20"/>
        </w:rPr>
        <w:t>2006</w:t>
      </w:r>
      <w:r w:rsidRPr="00390A54">
        <w:rPr>
          <w:rFonts w:ascii="Times New Roman" w:hAnsi="Times New Roman"/>
          <w:sz w:val="20"/>
          <w:szCs w:val="20"/>
        </w:rPr>
        <w:t xml:space="preserve"> relative à la mise en œuvre du principe de l’égalité des chances et de l’égalité de traitement entre hommes et femmes en matière d’emploi et de travail (refonte).</w:t>
      </w:r>
    </w:p>
  </w:footnote>
  <w:footnote w:id="36">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r>
      <w:r w:rsidRPr="00390A54">
        <w:rPr>
          <w:rFonts w:ascii="Times New Roman" w:hAnsi="Times New Roman"/>
          <w:shd w:val="clear" w:color="auto" w:fill="FFFFFF"/>
        </w:rPr>
        <w:t xml:space="preserve">Directive </w:t>
      </w:r>
      <w:r w:rsidRPr="00C94BF6">
        <w:rPr>
          <w:rFonts w:ascii="Times New Roman" w:hAnsi="Times New Roman"/>
          <w:shd w:val="clear" w:color="auto" w:fill="FFFFFF"/>
        </w:rPr>
        <w:t>2010</w:t>
      </w:r>
      <w:r w:rsidRPr="00390A54">
        <w:rPr>
          <w:rFonts w:ascii="Times New Roman" w:hAnsi="Times New Roman"/>
          <w:shd w:val="clear" w:color="auto" w:fill="FFFFFF"/>
        </w:rPr>
        <w:t>/</w:t>
      </w:r>
      <w:r w:rsidRPr="00C94BF6">
        <w:rPr>
          <w:rFonts w:ascii="Times New Roman" w:hAnsi="Times New Roman"/>
          <w:shd w:val="clear" w:color="auto" w:fill="FFFFFF"/>
        </w:rPr>
        <w:t>41</w:t>
      </w:r>
      <w:r w:rsidRPr="00390A54">
        <w:rPr>
          <w:rFonts w:ascii="Times New Roman" w:hAnsi="Times New Roman"/>
          <w:shd w:val="clear" w:color="auto" w:fill="FFFFFF"/>
        </w:rPr>
        <w:t xml:space="preserve">/UE du Parlement européen et du Conseil du </w:t>
      </w:r>
      <w:r w:rsidRPr="00C94BF6">
        <w:rPr>
          <w:rFonts w:ascii="Times New Roman" w:hAnsi="Times New Roman"/>
          <w:shd w:val="clear" w:color="auto" w:fill="FFFFFF"/>
        </w:rPr>
        <w:t>7</w:t>
      </w:r>
      <w:r w:rsidRPr="00390A54">
        <w:rPr>
          <w:rFonts w:ascii="Times New Roman" w:hAnsi="Times New Roman"/>
          <w:shd w:val="clear" w:color="auto" w:fill="FFFFFF"/>
        </w:rPr>
        <w:t xml:space="preserve"> juillet </w:t>
      </w:r>
      <w:r w:rsidRPr="00C94BF6">
        <w:rPr>
          <w:rFonts w:ascii="Times New Roman" w:hAnsi="Times New Roman"/>
          <w:shd w:val="clear" w:color="auto" w:fill="FFFFFF"/>
        </w:rPr>
        <w:t>2010</w:t>
      </w:r>
      <w:r w:rsidRPr="00390A54">
        <w:rPr>
          <w:rFonts w:ascii="Times New Roman" w:hAnsi="Times New Roman"/>
          <w:shd w:val="clear" w:color="auto" w:fill="FFFFFF"/>
        </w:rPr>
        <w:t xml:space="preserve"> concernant l’application du principe de l’égalité de traitement entre hommes et femmes exerçant une activité indépendante, et abrogeant la directive </w:t>
      </w:r>
      <w:r w:rsidRPr="00C94BF6">
        <w:rPr>
          <w:rFonts w:ascii="Times New Roman" w:hAnsi="Times New Roman"/>
          <w:shd w:val="clear" w:color="auto" w:fill="FFFFFF"/>
        </w:rPr>
        <w:t>86</w:t>
      </w:r>
      <w:r w:rsidRPr="00390A54">
        <w:rPr>
          <w:rFonts w:ascii="Times New Roman" w:hAnsi="Times New Roman"/>
          <w:shd w:val="clear" w:color="auto" w:fill="FFFFFF"/>
        </w:rPr>
        <w:t>/</w:t>
      </w:r>
      <w:r w:rsidRPr="00C94BF6">
        <w:rPr>
          <w:rFonts w:ascii="Times New Roman" w:hAnsi="Times New Roman"/>
          <w:shd w:val="clear" w:color="auto" w:fill="FFFFFF"/>
        </w:rPr>
        <w:t>613</w:t>
      </w:r>
      <w:r w:rsidRPr="00390A54">
        <w:rPr>
          <w:rFonts w:ascii="Times New Roman" w:hAnsi="Times New Roman"/>
          <w:shd w:val="clear" w:color="auto" w:fill="FFFFFF"/>
        </w:rPr>
        <w:t>/CEE du Conseil.</w:t>
      </w:r>
    </w:p>
  </w:footnote>
  <w:footnote w:id="37">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r>
      <w:hyperlink r:id="rId7" w:history="1">
        <w:r w:rsidRPr="00390A54">
          <w:rPr>
            <w:rStyle w:val="Hyperlink"/>
            <w:rFonts w:ascii="Times New Roman" w:hAnsi="Times New Roman"/>
          </w:rPr>
          <w:t>COM (</w:t>
        </w:r>
        <w:r w:rsidRPr="00C94BF6">
          <w:rPr>
            <w:rStyle w:val="Hyperlink"/>
            <w:rFonts w:ascii="Times New Roman" w:hAnsi="Times New Roman"/>
          </w:rPr>
          <w:t>2017</w:t>
        </w:r>
        <w:r w:rsidRPr="00390A54">
          <w:rPr>
            <w:rStyle w:val="Hyperlink"/>
            <w:rFonts w:ascii="Times New Roman" w:hAnsi="Times New Roman"/>
          </w:rPr>
          <w:t xml:space="preserve">) </w:t>
        </w:r>
        <w:r w:rsidRPr="00C94BF6">
          <w:rPr>
            <w:rStyle w:val="Hyperlink"/>
            <w:rFonts w:ascii="Times New Roman" w:hAnsi="Times New Roman"/>
          </w:rPr>
          <w:t>797</w:t>
        </w:r>
      </w:hyperlink>
      <w:r w:rsidRPr="00390A54">
        <w:t>.</w:t>
      </w:r>
    </w:p>
  </w:footnote>
  <w:footnote w:id="38">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r>
      <w:hyperlink r:id="rId8" w:history="1">
        <w:r w:rsidRPr="00390A54">
          <w:rPr>
            <w:rStyle w:val="Hyperlink"/>
            <w:rFonts w:ascii="Times New Roman" w:hAnsi="Times New Roman"/>
          </w:rPr>
          <w:t>COM (</w:t>
        </w:r>
        <w:r w:rsidRPr="00C94BF6">
          <w:rPr>
            <w:rStyle w:val="Hyperlink"/>
            <w:rFonts w:ascii="Times New Roman" w:hAnsi="Times New Roman"/>
          </w:rPr>
          <w:t>2017</w:t>
        </w:r>
        <w:r w:rsidRPr="00390A54">
          <w:rPr>
            <w:rStyle w:val="Hyperlink"/>
            <w:rFonts w:ascii="Times New Roman" w:hAnsi="Times New Roman"/>
          </w:rPr>
          <w:t xml:space="preserve">) </w:t>
        </w:r>
        <w:r w:rsidRPr="00C94BF6">
          <w:rPr>
            <w:rStyle w:val="Hyperlink"/>
            <w:rFonts w:ascii="Times New Roman" w:hAnsi="Times New Roman"/>
          </w:rPr>
          <w:t>253</w:t>
        </w:r>
      </w:hyperlink>
      <w:r w:rsidRPr="00390A54">
        <w:rPr>
          <w:rFonts w:ascii="Times New Roman" w:hAnsi="Times New Roman"/>
        </w:rPr>
        <w:t>.</w:t>
      </w:r>
    </w:p>
  </w:footnote>
  <w:footnote w:id="39">
    <w:p w:rsidR="00B80383" w:rsidRPr="00390A54" w:rsidRDefault="00B80383" w:rsidP="00B05299">
      <w:pPr>
        <w:pStyle w:val="footnotetext1"/>
        <w:spacing w:after="0" w:line="240" w:lineRule="auto"/>
        <w:ind w:left="284" w:hanging="284"/>
        <w:jc w:val="both"/>
        <w:rPr>
          <w:rFonts w:ascii="Times New Roman" w:eastAsiaTheme="minorHAnsi"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t xml:space="preserve">Aux termes du principe </w:t>
      </w:r>
      <w:r w:rsidRPr="00C94BF6">
        <w:rPr>
          <w:rFonts w:ascii="Times New Roman" w:hAnsi="Times New Roman"/>
        </w:rPr>
        <w:t>8</w:t>
      </w:r>
      <w:r w:rsidRPr="00390A54">
        <w:rPr>
          <w:rFonts w:ascii="Times New Roman" w:hAnsi="Times New Roman"/>
        </w:rPr>
        <w:t xml:space="preserve"> du socle européen des droits sociaux: «Les partenaires sociaux doivent être consultés sur la conception et la mise en œuvre des politiques économiques, sociales et de l’emploi, conformément aux pratiques nationales. Ils doivent être encouragés à négocier et conclure des conventions collectives sur des sujets qui les concernent, dans le respect de leur autonomie et de leur droit à l’action collective. S’il y a lieu, des accords conclus entre les partenaires sociaux doivent être mis en œuvre à l’échelle de l’Union et de ses États membres. Les travailleurs ou leurs représentants ont le droit d’être informés et consultés en temps utile sur des sujets qui les concernent, en particulier en cas de transfert, de restructuration et de fusion d’entreprises, ainsi qu’en cas de licenciement collectif. La mise en place d’une aide pour renforcer la capacité des partenaires sociaux à promouvoir le dialogue social doit être encouragée.»</w:t>
      </w:r>
    </w:p>
  </w:footnote>
  <w:footnote w:id="40">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t xml:space="preserve">Voir l’article </w:t>
      </w:r>
      <w:r w:rsidRPr="00C94BF6">
        <w:rPr>
          <w:rFonts w:ascii="Times New Roman" w:hAnsi="Times New Roman"/>
        </w:rPr>
        <w:t>153</w:t>
      </w:r>
      <w:r w:rsidRPr="00390A54">
        <w:rPr>
          <w:rFonts w:ascii="Times New Roman" w:hAnsi="Times New Roman"/>
        </w:rPr>
        <w:t xml:space="preserve">, paragraphe </w:t>
      </w:r>
      <w:r w:rsidRPr="00C94BF6">
        <w:rPr>
          <w:rFonts w:ascii="Times New Roman" w:hAnsi="Times New Roman"/>
        </w:rPr>
        <w:t>5</w:t>
      </w:r>
      <w:r w:rsidRPr="00390A54">
        <w:rPr>
          <w:rFonts w:ascii="Times New Roman" w:hAnsi="Times New Roman"/>
        </w:rPr>
        <w:t xml:space="preserve">, du TFUE, selon lequel les dispositions de l’article </w:t>
      </w:r>
      <w:r w:rsidRPr="00C94BF6">
        <w:rPr>
          <w:rFonts w:ascii="Times New Roman" w:hAnsi="Times New Roman"/>
        </w:rPr>
        <w:t>153</w:t>
      </w:r>
      <w:r w:rsidRPr="00390A54">
        <w:rPr>
          <w:rFonts w:ascii="Times New Roman" w:hAnsi="Times New Roman"/>
        </w:rPr>
        <w:t xml:space="preserve"> du TFUE ne s’applique ni aux rémunérations, ni au droit d’association, ni au droit de grève, ni au droit de lock-out.</w:t>
      </w:r>
    </w:p>
  </w:footnote>
  <w:footnote w:id="41">
    <w:p w:rsidR="00B80383" w:rsidRPr="00390A54" w:rsidRDefault="00B80383" w:rsidP="00B05299">
      <w:pPr>
        <w:pStyle w:val="footnotetext1"/>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rPr>
        <w:footnoteRef/>
      </w:r>
      <w:r w:rsidRPr="00390A54">
        <w:rPr>
          <w:rFonts w:ascii="Times New Roman" w:hAnsi="Times New Roman"/>
        </w:rPr>
        <w:t xml:space="preserve"> </w:t>
      </w:r>
      <w:r w:rsidRPr="00390A54">
        <w:rPr>
          <w:rFonts w:ascii="Times New Roman" w:hAnsi="Times New Roman"/>
        </w:rPr>
        <w:tab/>
        <w:t xml:space="preserve">Certains aspects de la représentation et de la défense collective sont traités, à des degrés divers, dans des instruments spécifiques comme la directive </w:t>
      </w:r>
      <w:r w:rsidRPr="00C94BF6">
        <w:rPr>
          <w:rFonts w:ascii="Times New Roman" w:hAnsi="Times New Roman"/>
        </w:rPr>
        <w:t>2009</w:t>
      </w:r>
      <w:r w:rsidRPr="00390A54">
        <w:rPr>
          <w:rFonts w:ascii="Times New Roman" w:hAnsi="Times New Roman"/>
        </w:rPr>
        <w:t>/</w:t>
      </w:r>
      <w:r w:rsidRPr="00C94BF6">
        <w:rPr>
          <w:rFonts w:ascii="Times New Roman" w:hAnsi="Times New Roman"/>
        </w:rPr>
        <w:t>38</w:t>
      </w:r>
      <w:r w:rsidRPr="00390A54">
        <w:rPr>
          <w:rFonts w:ascii="Times New Roman" w:hAnsi="Times New Roman"/>
        </w:rPr>
        <w:t xml:space="preserve">/CE sur le comité d’entreprise européen, la directive </w:t>
      </w:r>
      <w:r w:rsidRPr="00C94BF6">
        <w:rPr>
          <w:rFonts w:ascii="Times New Roman" w:hAnsi="Times New Roman"/>
        </w:rPr>
        <w:t>2001</w:t>
      </w:r>
      <w:r w:rsidRPr="00390A54">
        <w:rPr>
          <w:rFonts w:ascii="Times New Roman" w:hAnsi="Times New Roman"/>
        </w:rPr>
        <w:t>/</w:t>
      </w:r>
      <w:r w:rsidRPr="00C94BF6">
        <w:rPr>
          <w:rFonts w:ascii="Times New Roman" w:hAnsi="Times New Roman"/>
        </w:rPr>
        <w:t>23</w:t>
      </w:r>
      <w:r w:rsidRPr="00390A54">
        <w:rPr>
          <w:rFonts w:ascii="Times New Roman" w:hAnsi="Times New Roman"/>
        </w:rPr>
        <w:t xml:space="preserve">/CE sur le transfert d’entreprises, la directive </w:t>
      </w:r>
      <w:r w:rsidRPr="00C94BF6">
        <w:rPr>
          <w:rFonts w:ascii="Times New Roman" w:hAnsi="Times New Roman"/>
        </w:rPr>
        <w:t>2001</w:t>
      </w:r>
      <w:r w:rsidRPr="00390A54">
        <w:rPr>
          <w:rFonts w:ascii="Times New Roman" w:hAnsi="Times New Roman"/>
        </w:rPr>
        <w:t>/</w:t>
      </w:r>
      <w:r w:rsidRPr="00C94BF6">
        <w:rPr>
          <w:rFonts w:ascii="Times New Roman" w:hAnsi="Times New Roman"/>
        </w:rPr>
        <w:t>86</w:t>
      </w:r>
      <w:r w:rsidRPr="00390A54">
        <w:rPr>
          <w:rFonts w:ascii="Times New Roman" w:hAnsi="Times New Roman"/>
        </w:rPr>
        <w:t xml:space="preserve">/CE complétant le statut de la Société européenne pour ce qui concerne l’implication des travailleurs, la directive </w:t>
      </w:r>
      <w:r w:rsidRPr="00C94BF6">
        <w:rPr>
          <w:rFonts w:ascii="Times New Roman" w:hAnsi="Times New Roman"/>
        </w:rPr>
        <w:t>2003</w:t>
      </w:r>
      <w:r w:rsidRPr="00390A54">
        <w:rPr>
          <w:rFonts w:ascii="Times New Roman" w:hAnsi="Times New Roman"/>
        </w:rPr>
        <w:t>/</w:t>
      </w:r>
      <w:r w:rsidRPr="00C94BF6">
        <w:rPr>
          <w:rFonts w:ascii="Times New Roman" w:hAnsi="Times New Roman"/>
        </w:rPr>
        <w:t>72</w:t>
      </w:r>
      <w:r w:rsidRPr="00390A54">
        <w:rPr>
          <w:rFonts w:ascii="Times New Roman" w:hAnsi="Times New Roman"/>
        </w:rPr>
        <w:t xml:space="preserve">/CE sur l’information et la consultation des travailleurs et leurs droits à la participation dans une société coopérative européenne, et la directive (UE) </w:t>
      </w:r>
      <w:r w:rsidRPr="00C94BF6">
        <w:rPr>
          <w:rFonts w:ascii="Times New Roman" w:hAnsi="Times New Roman"/>
        </w:rPr>
        <w:t>2017</w:t>
      </w:r>
      <w:r w:rsidRPr="00390A54">
        <w:rPr>
          <w:rFonts w:ascii="Times New Roman" w:hAnsi="Times New Roman"/>
        </w:rPr>
        <w:t>/</w:t>
      </w:r>
      <w:r w:rsidRPr="00C94BF6">
        <w:rPr>
          <w:rFonts w:ascii="Times New Roman" w:hAnsi="Times New Roman"/>
        </w:rPr>
        <w:t>1132</w:t>
      </w:r>
      <w:r w:rsidRPr="00390A54">
        <w:rPr>
          <w:rFonts w:ascii="Times New Roman" w:hAnsi="Times New Roman"/>
        </w:rPr>
        <w:t xml:space="preserve"> sur certains aspects du droit des sociétés.</w:t>
      </w:r>
    </w:p>
  </w:footnote>
  <w:footnote w:id="42">
    <w:p w:rsidR="00B80383" w:rsidRPr="00390A54" w:rsidRDefault="00B80383" w:rsidP="00B05299">
      <w:pPr>
        <w:spacing w:after="0" w:line="240" w:lineRule="auto"/>
        <w:ind w:left="284" w:hanging="284"/>
        <w:jc w:val="both"/>
        <w:rPr>
          <w:rFonts w:ascii="Times New Roman" w:hAnsi="Times New Roman" w:cs="Times New Roman"/>
          <w:sz w:val="20"/>
          <w:szCs w:val="20"/>
        </w:rPr>
      </w:pPr>
      <w:r w:rsidRPr="00390A54">
        <w:rPr>
          <w:rStyle w:val="FootnoteReference"/>
          <w:rFonts w:ascii="Times New Roman" w:hAnsi="Times New Roman" w:cs="Times New Roman"/>
          <w:sz w:val="20"/>
          <w:szCs w:val="20"/>
        </w:rPr>
        <w:footnoteRef/>
      </w:r>
      <w:r w:rsidRPr="00390A54">
        <w:rPr>
          <w:rFonts w:ascii="Times New Roman" w:hAnsi="Times New Roman"/>
          <w:sz w:val="20"/>
          <w:szCs w:val="20"/>
        </w:rPr>
        <w:t xml:space="preserve"> </w:t>
      </w:r>
      <w:r w:rsidRPr="00390A54">
        <w:rPr>
          <w:rFonts w:ascii="Times New Roman" w:hAnsi="Times New Roman"/>
          <w:sz w:val="20"/>
          <w:szCs w:val="20"/>
        </w:rPr>
        <w:tab/>
        <w:t xml:space="preserve">«Un nouveau départ pour le dialogue social», déclaration de la présidence du Conseil de l’Union européenne, de la Commission européenne et des partenaires sociaux européens, </w:t>
      </w:r>
      <w:r w:rsidRPr="00C94BF6">
        <w:rPr>
          <w:rFonts w:ascii="Times New Roman" w:hAnsi="Times New Roman"/>
          <w:sz w:val="20"/>
          <w:szCs w:val="20"/>
        </w:rPr>
        <w:t>16</w:t>
      </w:r>
      <w:r w:rsidRPr="00390A54">
        <w:rPr>
          <w:rFonts w:ascii="Times New Roman" w:hAnsi="Times New Roman"/>
          <w:sz w:val="20"/>
          <w:szCs w:val="20"/>
        </w:rPr>
        <w:t xml:space="preserve"> juin </w:t>
      </w:r>
      <w:r w:rsidRPr="00C94BF6">
        <w:rPr>
          <w:rFonts w:ascii="Times New Roman" w:hAnsi="Times New Roman"/>
          <w:sz w:val="20"/>
          <w:szCs w:val="20"/>
        </w:rPr>
        <w:t>2016</w:t>
      </w:r>
      <w:r w:rsidRPr="00390A54">
        <w:rPr>
          <w:rFonts w:ascii="Times New Roman" w:hAnsi="Times New Roman"/>
          <w:sz w:val="20"/>
          <w:szCs w:val="20"/>
        </w:rPr>
        <w:t xml:space="preserve">; </w:t>
      </w:r>
      <w:hyperlink r:id="rId9" w:history="1">
        <w:r w:rsidRPr="00390A54">
          <w:rPr>
            <w:rStyle w:val="Hyperlink"/>
            <w:rFonts w:ascii="Times New Roman" w:hAnsi="Times New Roman"/>
            <w:sz w:val="20"/>
            <w:szCs w:val="20"/>
          </w:rPr>
          <w:t>http://ec.europa.eu/social/BlobServlet?docId=</w:t>
        </w:r>
        <w:r w:rsidRPr="00C94BF6">
          <w:rPr>
            <w:rStyle w:val="Hyperlink"/>
            <w:rFonts w:ascii="Times New Roman" w:hAnsi="Times New Roman"/>
            <w:sz w:val="20"/>
            <w:szCs w:val="20"/>
          </w:rPr>
          <w:t>15738</w:t>
        </w:r>
        <w:r w:rsidRPr="00390A54">
          <w:rPr>
            <w:rStyle w:val="Hyperlink"/>
            <w:rFonts w:ascii="Times New Roman" w:hAnsi="Times New Roman"/>
            <w:sz w:val="20"/>
            <w:szCs w:val="20"/>
          </w:rPr>
          <w:t>&amp;langId=fr</w:t>
        </w:r>
      </w:hyperlink>
    </w:p>
  </w:footnote>
  <w:footnote w:id="43">
    <w:p w:rsidR="00B80383" w:rsidRPr="00390A54" w:rsidRDefault="00B80383" w:rsidP="00B05299">
      <w:pPr>
        <w:spacing w:after="0" w:line="240" w:lineRule="auto"/>
        <w:ind w:left="284" w:hanging="284"/>
        <w:jc w:val="both"/>
        <w:rPr>
          <w:rFonts w:ascii="Times New Roman" w:hAnsi="Times New Roman" w:cs="Times New Roman"/>
        </w:rPr>
      </w:pPr>
      <w:r w:rsidRPr="00390A54">
        <w:rPr>
          <w:rStyle w:val="FootnoteReference"/>
          <w:rFonts w:ascii="Times New Roman" w:hAnsi="Times New Roman" w:cs="Times New Roman"/>
          <w:sz w:val="20"/>
          <w:szCs w:val="20"/>
        </w:rPr>
        <w:footnoteRef/>
      </w:r>
      <w:r w:rsidRPr="00390A54">
        <w:rPr>
          <w:rFonts w:ascii="Times New Roman" w:hAnsi="Times New Roman"/>
          <w:sz w:val="20"/>
          <w:szCs w:val="20"/>
        </w:rPr>
        <w:t xml:space="preserve"> </w:t>
      </w:r>
      <w:r w:rsidRPr="00390A54">
        <w:rPr>
          <w:rFonts w:ascii="Times New Roman" w:hAnsi="Times New Roman"/>
          <w:sz w:val="20"/>
          <w:szCs w:val="20"/>
        </w:rPr>
        <w:tab/>
        <w:t xml:space="preserve">Dialogue social européen: programme de travail </w:t>
      </w:r>
      <w:r w:rsidRPr="00C94BF6">
        <w:rPr>
          <w:rFonts w:ascii="Times New Roman" w:hAnsi="Times New Roman"/>
          <w:sz w:val="20"/>
          <w:szCs w:val="20"/>
        </w:rPr>
        <w:t>2019</w:t>
      </w:r>
      <w:r w:rsidRPr="00390A54">
        <w:rPr>
          <w:rFonts w:ascii="Times New Roman" w:hAnsi="Times New Roman"/>
          <w:sz w:val="20"/>
          <w:szCs w:val="20"/>
        </w:rPr>
        <w:t>-</w:t>
      </w:r>
      <w:r w:rsidRPr="00C94BF6">
        <w:rPr>
          <w:rFonts w:ascii="Times New Roman" w:hAnsi="Times New Roman"/>
          <w:sz w:val="20"/>
          <w:szCs w:val="20"/>
        </w:rPr>
        <w:t>2021</w:t>
      </w:r>
      <w:r w:rsidRPr="00390A54">
        <w:rPr>
          <w:rFonts w:ascii="Times New Roman" w:hAnsi="Times New Roman"/>
          <w:sz w:val="20"/>
          <w:szCs w:val="20"/>
        </w:rPr>
        <w:t xml:space="preserve"> (CES, BusinessEurope, du CEEP et SMEunited); </w:t>
      </w:r>
      <w:hyperlink r:id="rId10" w:history="1">
        <w:r w:rsidRPr="00390A54">
          <w:rPr>
            <w:rStyle w:val="Hyperlink"/>
            <w:rFonts w:ascii="Times New Roman" w:hAnsi="Times New Roman"/>
            <w:sz w:val="20"/>
            <w:szCs w:val="20"/>
          </w:rPr>
          <w:t>https://www.businesseurope.eu/publications/european-social-dialogue-work-programme-</w:t>
        </w:r>
        <w:r w:rsidRPr="00C94BF6">
          <w:rPr>
            <w:rStyle w:val="Hyperlink"/>
            <w:rFonts w:ascii="Times New Roman" w:hAnsi="Times New Roman"/>
            <w:sz w:val="20"/>
            <w:szCs w:val="20"/>
          </w:rPr>
          <w:t>2019</w:t>
        </w:r>
        <w:r w:rsidRPr="00390A54">
          <w:rPr>
            <w:rStyle w:val="Hyperlink"/>
            <w:rFonts w:ascii="Times New Roman" w:hAnsi="Times New Roman"/>
            <w:sz w:val="20"/>
            <w:szCs w:val="20"/>
          </w:rPr>
          <w:t>-</w:t>
        </w:r>
        <w:r w:rsidRPr="00C94BF6">
          <w:rPr>
            <w:rStyle w:val="Hyperlink"/>
            <w:rFonts w:ascii="Times New Roman" w:hAnsi="Times New Roman"/>
            <w:sz w:val="20"/>
            <w:szCs w:val="20"/>
          </w:rPr>
          <w:t>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C94BF6" w:rsidP="0021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C94BF6" w:rsidP="0021042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6" w:rsidRPr="00210422" w:rsidRDefault="00C94BF6" w:rsidP="0021042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3" w:rsidRDefault="00B803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3" w:rsidRDefault="00B80383">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83" w:rsidRDefault="00B80383">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15:restartNumberingAfterBreak="0">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15:restartNumberingAfterBreak="0">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15:restartNumberingAfterBreak="0">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15:restartNumberingAfterBreak="0">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15:restartNumberingAfterBreak="0">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15:restartNumberingAfterBreak="0">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15:restartNumberingAfterBreak="0">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15:restartNumberingAfterBreak="0">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15:restartNumberingAfterBreak="0">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15:restartNumberingAfterBreak="0">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15:restartNumberingAfterBreak="0">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15:restartNumberingAfterBreak="0">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15:restartNumberingAfterBreak="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15:restartNumberingAfterBreak="0">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15:restartNumberingAfterBreak="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15:restartNumberingAfterBreak="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8E3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15:restartNumberingAfterBreak="0">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15:restartNumberingAfterBreak="0">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15:restartNumberingAfterBreak="0">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15:restartNumberingAfterBreak="0">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15:restartNumberingAfterBreak="0">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15:restartNumberingAfterBreak="0">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15:restartNumberingAfterBreak="0">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C7FB5F-50F6-4288-ACDF-809B04D9360B"/>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9) 18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prise de décision plus efficace en matière de politique sociale: renforcer le passage au vote à la majorité qualifiée dans certains domaines_x000b_"/>
    <w:docVar w:name="LW_TYPE.DOC.CP" w:val="COMMUNICATION DE LA COMMISSION"/>
    <w:docVar w:name="LW_TYPE.DOC.CP.USERTEXT" w:val="AU PARLEMENT EUROPÉEN, AU CONSEIL EUROPÉEN, AU CONSEIL, AU COMITÉ ÉCONOMIQUE ET SOCIAL EUROPÉEN ET AU COMITÉ DES RÉGIONS_x000b__x000b__x000b__x000b_"/>
    <w:docVar w:name="Stamp" w:val="\\dossiers.dgt.cec.eu.int\dossiers\EMPL\EMPL-2019-00664\EMPL-2019-00664-00-00-EN-EDT-00.201903211446573318664.DOCX"/>
  </w:docVars>
  <w:rsids>
    <w:rsidRoot w:val="004D4A3A"/>
    <w:rsid w:val="00210422"/>
    <w:rsid w:val="004D4A3A"/>
    <w:rsid w:val="00991E39"/>
    <w:rsid w:val="00B05299"/>
    <w:rsid w:val="00B80383"/>
    <w:rsid w:val="00BC2443"/>
    <w:rsid w:val="00C94BF6"/>
    <w:rsid w:val="00D544D3"/>
    <w:rsid w:val="00D9324A"/>
    <w:rsid w:val="00EB31A3"/>
    <w:rsid w:val="00FC2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BCAD403-6E91-4EF8-A1C9-C8B362EF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fr-FR"/>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fr-FR"/>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fr-FR"/>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fr-FR"/>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eastAsia="fr-FR"/>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fr-FR"/>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52017PC0253" TargetMode="External"/><Relationship Id="rId3" Type="http://schemas.openxmlformats.org/officeDocument/2006/relationships/hyperlink" Target="https://ec.europa.eu/commission/priorities/deeper-and-fairer-economic-and-monetary-union/european-pillar-social-rights_fr" TargetMode="External"/><Relationship Id="rId7" Type="http://schemas.openxmlformats.org/officeDocument/2006/relationships/hyperlink" Target="https://eur-lex.europa.eu/legal-content/FR/TXT/?uri=CELEX:52017PC0797" TargetMode="External"/><Relationship Id="rId2" Type="http://schemas.openxmlformats.org/officeDocument/2006/relationships/hyperlink" Target="http://europa.eu/rapid/press-release_STATEMENT-17-767_fr.htm" TargetMode="External"/><Relationship Id="rId1" Type="http://schemas.openxmlformats.org/officeDocument/2006/relationships/hyperlink" Target="https://ec.europa.eu/commission/sites/beta-political/files/social_priorities_juncker_commission_fr.pdf" TargetMode="External"/><Relationship Id="rId6" Type="http://schemas.openxmlformats.org/officeDocument/2006/relationships/hyperlink" Target="file:///\\net1.cec.eu.int\empl\V\V1\Legal%20affairs\Passerelle%20clause\Communication\See" TargetMode="External"/><Relationship Id="rId5" Type="http://schemas.openxmlformats.org/officeDocument/2006/relationships/hyperlink" Target="https://eur-lex.europa.eu/legal-content/FR/TXT/PDF/?uri=CELEX:32018H0951&amp;from=FR" TargetMode="External"/><Relationship Id="rId10" Type="http://schemas.openxmlformats.org/officeDocument/2006/relationships/hyperlink" Target="https://www.businesseurope.eu/publications/european-social-dialogue-work-programme-2019-2021" TargetMode="External"/><Relationship Id="rId4" Type="http://schemas.openxmlformats.org/officeDocument/2006/relationships/hyperlink" Target="http://www.europarl.europa.eu/thinktank/en/document.html?reference=EPRS_STU(2018)615660" TargetMode="External"/><Relationship Id="rId9" Type="http://schemas.openxmlformats.org/officeDocument/2006/relationships/hyperlink" Target="http://ec.europa.eu/social/BlobServlet?docId=15738&amp;langI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92BBD4-4F8E-4961-BB42-033DE0B4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6476</Words>
  <Characters>36013</Characters>
  <Application>Microsoft Office Word</Application>
  <DocSecurity>4</DocSecurity>
  <Lines>545</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Annelisa.COTONE@ec.europa.eu</dc:creator>
  <cp:lastModifiedBy>HEILEMANN Stefanie (SG)</cp:lastModifiedBy>
  <cp:revision>2</cp:revision>
  <cp:lastPrinted>2019-04-11T09:09:00Z</cp:lastPrinted>
  <dcterms:created xsi:type="dcterms:W3CDTF">2019-04-16T11:45:00Z</dcterms:created>
  <dcterms:modified xsi:type="dcterms:W3CDTF">2019-04-16T11:45:00Z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