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00" w:rsidRDefault="007C27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BAD5E2-2433-4FBD-9DCF-C3164D31CDCA" style="width:450.4pt;height:321.5pt">
            <v:imagedata r:id="rId8" o:title=""/>
          </v:shape>
        </w:pict>
      </w:r>
    </w:p>
    <w:bookmarkEnd w:id="0"/>
    <w:p w:rsidR="00787500" w:rsidRDefault="00787500">
      <w:pPr>
        <w:pStyle w:val="Pagedecouverture"/>
        <w:spacing w:after="120"/>
        <w:rPr>
          <w:noProof/>
          <w:szCs w:val="24"/>
        </w:rPr>
        <w:sectPr w:rsidR="0078750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87500" w:rsidRDefault="007C27D1">
      <w:pPr>
        <w:jc w:val="center"/>
        <w:rPr>
          <w:rFonts w:ascii="Times New Roman" w:hAnsi="Times New Roman" w:cs="Times New Roman"/>
          <w:noProof/>
        </w:rPr>
      </w:pPr>
      <w:r>
        <w:rPr>
          <w:rFonts w:ascii="Times New Roman" w:hAnsi="Times New Roman"/>
          <w:b/>
          <w:noProof/>
          <w:sz w:val="24"/>
        </w:rPr>
        <w:lastRenderedPageBreak/>
        <w:t>Съвместно съобщение до Европейския парламент и Съвета:</w:t>
      </w:r>
      <w:r>
        <w:rPr>
          <w:rFonts w:ascii="Times New Roman" w:hAnsi="Times New Roman" w:cs="Times New Roman"/>
          <w:b/>
          <w:noProof/>
          <w:sz w:val="24"/>
          <w:szCs w:val="24"/>
        </w:rPr>
        <w:br/>
      </w:r>
      <w:r>
        <w:rPr>
          <w:rFonts w:ascii="Times New Roman" w:hAnsi="Times New Roman"/>
          <w:b/>
          <w:noProof/>
          <w:sz w:val="24"/>
        </w:rPr>
        <w:t>Европейският съюз, Латинска Америка и Карибският басейн — с обединени сили за общо бъдеще</w:t>
      </w:r>
    </w:p>
    <w:p w:rsidR="00787500" w:rsidRDefault="00787500">
      <w:pPr>
        <w:spacing w:after="240" w:line="240" w:lineRule="auto"/>
        <w:jc w:val="center"/>
        <w:rPr>
          <w:rFonts w:ascii="Times New Roman" w:hAnsi="Times New Roman" w:cs="Times New Roman"/>
          <w:b/>
          <w:noProof/>
          <w:sz w:val="24"/>
          <w:szCs w:val="24"/>
        </w:rPr>
      </w:pPr>
    </w:p>
    <w:p w:rsidR="00787500" w:rsidRDefault="007C27D1">
      <w:pP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В </w:t>
      </w:r>
      <w:r>
        <w:rPr>
          <w:rFonts w:ascii="Times New Roman" w:hAnsi="Times New Roman"/>
          <w:i/>
          <w:noProof/>
          <w:sz w:val="24"/>
        </w:rPr>
        <w:t>останалата част на Атлантическия океан Съюзът ще разшири сътрудничеството и ще изгради по-силни партньорства с Латинска Америка и Карибите въз основа на споделени ценности и интереси.</w:t>
      </w:r>
      <w:r>
        <w:rPr>
          <w:rFonts w:ascii="Times New Roman" w:hAnsi="Times New Roman"/>
          <w:noProof/>
          <w:sz w:val="24"/>
        </w:rPr>
        <w:t xml:space="preserve"> </w:t>
      </w:r>
    </w:p>
    <w:p w:rsidR="00787500" w:rsidRDefault="007C27D1">
      <w:pPr>
        <w:spacing w:after="0" w:line="240" w:lineRule="auto"/>
        <w:jc w:val="right"/>
        <w:rPr>
          <w:rFonts w:ascii="Times New Roman" w:hAnsi="Times New Roman" w:cs="Times New Roman"/>
          <w:noProof/>
          <w:sz w:val="24"/>
          <w:szCs w:val="24"/>
        </w:rPr>
      </w:pPr>
      <w:r>
        <w:rPr>
          <w:rFonts w:ascii="Times New Roman" w:hAnsi="Times New Roman"/>
          <w:noProof/>
          <w:sz w:val="24"/>
        </w:rPr>
        <w:t xml:space="preserve">— Глобална стратегия за външната политика и политиката на сигурност на </w:t>
      </w:r>
      <w:r>
        <w:rPr>
          <w:rFonts w:ascii="Times New Roman" w:hAnsi="Times New Roman"/>
          <w:noProof/>
          <w:sz w:val="24"/>
        </w:rPr>
        <w:t>Европейския съюз</w:t>
      </w:r>
      <w:r>
        <w:rPr>
          <w:rStyle w:val="FootnoteReference"/>
          <w:rFonts w:ascii="Times New Roman" w:hAnsi="Times New Roman"/>
          <w:noProof/>
          <w:sz w:val="24"/>
        </w:rPr>
        <w:footnoteReference w:id="1"/>
      </w:r>
      <w:r>
        <w:rPr>
          <w:rFonts w:ascii="Times New Roman" w:hAnsi="Times New Roman"/>
          <w:noProof/>
          <w:sz w:val="24"/>
        </w:rPr>
        <w:t>.</w:t>
      </w:r>
    </w:p>
    <w:p w:rsidR="00787500" w:rsidRDefault="007C27D1">
      <w:pPr>
        <w:spacing w:before="240" w:after="120" w:line="240" w:lineRule="auto"/>
        <w:rPr>
          <w:rFonts w:ascii="Times New Roman" w:hAnsi="Times New Roman" w:cs="Times New Roman"/>
          <w:b/>
          <w:noProof/>
          <w:sz w:val="24"/>
          <w:szCs w:val="24"/>
        </w:rPr>
      </w:pPr>
      <w:r>
        <w:rPr>
          <w:rFonts w:ascii="Times New Roman" w:hAnsi="Times New Roman"/>
          <w:b/>
          <w:noProof/>
          <w:sz w:val="24"/>
        </w:rPr>
        <w:t>1. Въведение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Обединени от историята и водени от множество споделени ценности, Европейският съюз (ЕС) и Латинска Америка и Карибският басейн (ЛАК) имат успешно и дългогодишно партньорство. От 1999 г. насам ЕС и ЛАК са свързани в </w:t>
      </w:r>
      <w:r>
        <w:rPr>
          <w:rFonts w:ascii="Times New Roman" w:hAnsi="Times New Roman"/>
          <w:noProof/>
          <w:sz w:val="24"/>
        </w:rPr>
        <w:t>стратегическо партньорство, градящо се на ангажимент към основните свободи, устойчивото развитие и солидната и основана на правила международна система. В продължение на повече от двадесет години това партньорство е платформа за взаимноизгодно сътрудничест</w:t>
      </w:r>
      <w:r>
        <w:rPr>
          <w:rFonts w:ascii="Times New Roman" w:hAnsi="Times New Roman"/>
          <w:noProof/>
          <w:sz w:val="24"/>
        </w:rPr>
        <w:t>во, двигател на промяната и инкубатор за нови идеи.</w:t>
      </w:r>
    </w:p>
    <w:p w:rsidR="00787500" w:rsidRDefault="007C27D1">
      <w:pPr>
        <w:spacing w:after="120" w:line="240" w:lineRule="auto"/>
        <w:jc w:val="both"/>
        <w:rPr>
          <w:rFonts w:ascii="Times New Roman" w:hAnsi="Times New Roman" w:cs="Times New Roman"/>
          <w:b/>
          <w:bCs/>
          <w:iCs/>
          <w:noProof/>
          <w:sz w:val="24"/>
          <w:szCs w:val="24"/>
        </w:rPr>
      </w:pPr>
      <w:r>
        <w:rPr>
          <w:rFonts w:ascii="Times New Roman" w:hAnsi="Times New Roman"/>
          <w:noProof/>
          <w:sz w:val="24"/>
        </w:rPr>
        <w:t xml:space="preserve">През последните десетилетия </w:t>
      </w:r>
      <w:r>
        <w:rPr>
          <w:rFonts w:ascii="Times New Roman" w:hAnsi="Times New Roman"/>
          <w:b/>
          <w:noProof/>
          <w:sz w:val="24"/>
        </w:rPr>
        <w:t>ЕС и ЛАК достигнаха безпрецедентно равнище на интеграция</w:t>
      </w:r>
      <w:r>
        <w:rPr>
          <w:rFonts w:ascii="Times New Roman" w:hAnsi="Times New Roman"/>
          <w:noProof/>
          <w:sz w:val="24"/>
        </w:rPr>
        <w:t>. ЕС има подписани споразумения за асоцииране, споразумения за свободна търговия или политически споразумения и споразум</w:t>
      </w:r>
      <w:r>
        <w:rPr>
          <w:rFonts w:ascii="Times New Roman" w:hAnsi="Times New Roman"/>
          <w:noProof/>
          <w:sz w:val="24"/>
        </w:rPr>
        <w:t>ения за сътрудничество с 27 от 33-те държави в ЛАК</w:t>
      </w:r>
      <w:r>
        <w:rPr>
          <w:rStyle w:val="FootnoteReference"/>
          <w:rFonts w:ascii="Times New Roman" w:hAnsi="Times New Roman"/>
          <w:noProof/>
          <w:sz w:val="24"/>
        </w:rPr>
        <w:footnoteReference w:id="2"/>
      </w:r>
      <w:r>
        <w:rPr>
          <w:rFonts w:ascii="Times New Roman" w:hAnsi="Times New Roman"/>
          <w:noProof/>
          <w:sz w:val="24"/>
        </w:rPr>
        <w:t>. ЕС и държавите от ЛАК действат често координирано в Организацията на обединените нации и работиха в тясно сътрудничество във връзка с Парижкото споразумение</w:t>
      </w:r>
      <w:r>
        <w:rPr>
          <w:rStyle w:val="FootnoteReference"/>
          <w:rFonts w:ascii="Times New Roman" w:hAnsi="Times New Roman"/>
          <w:noProof/>
          <w:sz w:val="24"/>
        </w:rPr>
        <w:footnoteReference w:id="3"/>
      </w:r>
      <w:r>
        <w:rPr>
          <w:rFonts w:ascii="Times New Roman" w:hAnsi="Times New Roman"/>
          <w:noProof/>
          <w:sz w:val="24"/>
        </w:rPr>
        <w:t xml:space="preserve"> и Програмата до 2030 г. за устойчиво развитие</w:t>
      </w:r>
      <w:r>
        <w:rPr>
          <w:rStyle w:val="FootnoteReference"/>
          <w:rFonts w:ascii="Times New Roman" w:hAnsi="Times New Roman"/>
          <w:noProof/>
          <w:sz w:val="24"/>
        </w:rPr>
        <w:footnoteReference w:id="4"/>
      </w:r>
      <w:r>
        <w:rPr>
          <w:rFonts w:ascii="Times New Roman" w:hAnsi="Times New Roman"/>
          <w:noProof/>
          <w:sz w:val="24"/>
        </w:rPr>
        <w:t xml:space="preserve">. Близо </w:t>
      </w:r>
      <w:r>
        <w:rPr>
          <w:rFonts w:ascii="Times New Roman" w:hAnsi="Times New Roman"/>
          <w:b/>
          <w:noProof/>
          <w:sz w:val="24"/>
        </w:rPr>
        <w:t>шест милиона души от ЕС и ЛАК живеят и работят от другата страна на Атлантическия океан</w:t>
      </w:r>
      <w:r>
        <w:rPr>
          <w:rStyle w:val="FootnoteReference"/>
          <w:rFonts w:ascii="Times New Roman" w:hAnsi="Times New Roman"/>
          <w:noProof/>
          <w:sz w:val="24"/>
        </w:rPr>
        <w:footnoteReference w:id="5"/>
      </w:r>
      <w:r>
        <w:rPr>
          <w:rFonts w:ascii="Times New Roman" w:hAnsi="Times New Roman"/>
          <w:noProof/>
          <w:sz w:val="24"/>
        </w:rPr>
        <w:t xml:space="preserve"> и над една трета от студентите от ЛАК, учещи в чужбина, правят това в ЕС.</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rPr>
        <w:t>Икономиките са тясно свързани помежду си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ЕС е третият по големина търговски партньо</w:t>
      </w:r>
      <w:r>
        <w:rPr>
          <w:rFonts w:ascii="Times New Roman" w:hAnsi="Times New Roman"/>
          <w:noProof/>
          <w:sz w:val="24"/>
        </w:rPr>
        <w:t>р на ЛАК; общият размер на търговията със стоки между регионите нарасна от 185,5 милиарда евро през 2008 г. на 225,4 милиарда  евро през 2018 г., а търговията с услуги възлизаше на почти 102 милиарда евро през 2017 г.</w:t>
      </w:r>
      <w:r>
        <w:rPr>
          <w:rFonts w:ascii="Times New Roman" w:hAnsi="Times New Roman"/>
          <w:b/>
          <w:noProof/>
          <w:sz w:val="24"/>
        </w:rPr>
        <w:t xml:space="preserve"> </w:t>
      </w:r>
      <w:r>
        <w:rPr>
          <w:rFonts w:ascii="Times New Roman" w:hAnsi="Times New Roman"/>
          <w:noProof/>
          <w:sz w:val="24"/>
        </w:rPr>
        <w:t xml:space="preserve">ЕС е челният инвеститор в ЛАК с преки </w:t>
      </w:r>
      <w:r>
        <w:rPr>
          <w:rFonts w:ascii="Times New Roman" w:hAnsi="Times New Roman"/>
          <w:noProof/>
          <w:sz w:val="24"/>
        </w:rPr>
        <w:t>чуждестранни инвестиции (ПЧИ) в размер на 784,6 милиарда евро през 2017 г., докато ПЧИ от ЛАК в ЕС се увеличиха значително през последните години, достигайки 273 милиарда евро през 2017 г.</w:t>
      </w:r>
      <w:r>
        <w:rPr>
          <w:rStyle w:val="FootnoteReference"/>
          <w:rFonts w:ascii="Times New Roman" w:hAnsi="Times New Roman"/>
          <w:noProof/>
          <w:sz w:val="24"/>
        </w:rPr>
        <w:footnoteReference w:id="6"/>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rPr>
        <w:t>ЕС е най-големият донор в областта на сътрудничеството за развитие</w:t>
      </w:r>
      <w:r>
        <w:rPr>
          <w:rFonts w:ascii="Times New Roman" w:hAnsi="Times New Roman"/>
          <w:noProof/>
          <w:sz w:val="24"/>
        </w:rPr>
        <w:t xml:space="preserve"> </w:t>
      </w:r>
      <w:r>
        <w:rPr>
          <w:rFonts w:ascii="Times New Roman" w:hAnsi="Times New Roman"/>
          <w:b/>
          <w:noProof/>
          <w:sz w:val="24"/>
        </w:rPr>
        <w:t>на ЛАК</w:t>
      </w:r>
      <w:r>
        <w:rPr>
          <w:rFonts w:ascii="Times New Roman" w:hAnsi="Times New Roman"/>
          <w:noProof/>
          <w:sz w:val="24"/>
        </w:rPr>
        <w:t xml:space="preserve">, като между 2014 г. и 2020 г. предостави безвъзмездни средства в размер на 3,6 </w:t>
      </w:r>
      <w:r>
        <w:rPr>
          <w:rFonts w:ascii="Times New Roman" w:hAnsi="Times New Roman"/>
          <w:noProof/>
          <w:sz w:val="24"/>
        </w:rPr>
        <w:lastRenderedPageBreak/>
        <w:t>милиарда евро за двустранни и регионални програми</w:t>
      </w:r>
      <w:r>
        <w:rPr>
          <w:rStyle w:val="FootnoteReference"/>
          <w:rFonts w:ascii="Times New Roman" w:hAnsi="Times New Roman"/>
          <w:noProof/>
          <w:sz w:val="24"/>
        </w:rPr>
        <w:footnoteReference w:id="7"/>
      </w:r>
      <w:r>
        <w:rPr>
          <w:rFonts w:ascii="Times New Roman" w:hAnsi="Times New Roman"/>
          <w:noProof/>
          <w:sz w:val="24"/>
        </w:rPr>
        <w:t>, а през последните 20 години — над 1,2 милиарда евро за хуманитарна помощ за  пострадалите от причинени от човека криз</w:t>
      </w:r>
      <w:r>
        <w:rPr>
          <w:rFonts w:ascii="Times New Roman" w:hAnsi="Times New Roman"/>
          <w:noProof/>
          <w:sz w:val="24"/>
        </w:rPr>
        <w:t>и и от природни бедствия. Европейската инвестиционна банка (ЕИБ) инвестира в постигането на целите за устойчиво развитие в ЛАК с акцент върху смекчаването на последиците от изменението на климата и адаптирането към него, като през периода 2014—2018 г. отпу</w:t>
      </w:r>
      <w:r>
        <w:rPr>
          <w:rFonts w:ascii="Times New Roman" w:hAnsi="Times New Roman"/>
          <w:noProof/>
          <w:sz w:val="24"/>
        </w:rPr>
        <w:t>сна заеми на обща стойност 3,4 милиарда евро</w:t>
      </w:r>
      <w:r>
        <w:rPr>
          <w:rStyle w:val="FootnoteReference"/>
          <w:rFonts w:ascii="Times New Roman" w:hAnsi="Times New Roman"/>
          <w:noProof/>
          <w:sz w:val="24"/>
        </w:rPr>
        <w:footnoteReference w:id="8"/>
      </w:r>
      <w:r>
        <w:rPr>
          <w:rFonts w:ascii="Times New Roman" w:hAnsi="Times New Roman"/>
          <w:noProof/>
          <w:sz w:val="24"/>
        </w:rPr>
        <w:t>.</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настоящото съобщение </w:t>
      </w:r>
      <w:r>
        <w:rPr>
          <w:rFonts w:ascii="Times New Roman" w:hAnsi="Times New Roman"/>
          <w:b/>
          <w:noProof/>
          <w:sz w:val="24"/>
        </w:rPr>
        <w:t>предлага да се засили политическото партньорство на ЕС с ЛАК</w:t>
      </w:r>
      <w:r>
        <w:rPr>
          <w:rFonts w:ascii="Times New Roman" w:hAnsi="Times New Roman"/>
          <w:noProof/>
          <w:sz w:val="24"/>
        </w:rPr>
        <w:t xml:space="preserve">, като в него се излага </w:t>
      </w:r>
      <w:r>
        <w:rPr>
          <w:rFonts w:ascii="Times New Roman" w:hAnsi="Times New Roman"/>
          <w:b/>
          <w:noProof/>
          <w:sz w:val="24"/>
        </w:rPr>
        <w:t>визия за по-силно и модернизирано партньорство между двата региона</w:t>
      </w:r>
      <w:r>
        <w:rPr>
          <w:rFonts w:ascii="Times New Roman" w:hAnsi="Times New Roman"/>
          <w:noProof/>
          <w:sz w:val="24"/>
        </w:rPr>
        <w:t xml:space="preserve"> в контекста на промен</w:t>
      </w:r>
      <w:r>
        <w:rPr>
          <w:rFonts w:ascii="Times New Roman" w:hAnsi="Times New Roman"/>
          <w:noProof/>
          <w:sz w:val="24"/>
        </w:rPr>
        <w:t>ящите се световни и регионални реалности. То има за цел да предостави стратегически насоки за външните действия на Европа спрямо ЛАК в съответствие с принципите, изложени в Глобалната стратегия за външната политика и политиката на сигурност на ЕС, Европейс</w:t>
      </w:r>
      <w:r>
        <w:rPr>
          <w:rFonts w:ascii="Times New Roman" w:hAnsi="Times New Roman"/>
          <w:noProof/>
          <w:sz w:val="24"/>
        </w:rPr>
        <w:t>кия консенсус за развитие</w:t>
      </w:r>
      <w:r>
        <w:rPr>
          <w:rStyle w:val="FootnoteReference"/>
          <w:rFonts w:ascii="Times New Roman" w:hAnsi="Times New Roman"/>
          <w:noProof/>
          <w:sz w:val="24"/>
        </w:rPr>
        <w:footnoteReference w:id="9"/>
      </w:r>
      <w:r>
        <w:rPr>
          <w:rFonts w:ascii="Times New Roman" w:hAnsi="Times New Roman"/>
          <w:noProof/>
          <w:sz w:val="24"/>
        </w:rPr>
        <w:t>, Програмата до 2030 г. за устойчиво развитие, съобщението „Търговията — за всички“ и указанията за водене на преговори за споразумение за партньорство между ЕС и държавите от Африка, Карибския и Тихоокеанския басейн</w:t>
      </w:r>
      <w:r>
        <w:rPr>
          <w:rStyle w:val="FootnoteReference"/>
          <w:rFonts w:ascii="Times New Roman" w:hAnsi="Times New Roman"/>
          <w:noProof/>
          <w:sz w:val="24"/>
        </w:rPr>
        <w:footnoteReference w:id="10"/>
      </w:r>
      <w:r>
        <w:rPr>
          <w:rFonts w:ascii="Times New Roman" w:hAnsi="Times New Roman"/>
          <w:noProof/>
          <w:sz w:val="24"/>
        </w:rPr>
        <w:t>.</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Днешната </w:t>
      </w:r>
      <w:r>
        <w:rPr>
          <w:rFonts w:ascii="Times New Roman" w:hAnsi="Times New Roman"/>
          <w:b/>
          <w:noProof/>
          <w:sz w:val="24"/>
        </w:rPr>
        <w:t>бъ</w:t>
      </w:r>
      <w:r>
        <w:rPr>
          <w:rFonts w:ascii="Times New Roman" w:hAnsi="Times New Roman"/>
          <w:b/>
          <w:noProof/>
          <w:sz w:val="24"/>
        </w:rPr>
        <w:t>рзо променяща се геополитическа среда поражда нови предизвикателства и възможности за партньорството</w:t>
      </w:r>
      <w:r>
        <w:rPr>
          <w:rFonts w:ascii="Times New Roman" w:hAnsi="Times New Roman"/>
          <w:noProof/>
          <w:sz w:val="24"/>
        </w:rPr>
        <w:t xml:space="preserve">, което засилва аргумента за по-ефективно регионално и двустранно сътрудничество — </w:t>
      </w:r>
      <w:r>
        <w:rPr>
          <w:rFonts w:ascii="Times New Roman" w:hAnsi="Times New Roman"/>
          <w:b/>
          <w:noProof/>
          <w:sz w:val="24"/>
        </w:rPr>
        <w:t>обновено партньорство с акцент върху търговията, инвестициите и секторнот</w:t>
      </w:r>
      <w:r>
        <w:rPr>
          <w:rFonts w:ascii="Times New Roman" w:hAnsi="Times New Roman"/>
          <w:b/>
          <w:noProof/>
          <w:sz w:val="24"/>
        </w:rPr>
        <w:t>о сътрудничество</w:t>
      </w:r>
      <w:r>
        <w:rPr>
          <w:rFonts w:ascii="Times New Roman" w:hAnsi="Times New Roman"/>
          <w:noProof/>
          <w:sz w:val="24"/>
        </w:rPr>
        <w:t>. Тези глобални промени и в двата региона изискват амбициозен и новаторски подход отвъд традиционните отношения между донор и получател и в духа на Програмата до 2030 г. за устойчиво развитие.</w:t>
      </w:r>
      <w:r>
        <w:rPr>
          <w:rFonts w:ascii="Times New Roman" w:hAnsi="Times New Roman"/>
          <w:b/>
          <w:noProof/>
          <w:sz w:val="24"/>
        </w:rPr>
        <w:t xml:space="preserve"> </w:t>
      </w:r>
      <w:r>
        <w:rPr>
          <w:rFonts w:ascii="Times New Roman" w:hAnsi="Times New Roman"/>
          <w:noProof/>
          <w:sz w:val="24"/>
        </w:rPr>
        <w:t xml:space="preserve">От 2 000 г. насам търговията между Китай и ЛАК </w:t>
      </w:r>
      <w:r>
        <w:rPr>
          <w:rFonts w:ascii="Times New Roman" w:hAnsi="Times New Roman"/>
          <w:noProof/>
          <w:sz w:val="24"/>
        </w:rPr>
        <w:t>нарасна от 10 милиарда долара на 244 милиарда долара през 2017 г. Китай съперничи на ЕС, като е вторият по големина търговски партньор на Латинска Америка и, в по-общ план, се превърна в партньор с нарастващо значение за региона. Традиционните роля и влиян</w:t>
      </w:r>
      <w:r>
        <w:rPr>
          <w:rFonts w:ascii="Times New Roman" w:hAnsi="Times New Roman"/>
          <w:noProof/>
          <w:sz w:val="24"/>
        </w:rPr>
        <w:t>ие на САЩ в региона също се промениха с течение на времето.</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В същото време ЛАК е изправен пред нова динамика, като например необходимостта да се отговори на изискванията на цифровата и интегрирана глобална икономика,  нетърпящото отлагане опазване на околн</w:t>
      </w:r>
      <w:r>
        <w:rPr>
          <w:rFonts w:ascii="Times New Roman" w:hAnsi="Times New Roman"/>
          <w:noProof/>
          <w:sz w:val="24"/>
        </w:rPr>
        <w:t xml:space="preserve">ата среда, както и  насърчаването на растежа, но при  осигуряване на справедливи резултати в социалната сфера. Друга задача е да се гарантира продължаването на дългосрочната тенденция на консолидиране на демокрацията и устойчиво развитие. </w:t>
      </w:r>
    </w:p>
    <w:p w:rsidR="00787500" w:rsidRDefault="007C27D1">
      <w:pPr>
        <w:spacing w:after="120" w:line="240" w:lineRule="auto"/>
        <w:jc w:val="both"/>
        <w:rPr>
          <w:rFonts w:ascii="Times New Roman" w:hAnsi="Times New Roman" w:cs="Times New Roman"/>
          <w:iCs/>
          <w:noProof/>
          <w:sz w:val="24"/>
          <w:szCs w:val="24"/>
        </w:rPr>
      </w:pPr>
      <w:r>
        <w:rPr>
          <w:rFonts w:ascii="Times New Roman" w:hAnsi="Times New Roman"/>
          <w:noProof/>
          <w:sz w:val="24"/>
        </w:rPr>
        <w:t xml:space="preserve">Със своя модел </w:t>
      </w:r>
      <w:r>
        <w:rPr>
          <w:rFonts w:ascii="Times New Roman" w:hAnsi="Times New Roman"/>
          <w:noProof/>
          <w:sz w:val="24"/>
        </w:rPr>
        <w:t>на регионална икономическа интеграция и свързаност ЕС може да бъде важен партньор на ЛАК за справянето с тези предизвикателства. ЕС оказва пълна дипломатическа, хуманитарна и икономическа подкрепа за разрешаване на текущите кризи в някои държави от ЛАК и щ</w:t>
      </w:r>
      <w:r>
        <w:rPr>
          <w:rFonts w:ascii="Times New Roman" w:hAnsi="Times New Roman"/>
          <w:noProof/>
          <w:sz w:val="24"/>
        </w:rPr>
        <w:t xml:space="preserve">е продължи да насърчава принципите на демокрацията и зачитането на правата на човека в отношенията си с ЛАК. В по-широк план ЕС и ЛАК следва да работят заедно за запазване на многостранното сътрудничество и основания на правила глобален ред, като обединят </w:t>
      </w:r>
      <w:r>
        <w:rPr>
          <w:rFonts w:ascii="Times New Roman" w:hAnsi="Times New Roman"/>
          <w:noProof/>
          <w:sz w:val="24"/>
        </w:rPr>
        <w:t>силите си за изпълнението на амбициозен дневен ред в редица области.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Това партньорство следва да се съсредоточи върху </w:t>
      </w:r>
      <w:r>
        <w:rPr>
          <w:rFonts w:ascii="Times New Roman" w:hAnsi="Times New Roman"/>
          <w:b/>
          <w:noProof/>
          <w:sz w:val="24"/>
        </w:rPr>
        <w:t>четири взаимно подсилващи се приоритета</w:t>
      </w:r>
      <w:r>
        <w:rPr>
          <w:rFonts w:ascii="Times New Roman" w:hAnsi="Times New Roman"/>
          <w:noProof/>
          <w:sz w:val="24"/>
        </w:rPr>
        <w:t>:</w:t>
      </w:r>
      <w:r>
        <w:rPr>
          <w:rFonts w:ascii="Times New Roman" w:hAnsi="Times New Roman"/>
          <w:b/>
          <w:noProof/>
          <w:sz w:val="24"/>
        </w:rPr>
        <w:t xml:space="preserve"> благоденствие, демокрация, устойчивост и ефективно глобално управление</w:t>
      </w:r>
      <w:r>
        <w:rPr>
          <w:rFonts w:ascii="Times New Roman" w:hAnsi="Times New Roman"/>
          <w:noProof/>
          <w:sz w:val="24"/>
        </w:rPr>
        <w:t>. По всеки от тези приорите</w:t>
      </w:r>
      <w:r>
        <w:rPr>
          <w:rFonts w:ascii="Times New Roman" w:hAnsi="Times New Roman"/>
          <w:noProof/>
          <w:sz w:val="24"/>
        </w:rPr>
        <w:t>ти в съобщението се предлагат редица области и конкретни инициативи за постигането на тази програма, която да бъде реализирана чрез по-стратегически и целенасочен ангажимент на ЕС с региона.</w:t>
      </w:r>
    </w:p>
    <w:p w:rsidR="00787500" w:rsidRDefault="00787500">
      <w:pPr>
        <w:keepNext/>
        <w:keepLines/>
        <w:spacing w:after="120" w:line="240" w:lineRule="auto"/>
        <w:jc w:val="both"/>
        <w:rPr>
          <w:rFonts w:ascii="Times New Roman" w:hAnsi="Times New Roman" w:cs="Times New Roman"/>
          <w:b/>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2. Отстояване на нашите споделени ценности и интереси</w:t>
      </w: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2.1 Партнь</w:t>
      </w:r>
      <w:r>
        <w:rPr>
          <w:rFonts w:ascii="Times New Roman" w:hAnsi="Times New Roman"/>
          <w:b/>
          <w:noProof/>
          <w:sz w:val="24"/>
        </w:rPr>
        <w:t>орство за благоденствие</w:t>
      </w:r>
    </w:p>
    <w:p w:rsidR="00787500" w:rsidRDefault="007C27D1">
      <w:pPr>
        <w:spacing w:after="120" w:line="240" w:lineRule="auto"/>
        <w:contextualSpacing/>
        <w:jc w:val="both"/>
        <w:rPr>
          <w:rFonts w:ascii="Times New Roman" w:hAnsi="Times New Roman" w:cs="Times New Roman"/>
          <w:noProof/>
          <w:sz w:val="24"/>
          <w:szCs w:val="24"/>
        </w:rPr>
      </w:pPr>
      <w:r>
        <w:rPr>
          <w:rFonts w:ascii="Times New Roman" w:hAnsi="Times New Roman"/>
          <w:b/>
          <w:noProof/>
          <w:sz w:val="24"/>
        </w:rPr>
        <w:t>За съживяването на икономиките и подпомагането на растежа</w:t>
      </w:r>
      <w:r>
        <w:rPr>
          <w:rFonts w:ascii="Times New Roman" w:hAnsi="Times New Roman"/>
          <w:noProof/>
          <w:sz w:val="24"/>
        </w:rPr>
        <w:t xml:space="preserve"> ще се изискват целенасочени и решителни действия. ЕС следва да продължи да си партнира с ЛАК в усилията за преодоляване на трайните макроикономически предизвикателства в реги</w:t>
      </w:r>
      <w:r>
        <w:rPr>
          <w:rFonts w:ascii="Times New Roman" w:hAnsi="Times New Roman"/>
          <w:noProof/>
          <w:sz w:val="24"/>
        </w:rPr>
        <w:t xml:space="preserve">она, като същевременно се диверсифицират и модернизират различните икономически модели, така че да станат годни в условията на глобализация. Постигането на устойчиви резултати означава също така да се обединят силите както за </w:t>
      </w:r>
      <w:r>
        <w:rPr>
          <w:rFonts w:ascii="Times New Roman" w:hAnsi="Times New Roman"/>
          <w:b/>
          <w:noProof/>
          <w:sz w:val="24"/>
        </w:rPr>
        <w:t>намаляване на социално-икономи</w:t>
      </w:r>
      <w:r>
        <w:rPr>
          <w:rFonts w:ascii="Times New Roman" w:hAnsi="Times New Roman"/>
          <w:b/>
          <w:noProof/>
          <w:sz w:val="24"/>
        </w:rPr>
        <w:t>ческите неравенства</w:t>
      </w:r>
      <w:r>
        <w:rPr>
          <w:rFonts w:ascii="Times New Roman" w:hAnsi="Times New Roman"/>
          <w:noProof/>
          <w:sz w:val="24"/>
        </w:rPr>
        <w:t xml:space="preserve">, създаване на достойни работни места и извличане на ползи за всички от глобализацията, така и за </w:t>
      </w:r>
      <w:r>
        <w:rPr>
          <w:rFonts w:ascii="Times New Roman" w:hAnsi="Times New Roman"/>
          <w:b/>
          <w:noProof/>
          <w:sz w:val="24"/>
        </w:rPr>
        <w:t>прехода към зелена и кръгова икономика</w:t>
      </w:r>
      <w:r>
        <w:rPr>
          <w:rFonts w:ascii="Times New Roman" w:hAnsi="Times New Roman"/>
          <w:noProof/>
          <w:sz w:val="24"/>
        </w:rPr>
        <w:t>.</w:t>
      </w:r>
    </w:p>
    <w:p w:rsidR="00787500" w:rsidRDefault="00787500">
      <w:pPr>
        <w:spacing w:after="120" w:line="240" w:lineRule="auto"/>
        <w:contextualSpacing/>
        <w:jc w:val="both"/>
        <w:rPr>
          <w:rFonts w:ascii="Times New Roman" w:hAnsi="Times New Roman" w:cs="Times New Roman"/>
          <w:noProof/>
          <w:sz w:val="24"/>
          <w:szCs w:val="24"/>
        </w:rPr>
      </w:pP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Като следва тези принципи, ЕС трябва да засили работата си с партньорите от ЛАК относно:</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Улесняван</w:t>
      </w:r>
      <w:r>
        <w:rPr>
          <w:rFonts w:ascii="Times New Roman" w:hAnsi="Times New Roman"/>
          <w:b/>
          <w:noProof/>
          <w:sz w:val="24"/>
          <w:u w:val="single"/>
        </w:rPr>
        <w:t>е на търговията и инвестициите между и вътре в регионите.</w:t>
      </w:r>
      <w:r>
        <w:rPr>
          <w:rFonts w:ascii="Times New Roman" w:hAnsi="Times New Roman"/>
          <w:b/>
          <w:noProof/>
          <w:sz w:val="24"/>
        </w:rPr>
        <w:t xml:space="preserve"> </w:t>
      </w:r>
      <w:r>
        <w:rPr>
          <w:rFonts w:ascii="Times New Roman" w:hAnsi="Times New Roman"/>
          <w:noProof/>
          <w:sz w:val="24"/>
        </w:rPr>
        <w:t xml:space="preserve">ЕС трябва да си сътрудничи приоритетно за завършването на преговорите, за гарантиране на ускорената ратификация и за пълното прилагане на </w:t>
      </w:r>
      <w:r>
        <w:rPr>
          <w:rFonts w:ascii="Times New Roman" w:hAnsi="Times New Roman"/>
          <w:b/>
          <w:noProof/>
          <w:sz w:val="24"/>
        </w:rPr>
        <w:t>набора от споразумения за асоцииране, търговия и икономическ</w:t>
      </w:r>
      <w:r>
        <w:rPr>
          <w:rFonts w:ascii="Times New Roman" w:hAnsi="Times New Roman"/>
          <w:b/>
          <w:noProof/>
          <w:sz w:val="24"/>
        </w:rPr>
        <w:t>о партньорство</w:t>
      </w:r>
      <w:r>
        <w:rPr>
          <w:rFonts w:ascii="Times New Roman" w:hAnsi="Times New Roman"/>
          <w:noProof/>
          <w:sz w:val="24"/>
        </w:rPr>
        <w:t>. Следва да се предприемат необходимите стъпки за подобряване на стопанската и инвестиционната среда в региона. Редом с това — да бъдат оползотворени пълноценно предоставените от споразуменията възможности: по-ефективни държавни поръчки, подо</w:t>
      </w:r>
      <w:r>
        <w:rPr>
          <w:rFonts w:ascii="Times New Roman" w:hAnsi="Times New Roman"/>
          <w:noProof/>
          <w:sz w:val="24"/>
        </w:rPr>
        <w:t>брени достъп до пазара, иновации и конкурентоспособност, вътрешнорегионална търговия и интеграция в световните вериги за доставки. Ефективната и балансирана защита на правата на интелектуална собственост увеличава възможностите за сътрудничество в областта</w:t>
      </w:r>
      <w:r>
        <w:rPr>
          <w:rFonts w:ascii="Times New Roman" w:hAnsi="Times New Roman"/>
          <w:noProof/>
          <w:sz w:val="24"/>
        </w:rPr>
        <w:t xml:space="preserve"> на научните изследвания и стимулира конкурентоспособността и иновациите. В същото време търговските споразумения следва да подпомагат </w:t>
      </w:r>
      <w:r>
        <w:rPr>
          <w:rFonts w:ascii="Times New Roman" w:hAnsi="Times New Roman"/>
          <w:b/>
          <w:noProof/>
          <w:sz w:val="24"/>
        </w:rPr>
        <w:t>устойчивото развитие, правата на човека и доброто управление</w:t>
      </w:r>
      <w:r>
        <w:rPr>
          <w:rFonts w:ascii="Times New Roman" w:hAnsi="Times New Roman"/>
          <w:noProof/>
          <w:sz w:val="24"/>
        </w:rPr>
        <w:t>: ЕС следва да работи заедно с ЛАК за засилено прилагане на с</w:t>
      </w:r>
      <w:r>
        <w:rPr>
          <w:rFonts w:ascii="Times New Roman" w:hAnsi="Times New Roman"/>
          <w:noProof/>
          <w:sz w:val="24"/>
        </w:rPr>
        <w:t>оциалните, трудовите и екологичните разпоредби на действащите споразумения в съответствие с общия ангажимент на двата региона към Програмата до 2030 г. за устойчиво развитие, както и за насърчаване на отговорното управление на световните вериги на доставки</w:t>
      </w:r>
      <w:r>
        <w:rPr>
          <w:rFonts w:ascii="Times New Roman" w:hAnsi="Times New Roman"/>
          <w:noProof/>
          <w:sz w:val="24"/>
        </w:rPr>
        <w:t xml:space="preserve">.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се създадат по-добри условия, способстващи за  търговията и инвестициите между ЕС и ЛАК, ЕС и ЛАК следва съвместно да насърчават </w:t>
      </w:r>
      <w:r>
        <w:rPr>
          <w:rFonts w:ascii="Times New Roman" w:hAnsi="Times New Roman"/>
          <w:b/>
          <w:noProof/>
          <w:sz w:val="24"/>
        </w:rPr>
        <w:t>по-голямата прозрачност</w:t>
      </w:r>
      <w:r>
        <w:rPr>
          <w:rFonts w:ascii="Times New Roman" w:hAnsi="Times New Roman"/>
          <w:noProof/>
          <w:sz w:val="24"/>
        </w:rPr>
        <w:t>, по-специално по време на преговорите за сключването или промяната на споразумения за търговия</w:t>
      </w:r>
      <w:r>
        <w:rPr>
          <w:rFonts w:ascii="Times New Roman" w:hAnsi="Times New Roman"/>
          <w:noProof/>
          <w:sz w:val="24"/>
        </w:rPr>
        <w:t xml:space="preserve"> и като поощряват участието на гражданското общество в изпълнението на споразуменията.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Споразуменията следва също така да се използват като инструмент за насърчаване на нормативното сближаване по </w:t>
      </w:r>
      <w:r>
        <w:rPr>
          <w:rFonts w:ascii="Times New Roman" w:hAnsi="Times New Roman"/>
          <w:b/>
          <w:noProof/>
          <w:sz w:val="24"/>
        </w:rPr>
        <w:t>санитарни и фитосанитарни въпроси</w:t>
      </w:r>
      <w:r>
        <w:rPr>
          <w:rFonts w:ascii="Times New Roman" w:hAnsi="Times New Roman"/>
          <w:noProof/>
          <w:sz w:val="24"/>
        </w:rPr>
        <w:t>, за да се улесни обменът н</w:t>
      </w:r>
      <w:r>
        <w:rPr>
          <w:rFonts w:ascii="Times New Roman" w:hAnsi="Times New Roman"/>
          <w:noProof/>
          <w:sz w:val="24"/>
        </w:rPr>
        <w:t xml:space="preserve">а стоки между ЛАК и ЕС и се поддържат високи стандарти по отношение на безопасността на храните и здравето на животните и на растенията. Във връзка с борбата срещу </w:t>
      </w:r>
      <w:r>
        <w:rPr>
          <w:rFonts w:ascii="Times New Roman" w:hAnsi="Times New Roman"/>
          <w:b/>
          <w:noProof/>
          <w:sz w:val="24"/>
        </w:rPr>
        <w:t>антимикробната резистентност (АМР)</w:t>
      </w:r>
      <w:r>
        <w:rPr>
          <w:rFonts w:ascii="Times New Roman" w:hAnsi="Times New Roman"/>
          <w:noProof/>
          <w:sz w:val="24"/>
        </w:rPr>
        <w:t xml:space="preserve"> в съответствие с подхода „Едно здраве“ текущите дейности </w:t>
      </w:r>
      <w:r>
        <w:rPr>
          <w:rFonts w:ascii="Times New Roman" w:hAnsi="Times New Roman"/>
          <w:noProof/>
          <w:sz w:val="24"/>
        </w:rPr>
        <w:t>ще подкрепят ЛАК в разработването и прилагането на собствени национални планове за действие за борба с АМР, следващи същия подход.</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следва да подкрепи усилията за интеграция в рамките на ЛАК, като например Тихоокеанския алианс, с цел засилване на </w:t>
      </w:r>
      <w:r>
        <w:rPr>
          <w:rFonts w:ascii="Times New Roman" w:hAnsi="Times New Roman"/>
          <w:b/>
          <w:noProof/>
          <w:sz w:val="24"/>
        </w:rPr>
        <w:t>вътрешн</w:t>
      </w:r>
      <w:r>
        <w:rPr>
          <w:rFonts w:ascii="Times New Roman" w:hAnsi="Times New Roman"/>
          <w:b/>
          <w:noProof/>
          <w:sz w:val="24"/>
        </w:rPr>
        <w:t>орегионалната търговия</w:t>
      </w:r>
      <w:r>
        <w:rPr>
          <w:rFonts w:ascii="Times New Roman" w:hAnsi="Times New Roman"/>
          <w:noProof/>
          <w:sz w:val="24"/>
        </w:rPr>
        <w:t xml:space="preserve"> и улесняване на инвестициите, включително като сподели своя опит за премахването на нетарифните бариери пред търговията и за насърчаване на нормативното сближаване и хармонизация. Следва да продължи работата по реформата на системата</w:t>
      </w:r>
      <w:r>
        <w:rPr>
          <w:rFonts w:ascii="Times New Roman" w:hAnsi="Times New Roman"/>
          <w:noProof/>
          <w:sz w:val="24"/>
        </w:rPr>
        <w:t xml:space="preserve"> за уреждане на спорове между инвеститори и държави в рамките на процеса за създаване на постоянен многостранен инвестиционен съд, който тече в Комисията на ООН по международно търговско право. Освен това ЕС е отворен за възможността за сключване с ключови</w:t>
      </w:r>
      <w:r>
        <w:rPr>
          <w:rFonts w:ascii="Times New Roman" w:hAnsi="Times New Roman"/>
          <w:noProof/>
          <w:sz w:val="24"/>
        </w:rPr>
        <w:t xml:space="preserve"> партньори на споразумения за защита на инвестициите. ЕС следва да насърчи ратифицирането и прилагането на Споразумението на Световната търговска организация (СТО) за улесняване на търговията като двигател на трансграничната търговия. ЕС следва също така д</w:t>
      </w:r>
      <w:r>
        <w:rPr>
          <w:rFonts w:ascii="Times New Roman" w:hAnsi="Times New Roman"/>
          <w:noProof/>
          <w:sz w:val="24"/>
        </w:rPr>
        <w:t>а насърчава присъединяването на партньорите към Споразумението за държавните поръчки.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Насърчаване на прехода към зелена икономика</w:t>
      </w:r>
      <w:r>
        <w:rPr>
          <w:rFonts w:ascii="Times New Roman" w:hAnsi="Times New Roman"/>
          <w:b/>
          <w:noProof/>
          <w:sz w:val="24"/>
        </w:rPr>
        <w:t>.</w:t>
      </w:r>
      <w:r>
        <w:rPr>
          <w:rFonts w:ascii="Times New Roman" w:hAnsi="Times New Roman"/>
          <w:noProof/>
          <w:sz w:val="24"/>
        </w:rPr>
        <w:t xml:space="preserve"> Двата региона следва да станат челници по пътя към по-устойчиви производство и потребление. Особено обещаващи в това отношени</w:t>
      </w:r>
      <w:r>
        <w:rPr>
          <w:rFonts w:ascii="Times New Roman" w:hAnsi="Times New Roman"/>
          <w:noProof/>
          <w:sz w:val="24"/>
        </w:rPr>
        <w:t>е са сътрудничеството и споделянето на опит и познания в областта на енергията от възобновяеми източници, енергийната ефективност и ефективността на ресурсите, както и кръговата икономика. Научните изследвания, технологиите и експертният опит на ЕС, включи</w:t>
      </w:r>
      <w:r>
        <w:rPr>
          <w:rFonts w:ascii="Times New Roman" w:hAnsi="Times New Roman"/>
          <w:noProof/>
          <w:sz w:val="24"/>
        </w:rPr>
        <w:t>телно по отношение на мобилизирането на частно финансиране за устойчив растеж</w:t>
      </w:r>
      <w:r>
        <w:rPr>
          <w:rStyle w:val="FootnoteReference"/>
          <w:rFonts w:ascii="Times New Roman" w:hAnsi="Times New Roman"/>
          <w:noProof/>
          <w:sz w:val="24"/>
        </w:rPr>
        <w:footnoteReference w:id="11"/>
      </w:r>
      <w:r>
        <w:rPr>
          <w:rFonts w:ascii="Times New Roman" w:hAnsi="Times New Roman"/>
          <w:noProof/>
          <w:sz w:val="24"/>
        </w:rPr>
        <w:t>, биха могли да спомогнат за отключването на огромния потенциал на ЛАК за устойчива водна, вятърна, слънчева, океанска и геотермална енергия със същевременно засилване на енергий</w:t>
      </w:r>
      <w:r>
        <w:rPr>
          <w:rFonts w:ascii="Times New Roman" w:hAnsi="Times New Roman"/>
          <w:noProof/>
          <w:sz w:val="24"/>
        </w:rPr>
        <w:t>ната устойчивост и създаване на работни места и възможности за стопанска дейност. Сътрудничеството в областта на високопроизводителните изчислителни технологии би могло да допринесе за модернизирането на енергетиката. С оглед на специфичната уязвимост на к</w:t>
      </w:r>
      <w:r>
        <w:rPr>
          <w:rFonts w:ascii="Times New Roman" w:hAnsi="Times New Roman"/>
          <w:noProof/>
          <w:sz w:val="24"/>
        </w:rPr>
        <w:t>арибските острови ЕС следва да насърчава външното измерение на инициативата „Чиста енергия за островите в ЕС“</w:t>
      </w:r>
      <w:r>
        <w:rPr>
          <w:rStyle w:val="FootnoteReference"/>
          <w:rFonts w:ascii="Times New Roman" w:hAnsi="Times New Roman"/>
          <w:noProof/>
          <w:sz w:val="24"/>
        </w:rPr>
        <w:footnoteReference w:id="12"/>
      </w:r>
      <w:r>
        <w:rPr>
          <w:rFonts w:ascii="Times New Roman" w:hAnsi="Times New Roman"/>
          <w:noProof/>
          <w:sz w:val="24"/>
        </w:rPr>
        <w:t>, както и да подкрепя и привлича инвестиции във възобновяема енергия и енергийна ефективност. Европейската инвестиционна банка би могла да доприне</w:t>
      </w:r>
      <w:r>
        <w:rPr>
          <w:rFonts w:ascii="Times New Roman" w:hAnsi="Times New Roman"/>
          <w:noProof/>
          <w:sz w:val="24"/>
        </w:rPr>
        <w:t xml:space="preserve">се за тази трансформация чрез предоставянето на дългосрочно финансиране и съответните технически експертни познания.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Насърчаване на синята икономика.</w:t>
      </w:r>
      <w:r>
        <w:rPr>
          <w:rFonts w:ascii="Times New Roman" w:hAnsi="Times New Roman"/>
          <w:noProof/>
          <w:sz w:val="24"/>
        </w:rPr>
        <w:t xml:space="preserve"> По-тясното сътрудничество в областта на синята икономика и устойчивото използване на морските ресурси, вк</w:t>
      </w:r>
      <w:r>
        <w:rPr>
          <w:rFonts w:ascii="Times New Roman" w:hAnsi="Times New Roman"/>
          <w:noProof/>
          <w:sz w:val="24"/>
        </w:rPr>
        <w:t>лючително чрез създаването на защитени морски зони в Атлантическия океан, ще създаде благоприятни условия за растеж, особено в крайбрежните и островните общности, и ще допринесе за адаптирането към изменението на климата и смекчаването на последиците от не</w:t>
      </w:r>
      <w:r>
        <w:rPr>
          <w:rFonts w:ascii="Times New Roman" w:hAnsi="Times New Roman"/>
          <w:noProof/>
          <w:sz w:val="24"/>
        </w:rPr>
        <w:t>го. Общите стандарти и откритият достъп до данните, свързани с океаните, са от ключово значение за постигането на напредък в синята икономика и за подобряването на управлението на океаните.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Улесняване на прехода към кръгова икономика.</w:t>
      </w:r>
      <w:r>
        <w:rPr>
          <w:rFonts w:ascii="Times New Roman" w:hAnsi="Times New Roman"/>
          <w:noProof/>
          <w:sz w:val="24"/>
        </w:rPr>
        <w:t xml:space="preserve"> Солидните и основани </w:t>
      </w:r>
      <w:r>
        <w:rPr>
          <w:rFonts w:ascii="Times New Roman" w:hAnsi="Times New Roman"/>
          <w:noProof/>
          <w:sz w:val="24"/>
        </w:rPr>
        <w:t>на данни политики и стандарти в областта на околната среда са ключови инструменти за устойчив икономически растеж. Специално внимание следва да се обърне на пластмасите, морските отпадъци и устойчивото управление на химикалите и отпадъците. Осигуряването н</w:t>
      </w:r>
      <w:r>
        <w:rPr>
          <w:rFonts w:ascii="Times New Roman" w:hAnsi="Times New Roman"/>
          <w:noProof/>
          <w:sz w:val="24"/>
        </w:rPr>
        <w:t xml:space="preserve">а </w:t>
      </w:r>
      <w:r>
        <w:rPr>
          <w:rFonts w:ascii="Times New Roman" w:hAnsi="Times New Roman"/>
          <w:b/>
          <w:noProof/>
          <w:sz w:val="24"/>
        </w:rPr>
        <w:t>устойчиво управление на природните ресурси</w:t>
      </w:r>
      <w:r>
        <w:rPr>
          <w:rFonts w:ascii="Times New Roman" w:hAnsi="Times New Roman"/>
          <w:noProof/>
          <w:sz w:val="24"/>
        </w:rPr>
        <w:t xml:space="preserve"> може да гарантира дългосрочност и стабилност на просперитета на регионите. И двете страни биха извлекли ползи от продължаването на диалога и сътрудничеството относно суровините, за да се намери устойчиво решение</w:t>
      </w:r>
      <w:r>
        <w:rPr>
          <w:rFonts w:ascii="Times New Roman" w:hAnsi="Times New Roman"/>
          <w:noProof/>
          <w:sz w:val="24"/>
        </w:rPr>
        <w:t xml:space="preserve"> във връзка с нарастващото търсене на тези материали. Стартираната през 2017 г. цифрова платформа относно добива на минерали (Mineral Development Platform) предоставя основа за това сътрудничество. Двата региона биха могат да обединят сили за насърчаване н</w:t>
      </w:r>
      <w:r>
        <w:rPr>
          <w:rFonts w:ascii="Times New Roman" w:hAnsi="Times New Roman"/>
          <w:noProof/>
          <w:sz w:val="24"/>
        </w:rPr>
        <w:t xml:space="preserve">а </w:t>
      </w:r>
      <w:r>
        <w:rPr>
          <w:rFonts w:ascii="Times New Roman" w:hAnsi="Times New Roman"/>
          <w:b/>
          <w:noProof/>
          <w:sz w:val="24"/>
        </w:rPr>
        <w:t>отговорни промишлени вериги за създаване на стойност</w:t>
      </w:r>
      <w:r>
        <w:rPr>
          <w:rFonts w:ascii="Times New Roman" w:hAnsi="Times New Roman"/>
          <w:noProof/>
          <w:sz w:val="24"/>
        </w:rPr>
        <w:t>, така че да се подпомогнат предприятията да спазват стандартите за отговорно бизнес поведение, което допринася за устойчивото развитие.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Насърчаване на устойчиви и интелигентни градове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Като се има </w:t>
      </w:r>
      <w:r>
        <w:rPr>
          <w:rFonts w:ascii="Times New Roman" w:hAnsi="Times New Roman"/>
          <w:noProof/>
          <w:sz w:val="24"/>
        </w:rPr>
        <w:t>предвид, че огромната част от хората в двата региона живеят в градски райони</w:t>
      </w:r>
      <w:r>
        <w:rPr>
          <w:rStyle w:val="FootnoteReference"/>
          <w:rFonts w:ascii="Times New Roman" w:hAnsi="Times New Roman"/>
          <w:noProof/>
          <w:sz w:val="24"/>
        </w:rPr>
        <w:footnoteReference w:id="13"/>
      </w:r>
      <w:r>
        <w:rPr>
          <w:rFonts w:ascii="Times New Roman" w:hAnsi="Times New Roman"/>
          <w:noProof/>
          <w:sz w:val="24"/>
        </w:rPr>
        <w:t>, не престава да бъде от значение насърчаването на устойчивите градове и действията на местно равнище. ЕС и ЛАК могат да извлекат полза от обмена на научни изследвания и опит в об</w:t>
      </w:r>
      <w:r>
        <w:rPr>
          <w:rFonts w:ascii="Times New Roman" w:hAnsi="Times New Roman"/>
          <w:noProof/>
          <w:sz w:val="24"/>
        </w:rPr>
        <w:t>ластта на устойчивата урбанизация, като например природосъобразни решения, решения за мобилност с ниски въглеродни емисии или възстановяване на градските екосистеми. Би могло да бъде разширено успешното сътрудничество между градовете в областта на устойчив</w:t>
      </w:r>
      <w:r>
        <w:rPr>
          <w:rFonts w:ascii="Times New Roman" w:hAnsi="Times New Roman"/>
          <w:noProof/>
          <w:sz w:val="24"/>
        </w:rPr>
        <w:t xml:space="preserve">ото градско развитие, като например Световния конвент на кметовете.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Насърчаване на достойния труд и конкурентоспособните и отговорни предприятия</w:t>
      </w:r>
      <w:r>
        <w:rPr>
          <w:rFonts w:ascii="Times New Roman" w:hAnsi="Times New Roman"/>
          <w:b/>
          <w:noProof/>
          <w:sz w:val="24"/>
        </w:rPr>
        <w:t xml:space="preserve">. </w:t>
      </w:r>
      <w:r>
        <w:rPr>
          <w:rFonts w:ascii="Times New Roman" w:hAnsi="Times New Roman"/>
          <w:noProof/>
          <w:sz w:val="24"/>
        </w:rPr>
        <w:t>Насърчаването на достойния труд и зачитането на трудовите права и екологичните стандарти трябва да останат пр</w:t>
      </w:r>
      <w:r>
        <w:rPr>
          <w:rFonts w:ascii="Times New Roman" w:hAnsi="Times New Roman"/>
          <w:noProof/>
          <w:sz w:val="24"/>
        </w:rPr>
        <w:t xml:space="preserve">иоритет на сътрудничеството, и по-специално спазването на конвенциите на Международната организация на труда. И двата региона допринесоха за приемането на </w:t>
      </w:r>
      <w:r>
        <w:rPr>
          <w:rFonts w:ascii="Times New Roman" w:hAnsi="Times New Roman"/>
          <w:b/>
          <w:noProof/>
          <w:sz w:val="24"/>
        </w:rPr>
        <w:t>международни трудови стандарти</w:t>
      </w:r>
      <w:r>
        <w:rPr>
          <w:rFonts w:ascii="Times New Roman" w:hAnsi="Times New Roman"/>
          <w:noProof/>
          <w:sz w:val="24"/>
        </w:rPr>
        <w:t xml:space="preserve"> и сега следва да работят съвместно за тяхното прилагане, включително п</w:t>
      </w:r>
      <w:r>
        <w:rPr>
          <w:rFonts w:ascii="Times New Roman" w:hAnsi="Times New Roman"/>
          <w:noProof/>
          <w:sz w:val="24"/>
        </w:rPr>
        <w:t>о отношение на свободата на сдружаване и премахването на детския труд. Успешният опит на ЕС в диалога със социалните партньори може да бъде споделен чрез обмен на най-добри практики. Основно предизвикателство в ЛАК е преходът към официалната икономика, кат</w:t>
      </w:r>
      <w:r>
        <w:rPr>
          <w:rFonts w:ascii="Times New Roman" w:hAnsi="Times New Roman"/>
          <w:noProof/>
          <w:sz w:val="24"/>
        </w:rPr>
        <w:t>о недекларираната заетост представлява над 40 % от общата заетост извън селското стопанство</w:t>
      </w:r>
      <w:r>
        <w:rPr>
          <w:rStyle w:val="FootnoteReference"/>
          <w:rFonts w:ascii="Times New Roman" w:hAnsi="Times New Roman"/>
          <w:noProof/>
          <w:sz w:val="24"/>
        </w:rPr>
        <w:footnoteReference w:id="14"/>
      </w:r>
      <w:r>
        <w:rPr>
          <w:rFonts w:ascii="Times New Roman" w:hAnsi="Times New Roman"/>
          <w:noProof/>
          <w:sz w:val="24"/>
        </w:rPr>
        <w:t xml:space="preserve">.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По-тясното сътрудничество следва да повиши производителността на микро-, малките и средните предприятия (ММСП). Конкретните стъпки в тази посока, осигуряващи пол</w:t>
      </w:r>
      <w:r>
        <w:rPr>
          <w:rFonts w:ascii="Times New Roman" w:hAnsi="Times New Roman"/>
          <w:noProof/>
          <w:sz w:val="24"/>
        </w:rPr>
        <w:t>зи за потребителите и производителите от двете страни, включват пълноценното използване на разпоредбите на споразуменията между ЕС и ЛАК за асоцииране, търговия и икономическо партньорство. Трябва да продължи съвместната работа за насърчаване на възприеман</w:t>
      </w:r>
      <w:r>
        <w:rPr>
          <w:rFonts w:ascii="Times New Roman" w:hAnsi="Times New Roman"/>
          <w:noProof/>
          <w:sz w:val="24"/>
        </w:rPr>
        <w:t xml:space="preserve">ето на международно признатите стандарти за </w:t>
      </w:r>
      <w:r>
        <w:rPr>
          <w:rFonts w:ascii="Times New Roman" w:hAnsi="Times New Roman"/>
          <w:b/>
          <w:noProof/>
          <w:sz w:val="24"/>
        </w:rPr>
        <w:t>корпоративна социална отговорност</w:t>
      </w:r>
      <w:r>
        <w:rPr>
          <w:rFonts w:ascii="Times New Roman" w:hAnsi="Times New Roman"/>
          <w:noProof/>
          <w:sz w:val="24"/>
        </w:rPr>
        <w:t xml:space="preserve"> и отговорно бизнес поведение, включително насоките на Организацията за икономическо сътрудничество и развитие (ОИСР) за многонационалните предприятия и ръководните принципи на Ор</w:t>
      </w:r>
      <w:r>
        <w:rPr>
          <w:rFonts w:ascii="Times New Roman" w:hAnsi="Times New Roman"/>
          <w:noProof/>
          <w:sz w:val="24"/>
        </w:rPr>
        <w:t>ганизацията на обединените нации (ООН) относно стопанската дейност и правата на човека.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Сътрудничеството в тази област ще се основава на успехите на текущите програми в подкрепа на бизнес анализа, мрежите на ММСП и стартиращите предприятия в двата региона.</w:t>
      </w:r>
      <w:r>
        <w:rPr>
          <w:rFonts w:ascii="Times New Roman" w:hAnsi="Times New Roman"/>
          <w:noProof/>
          <w:sz w:val="24"/>
        </w:rPr>
        <w:t xml:space="preserve"> ЕС следва също така да се стреми да насърчава сътрудничеството между ММСП от ЛАК и мрежата „Enterprise Europe“. Бизнес клъстерите и мрежите от ЛАК биха могли да се възползват от Европейската платформа за сътрудничество между клъстери.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Инвестиране в знания</w:t>
      </w:r>
      <w:r>
        <w:rPr>
          <w:rFonts w:ascii="Times New Roman" w:hAnsi="Times New Roman"/>
          <w:b/>
          <w:noProof/>
          <w:sz w:val="24"/>
          <w:u w:val="single"/>
        </w:rPr>
        <w:t>, иновации и човешки капитал</w:t>
      </w:r>
      <w:r>
        <w:rPr>
          <w:rFonts w:ascii="Times New Roman" w:hAnsi="Times New Roman"/>
          <w:b/>
          <w:noProof/>
          <w:sz w:val="24"/>
        </w:rPr>
        <w:t xml:space="preserve">. </w:t>
      </w:r>
      <w:r>
        <w:rPr>
          <w:rFonts w:ascii="Times New Roman" w:hAnsi="Times New Roman"/>
          <w:noProof/>
          <w:sz w:val="24"/>
        </w:rPr>
        <w:t>Двата региона следва да се възползват от възможностите, предлагани от „Хоризонт 2020“ и бъдещата програма „Хоризонт Европа“, като насърчават мобилността, обучението и професионалното израстване на изследователи по линия на про</w:t>
      </w:r>
      <w:r>
        <w:rPr>
          <w:rFonts w:ascii="Times New Roman" w:hAnsi="Times New Roman"/>
          <w:noProof/>
          <w:sz w:val="24"/>
        </w:rPr>
        <w:t>грамата „Мария Склодовска-Кюри“, високите научни постижения и намирането на съвместни решения на глобалните предизвикателства в рамките на общото научноизследователско пространство. В допълнение ЕС би могъл да сподели своя опит в свързването на науката и ч</w:t>
      </w:r>
      <w:r>
        <w:rPr>
          <w:rFonts w:ascii="Times New Roman" w:hAnsi="Times New Roman"/>
          <w:noProof/>
          <w:sz w:val="24"/>
        </w:rPr>
        <w:t>астния сектор, трансфера на технологии и идеи от научноизследователската база към новосъздадените предприятия и промишлеността, както и насърчаването на интелигентната специализация и иновациите на регионално равнище.</w:t>
      </w:r>
    </w:p>
    <w:p w:rsidR="00787500" w:rsidRDefault="007C27D1">
      <w:pPr>
        <w:spacing w:after="120" w:line="240" w:lineRule="auto"/>
        <w:jc w:val="both"/>
        <w:rPr>
          <w:rFonts w:ascii="Times New Roman" w:hAnsi="Times New Roman" w:cs="Times New Roman"/>
          <w:iCs/>
          <w:noProof/>
          <w:sz w:val="24"/>
          <w:szCs w:val="24"/>
        </w:rPr>
      </w:pPr>
      <w:r>
        <w:rPr>
          <w:rFonts w:ascii="Times New Roman" w:hAnsi="Times New Roman"/>
          <w:noProof/>
          <w:sz w:val="24"/>
        </w:rPr>
        <w:t>ЕС е готов да предприеме съвместни дей</w:t>
      </w:r>
      <w:r>
        <w:rPr>
          <w:rFonts w:ascii="Times New Roman" w:hAnsi="Times New Roman"/>
          <w:noProof/>
          <w:sz w:val="24"/>
        </w:rPr>
        <w:t xml:space="preserve">ствия за развитието на </w:t>
      </w:r>
      <w:r>
        <w:rPr>
          <w:rFonts w:ascii="Times New Roman" w:hAnsi="Times New Roman"/>
          <w:b/>
          <w:noProof/>
          <w:sz w:val="24"/>
        </w:rPr>
        <w:t>човешкия капитал</w:t>
      </w:r>
      <w:r>
        <w:rPr>
          <w:rFonts w:ascii="Times New Roman" w:hAnsi="Times New Roman"/>
          <w:noProof/>
          <w:sz w:val="24"/>
        </w:rPr>
        <w:t xml:space="preserve">, необходим, за да се отговори на изискванията на бързо променящите се технологии, цифровизация и предприемачество. Двата региона следва да продължат да си сътрудничат в областта на </w:t>
      </w:r>
      <w:r>
        <w:rPr>
          <w:rFonts w:ascii="Times New Roman" w:hAnsi="Times New Roman"/>
          <w:b/>
          <w:noProof/>
          <w:sz w:val="24"/>
        </w:rPr>
        <w:t>висшето</w:t>
      </w:r>
      <w:r>
        <w:rPr>
          <w:rFonts w:ascii="Times New Roman" w:hAnsi="Times New Roman"/>
          <w:noProof/>
          <w:sz w:val="24"/>
        </w:rPr>
        <w:t xml:space="preserve"> </w:t>
      </w:r>
      <w:r>
        <w:rPr>
          <w:rFonts w:ascii="Times New Roman" w:hAnsi="Times New Roman"/>
          <w:b/>
          <w:noProof/>
          <w:sz w:val="24"/>
        </w:rPr>
        <w:t>образование</w:t>
      </w:r>
      <w:r>
        <w:rPr>
          <w:rFonts w:ascii="Times New Roman" w:hAnsi="Times New Roman"/>
          <w:noProof/>
          <w:sz w:val="24"/>
        </w:rPr>
        <w:t xml:space="preserve"> въз основа на п</w:t>
      </w:r>
      <w:r>
        <w:rPr>
          <w:rFonts w:ascii="Times New Roman" w:hAnsi="Times New Roman"/>
          <w:noProof/>
          <w:sz w:val="24"/>
        </w:rPr>
        <w:t xml:space="preserve">рограмата „Еразъм +“, като разширяват обмена и изграждането на капацитет в областта на висшето образование и укрепват регионалния диалог между академичната общност и създателите на политики. Те биха могли да развият по-тясно сътрудничество в областта на </w:t>
      </w:r>
      <w:r>
        <w:rPr>
          <w:rFonts w:ascii="Times New Roman" w:hAnsi="Times New Roman"/>
          <w:b/>
          <w:noProof/>
          <w:sz w:val="24"/>
        </w:rPr>
        <w:t>пр</w:t>
      </w:r>
      <w:r>
        <w:rPr>
          <w:rFonts w:ascii="Times New Roman" w:hAnsi="Times New Roman"/>
          <w:b/>
          <w:noProof/>
          <w:sz w:val="24"/>
        </w:rPr>
        <w:t>офесионалното образование и обучение</w:t>
      </w:r>
      <w:r>
        <w:rPr>
          <w:rFonts w:ascii="Times New Roman" w:hAnsi="Times New Roman"/>
          <w:noProof/>
          <w:sz w:val="24"/>
        </w:rPr>
        <w:t>, за да се отговори на търсенето на умения в условията на трансформация на глобалната икономика, и да се ангажират в сътрудничество, което допринася за достойни работни места, диверсификацията и конкурентоспособността на</w:t>
      </w:r>
      <w:r>
        <w:rPr>
          <w:rFonts w:ascii="Times New Roman" w:hAnsi="Times New Roman"/>
          <w:noProof/>
          <w:sz w:val="24"/>
        </w:rPr>
        <w:t xml:space="preserve"> стратегически сектори на икономиката.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Тласък на цифровата икономика.</w:t>
      </w:r>
      <w:r>
        <w:rPr>
          <w:rFonts w:ascii="Times New Roman" w:hAnsi="Times New Roman"/>
          <w:b/>
          <w:noProof/>
          <w:sz w:val="24"/>
        </w:rPr>
        <w:t xml:space="preserve"> </w:t>
      </w:r>
      <w:r>
        <w:rPr>
          <w:rFonts w:ascii="Times New Roman" w:hAnsi="Times New Roman"/>
          <w:noProof/>
          <w:sz w:val="24"/>
        </w:rPr>
        <w:t>Цифровото сътрудничество следва да стане централен елемент на отношенията, подпомагащ икономиките на двата региона да извлекат ползите от новите технологии, като същевременно се насърчав</w:t>
      </w:r>
      <w:r>
        <w:rPr>
          <w:rFonts w:ascii="Times New Roman" w:hAnsi="Times New Roman"/>
          <w:noProof/>
          <w:sz w:val="24"/>
        </w:rPr>
        <w:t>ат иновациите и цифровизацията.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Като се следва дългосрочна визия за цифров единен пазар в ЛАК, трябва да бъде подкрепена </w:t>
      </w:r>
      <w:r>
        <w:rPr>
          <w:rFonts w:ascii="Times New Roman" w:hAnsi="Times New Roman"/>
          <w:b/>
          <w:noProof/>
          <w:sz w:val="24"/>
        </w:rPr>
        <w:t>регулаторната хармонизация</w:t>
      </w:r>
      <w:r>
        <w:rPr>
          <w:rFonts w:ascii="Times New Roman" w:hAnsi="Times New Roman"/>
          <w:noProof/>
          <w:sz w:val="24"/>
        </w:rPr>
        <w:t xml:space="preserve">, включително по отношение на технологиите от пето поколение (5G), интернет на нещата, изкуствения интелект, </w:t>
      </w:r>
      <w:r>
        <w:rPr>
          <w:rFonts w:ascii="Times New Roman" w:hAnsi="Times New Roman"/>
          <w:noProof/>
          <w:sz w:val="24"/>
        </w:rPr>
        <w:t>стандартизацията в областта на технологиите за цифрова трансформация, европейските глобални навигационни спътникови системи и „Коперник“ и тяхното промишлено приложение, както и инвестициите в инфраструктура за високоскоростен пренос на данни. Цифровият ед</w:t>
      </w:r>
      <w:r>
        <w:rPr>
          <w:rFonts w:ascii="Times New Roman" w:hAnsi="Times New Roman"/>
          <w:noProof/>
          <w:sz w:val="24"/>
        </w:rPr>
        <w:t>инен пазар на ЕС предоставя редица модели, които биха могли да бъдат от интерес за региона на ЛАК, включително по отношение на сигурността на данните и електронната идентификация. Киберсигурността, електронното управление, онлайн платформите, трансгранични</w:t>
      </w:r>
      <w:r>
        <w:rPr>
          <w:rFonts w:ascii="Times New Roman" w:hAnsi="Times New Roman"/>
          <w:noProof/>
          <w:sz w:val="24"/>
        </w:rPr>
        <w:t>те плащания и управлението на интернет са други перспективни области на сътрудничество. Освен това е важно да се засили сближаването между ЕС и ЛАК в областта на защитата на личните данни като начин за по-нататъшно улесняване на потоците от данни и сътрудн</w:t>
      </w:r>
      <w:r>
        <w:rPr>
          <w:rFonts w:ascii="Times New Roman" w:hAnsi="Times New Roman"/>
          <w:noProof/>
          <w:sz w:val="24"/>
        </w:rPr>
        <w:t>ичеството между съответните органи.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Нов подводен оптичен кабел, изграден с подкрепата на ЕС и частни инвеститори, ще свързва Латинска Америка и Европа и ще осигурява </w:t>
      </w:r>
      <w:r>
        <w:rPr>
          <w:rFonts w:ascii="Times New Roman" w:hAnsi="Times New Roman"/>
          <w:b/>
          <w:noProof/>
          <w:sz w:val="24"/>
        </w:rPr>
        <w:t>високоскоростна широколентова свързаност</w:t>
      </w:r>
      <w:r>
        <w:rPr>
          <w:rFonts w:ascii="Times New Roman" w:hAnsi="Times New Roman"/>
          <w:noProof/>
          <w:sz w:val="24"/>
        </w:rPr>
        <w:t>, която ще стимулира стопанския, научния и образов</w:t>
      </w:r>
      <w:r>
        <w:rPr>
          <w:rFonts w:ascii="Times New Roman" w:hAnsi="Times New Roman"/>
          <w:noProof/>
          <w:sz w:val="24"/>
        </w:rPr>
        <w:t>ателния обмен между двата региона. Трябва да бъдат проучени вариантите за засилване на свързаността в Централна Америка и Карибския регион.</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Повишаване на свързаността</w:t>
      </w:r>
      <w:r>
        <w:rPr>
          <w:rFonts w:ascii="Times New Roman" w:hAnsi="Times New Roman"/>
          <w:b/>
          <w:noProof/>
          <w:sz w:val="24"/>
        </w:rPr>
        <w:t xml:space="preserve"> </w:t>
      </w:r>
      <w:r>
        <w:rPr>
          <w:rFonts w:ascii="Times New Roman" w:hAnsi="Times New Roman"/>
          <w:noProof/>
          <w:sz w:val="24"/>
        </w:rPr>
        <w:t xml:space="preserve">посредством въздухоплаването и други видове транспорт. Договарянето на нови всеобхватни </w:t>
      </w:r>
      <w:r>
        <w:rPr>
          <w:rFonts w:ascii="Times New Roman" w:hAnsi="Times New Roman"/>
          <w:b/>
          <w:noProof/>
          <w:sz w:val="24"/>
        </w:rPr>
        <w:t>с</w:t>
      </w:r>
      <w:r>
        <w:rPr>
          <w:rFonts w:ascii="Times New Roman" w:hAnsi="Times New Roman"/>
          <w:b/>
          <w:noProof/>
          <w:sz w:val="24"/>
        </w:rPr>
        <w:t xml:space="preserve">поразумения за въздушен транспорт </w:t>
      </w:r>
      <w:r>
        <w:rPr>
          <w:rFonts w:ascii="Times New Roman" w:hAnsi="Times New Roman"/>
          <w:noProof/>
          <w:sz w:val="24"/>
        </w:rPr>
        <w:t>ще подобри не само достъпа до пазара, но и ще създаде нови възможности за стопанска дейност и ще гарантира справедливи и прозрачни условия на пазара, основани на ясна нормативна уредба. Тези споразумения ще осигурят също т</w:t>
      </w:r>
      <w:r>
        <w:rPr>
          <w:rFonts w:ascii="Times New Roman" w:hAnsi="Times New Roman"/>
          <w:noProof/>
          <w:sz w:val="24"/>
        </w:rPr>
        <w:t>ака повече връзки и по-добри цени за пътниците и могат да улеснят по-нататъшното сътрудничество в области като авиационната безопасност, авиационната сигурност, социалните въпроси и околната среда. Би могло да бъде проучено сътрудничеството относно други в</w:t>
      </w:r>
      <w:r>
        <w:rPr>
          <w:rFonts w:ascii="Times New Roman" w:hAnsi="Times New Roman"/>
          <w:noProof/>
          <w:sz w:val="24"/>
        </w:rPr>
        <w:t>идове транспорт, като например железопътния и морския транспорт, както и устойчивите и интелигентни системи за градска мобилност.</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Използване на космически технологии</w:t>
      </w:r>
      <w:r>
        <w:rPr>
          <w:rFonts w:ascii="Times New Roman" w:hAnsi="Times New Roman"/>
          <w:b/>
          <w:noProof/>
          <w:sz w:val="24"/>
        </w:rPr>
        <w:t>.</w:t>
      </w:r>
      <w:r>
        <w:rPr>
          <w:rFonts w:ascii="Times New Roman" w:hAnsi="Times New Roman"/>
          <w:noProof/>
          <w:sz w:val="24"/>
        </w:rPr>
        <w:t xml:space="preserve"> Космическото пространство е разрастваща се област на сътрудничество с все още неизползван</w:t>
      </w:r>
      <w:r>
        <w:rPr>
          <w:rFonts w:ascii="Times New Roman" w:hAnsi="Times New Roman"/>
          <w:noProof/>
          <w:sz w:val="24"/>
        </w:rPr>
        <w:t xml:space="preserve"> потенциал. Днес европейските глобални навигационни спътникови системи — „Галилео“ и EGNOS— са оперативна реалност. Свързаната с тях верига на стойността е в състояние да осигури най-нови експертни познания, ноу-хау и технологии, които могат да бъдат споде</w:t>
      </w:r>
      <w:r>
        <w:rPr>
          <w:rFonts w:ascii="Times New Roman" w:hAnsi="Times New Roman"/>
          <w:noProof/>
          <w:sz w:val="24"/>
        </w:rPr>
        <w:t>лени. „Коперник“, програмата на ЕС за наблюдение на Земята, също може да спомогне за преодоляване на обществените предизвикателства — от опазването на околната среда и изменението на климата до селското стопанство и градското развитие. Въз основа на принци</w:t>
      </w:r>
      <w:r>
        <w:rPr>
          <w:rFonts w:ascii="Times New Roman" w:hAnsi="Times New Roman"/>
          <w:noProof/>
          <w:sz w:val="24"/>
        </w:rPr>
        <w:t>па на реципрочност би могло да се използват напълно механизмите за сътрудничество в рамките на „Коперник“</w:t>
      </w:r>
      <w:r>
        <w:rPr>
          <w:rStyle w:val="FootnoteReference"/>
          <w:rFonts w:ascii="Times New Roman" w:hAnsi="Times New Roman"/>
          <w:noProof/>
          <w:sz w:val="24"/>
        </w:rPr>
        <w:footnoteReference w:id="15"/>
      </w:r>
      <w:r>
        <w:rPr>
          <w:rFonts w:ascii="Times New Roman" w:hAnsi="Times New Roman"/>
          <w:noProof/>
          <w:sz w:val="24"/>
        </w:rPr>
        <w:t>, с които се предоставя безплатен, пълен и свободен достъп до данни.</w:t>
      </w:r>
    </w:p>
    <w:p w:rsidR="00787500" w:rsidRDefault="00787500">
      <w:pPr>
        <w:spacing w:after="0" w:line="240" w:lineRule="auto"/>
        <w:jc w:val="both"/>
        <w:rPr>
          <w:rFonts w:ascii="Times New Roman" w:hAnsi="Times New Roman" w:cs="Times New Roman"/>
          <w:noProof/>
          <w:sz w:val="24"/>
          <w:szCs w:val="24"/>
        </w:rPr>
      </w:pPr>
    </w:p>
    <w:p w:rsidR="00787500" w:rsidRDefault="00787500">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787500">
        <w:tc>
          <w:tcPr>
            <w:tcW w:w="9288" w:type="dxa"/>
            <w:shd w:val="clear" w:color="auto" w:fill="F2F2F2" w:themeFill="background1" w:themeFillShade="F2"/>
          </w:tcPr>
          <w:p w:rsidR="00787500" w:rsidRDefault="007C27D1">
            <w:pPr>
              <w:spacing w:after="120"/>
              <w:jc w:val="both"/>
              <w:rPr>
                <w:rFonts w:ascii="Times New Roman" w:hAnsi="Times New Roman" w:cs="Times New Roman"/>
                <w:b/>
                <w:i/>
                <w:noProof/>
                <w:sz w:val="24"/>
                <w:szCs w:val="24"/>
              </w:rPr>
            </w:pPr>
            <w:r>
              <w:rPr>
                <w:rFonts w:ascii="Times New Roman" w:hAnsi="Times New Roman"/>
                <w:b/>
                <w:i/>
                <w:noProof/>
                <w:sz w:val="24"/>
              </w:rPr>
              <w:t xml:space="preserve">Партньорство за благоденствие: </w:t>
            </w:r>
          </w:p>
          <w:p w:rsidR="00787500" w:rsidRDefault="007C27D1">
            <w:pPr>
              <w:keepNext/>
              <w:keepLines/>
              <w:numPr>
                <w:ilvl w:val="0"/>
                <w:numId w:val="1"/>
              </w:numPr>
              <w:spacing w:after="120"/>
              <w:ind w:left="284"/>
              <w:jc w:val="both"/>
              <w:rPr>
                <w:rFonts w:ascii="Times New Roman" w:hAnsi="Times New Roman" w:cs="Times New Roman"/>
                <w:i/>
                <w:noProof/>
                <w:sz w:val="24"/>
                <w:szCs w:val="24"/>
              </w:rPr>
            </w:pPr>
            <w:r>
              <w:rPr>
                <w:rFonts w:ascii="Times New Roman" w:hAnsi="Times New Roman"/>
                <w:i/>
                <w:noProof/>
                <w:sz w:val="24"/>
              </w:rPr>
              <w:t xml:space="preserve">улесняване на междурегионалните и </w:t>
            </w:r>
            <w:r>
              <w:rPr>
                <w:rFonts w:ascii="Times New Roman" w:hAnsi="Times New Roman"/>
                <w:i/>
                <w:noProof/>
                <w:sz w:val="24"/>
              </w:rPr>
              <w:t>вътрешнорегионалните устойчиви търговия и инвестиции, работа за довършване на мрежата от търговски и инвестиционни споразумения, както и за гарантиране на бързото им ратифициране и цялостно изпълнение, включително на социалните, трудовите и екологичните ра</w:t>
            </w:r>
            <w:r>
              <w:rPr>
                <w:rFonts w:ascii="Times New Roman" w:hAnsi="Times New Roman"/>
                <w:i/>
                <w:noProof/>
                <w:sz w:val="24"/>
              </w:rPr>
              <w:t>зпоредби;</w:t>
            </w:r>
          </w:p>
          <w:p w:rsidR="00787500" w:rsidRDefault="007C27D1">
            <w:pPr>
              <w:keepNext/>
              <w:keepLines/>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i/>
                <w:noProof/>
                <w:sz w:val="24"/>
              </w:rPr>
              <w:t>подпомагане на усилията за регионална интеграция чрез задействане на конкретно сътрудничество по общи цели с инициативи като Тихоокеанския алианс;</w:t>
            </w:r>
          </w:p>
          <w:p w:rsidR="00787500" w:rsidRDefault="007C27D1">
            <w:pPr>
              <w:keepNext/>
              <w:keepLines/>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i/>
                <w:noProof/>
                <w:sz w:val="24"/>
              </w:rPr>
              <w:t>насърчаване на зелената икономика, включително чрез подкрепа на прехода към нисковъглеродна енергет</w:t>
            </w:r>
            <w:r>
              <w:rPr>
                <w:rFonts w:ascii="Times New Roman" w:hAnsi="Times New Roman"/>
                <w:i/>
                <w:noProof/>
                <w:sz w:val="24"/>
              </w:rPr>
              <w:t>ика в ЛАК и съвместна работа за развитието на синята икономика и за устойчиво и отговорно управление на природните ресурси, включително суровините;</w:t>
            </w:r>
          </w:p>
          <w:p w:rsidR="00787500" w:rsidRDefault="007C27D1">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i/>
                <w:noProof/>
                <w:sz w:val="24"/>
              </w:rPr>
              <w:t>подкрепа за по-добри условия на труд и растеж на производителни и отговорни микро-, малки и средни предприят</w:t>
            </w:r>
            <w:r>
              <w:rPr>
                <w:rFonts w:ascii="Times New Roman" w:hAnsi="Times New Roman"/>
                <w:i/>
                <w:noProof/>
                <w:sz w:val="24"/>
              </w:rPr>
              <w:t>ия, работа за повишаване на съответствието с международните трудови стандарти и насърчаване на корпоративната социална отговорност;</w:t>
            </w:r>
          </w:p>
          <w:p w:rsidR="00787500" w:rsidRDefault="007C27D1">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i/>
                <w:noProof/>
                <w:sz w:val="24"/>
              </w:rPr>
              <w:t xml:space="preserve">увеличаване на инвестициите в знание, иновации и човешки капитал, разработване на общо научноизследователско пространство и </w:t>
            </w:r>
            <w:r>
              <w:rPr>
                <w:rFonts w:ascii="Times New Roman" w:hAnsi="Times New Roman"/>
                <w:i/>
                <w:noProof/>
                <w:sz w:val="24"/>
              </w:rPr>
              <w:t>оптимизиране на сътрудничеството в областта на научните изследвания в рамките на „Хоризонт 2020“ и нейния приемник („Хоризонт Европа“);</w:t>
            </w:r>
          </w:p>
          <w:p w:rsidR="00787500" w:rsidRDefault="007C27D1">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i/>
                <w:noProof/>
                <w:sz w:val="24"/>
              </w:rPr>
              <w:t>даване тласък на цифровата икономика и свързаност между двата региона, засилване на сътрудничеството и  насърчаване на р</w:t>
            </w:r>
            <w:r>
              <w:rPr>
                <w:rFonts w:ascii="Times New Roman" w:hAnsi="Times New Roman"/>
                <w:i/>
                <w:noProof/>
                <w:sz w:val="24"/>
              </w:rPr>
              <w:t>егулаторната хармонизация в ключови области, както и насърчаване на развитието на инфраструктура на високоскоростна широколентова свързаност;</w:t>
            </w:r>
          </w:p>
          <w:p w:rsidR="00787500" w:rsidRDefault="007C27D1">
            <w:pPr>
              <w:numPr>
                <w:ilvl w:val="0"/>
                <w:numId w:val="1"/>
              </w:numPr>
              <w:spacing w:after="120"/>
              <w:ind w:left="284" w:hanging="284"/>
              <w:jc w:val="both"/>
              <w:rPr>
                <w:rFonts w:ascii="Times New Roman" w:eastAsiaTheme="minorHAnsi" w:hAnsi="Times New Roman" w:cs="Times New Roman"/>
                <w:noProof/>
                <w:sz w:val="24"/>
                <w:szCs w:val="24"/>
              </w:rPr>
            </w:pPr>
            <w:r>
              <w:rPr>
                <w:rFonts w:ascii="Times New Roman" w:hAnsi="Times New Roman"/>
                <w:i/>
                <w:noProof/>
                <w:sz w:val="24"/>
              </w:rPr>
              <w:t>разширяване на сътрудничеството в областите на въздушния и морския транспорт, системите за устойчива градска мобил</w:t>
            </w:r>
            <w:r>
              <w:rPr>
                <w:rFonts w:ascii="Times New Roman" w:hAnsi="Times New Roman"/>
                <w:i/>
                <w:noProof/>
                <w:sz w:val="24"/>
              </w:rPr>
              <w:t>ност, както и в областта на космоса и на наблюдението на Земята.</w:t>
            </w:r>
          </w:p>
        </w:tc>
      </w:tr>
    </w:tbl>
    <w:p w:rsidR="00787500" w:rsidRDefault="00787500">
      <w:pPr>
        <w:keepNext/>
        <w:keepLines/>
        <w:spacing w:after="0" w:line="240" w:lineRule="auto"/>
        <w:jc w:val="both"/>
        <w:rPr>
          <w:rFonts w:ascii="Times New Roman" w:hAnsi="Times New Roman" w:cs="Times New Roman"/>
          <w:b/>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2.2. Партньорство за демокрация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Демокрацията и правата на човека са в основата на партньорството между ЕС и ЛАК. В отношенията си с ЛАК ЕС ще продължи да защитава и насърчава принципите на</w:t>
      </w:r>
      <w:r>
        <w:rPr>
          <w:rFonts w:ascii="Times New Roman" w:hAnsi="Times New Roman"/>
          <w:noProof/>
          <w:sz w:val="24"/>
        </w:rPr>
        <w:t xml:space="preserve"> демокрацията и върховенството на закона. Партньорството между двата региона следва да се придържа към своите ценности и да отговори на призива на гражданите за по-ефективно добро управление. Насърчаването на демократичните политически системи, които работ</w:t>
      </w:r>
      <w:r>
        <w:rPr>
          <w:rFonts w:ascii="Times New Roman" w:hAnsi="Times New Roman"/>
          <w:noProof/>
          <w:sz w:val="24"/>
        </w:rPr>
        <w:t>ят успешно за своите граждани, ще продължи да бъде приоритет във външната политика на ЕС. Слабостите в областта на управлението, демокрацията, правата на човека, върховенството на закона и равенството между половете, корупцията или намаляващите възможности</w:t>
      </w:r>
      <w:r>
        <w:rPr>
          <w:rFonts w:ascii="Times New Roman" w:hAnsi="Times New Roman"/>
          <w:noProof/>
          <w:sz w:val="24"/>
        </w:rPr>
        <w:t xml:space="preserve"> за участие на обществеността и гражданското общество представляват основно предизвикателство пред ефективността на усилията за развитие на обществото. От полза и за двата региона е да работят съвместно за консолидирането на демократичните институции, заси</w:t>
      </w:r>
      <w:r>
        <w:rPr>
          <w:rFonts w:ascii="Times New Roman" w:hAnsi="Times New Roman"/>
          <w:noProof/>
          <w:sz w:val="24"/>
        </w:rPr>
        <w:t>лването на върховенството на закона, повишаването на прозрачността и отчетността на публичните институции и укрепването на зачитането на правата на човека..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За тази цел в отношенията си с ЛАК ЕС следва да се съсредоточи върху:</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Засиленото зачитане на прават</w:t>
      </w:r>
      <w:r>
        <w:rPr>
          <w:rFonts w:ascii="Times New Roman" w:hAnsi="Times New Roman"/>
          <w:b/>
          <w:noProof/>
          <w:sz w:val="24"/>
          <w:u w:val="single"/>
        </w:rPr>
        <w:t>а на човека</w:t>
      </w:r>
      <w:r>
        <w:rPr>
          <w:rFonts w:ascii="Times New Roman" w:hAnsi="Times New Roman"/>
          <w:noProof/>
          <w:sz w:val="24"/>
        </w:rPr>
        <w:t>, като се набляга особено на свободата на словото и на сдружаване; равенството между половете и овластяването на жените и момичетата; недискриминацията, включително за малцинствата, като например лесбийките, гейовете, бисексуалните, транссексуал</w:t>
      </w:r>
      <w:r>
        <w:rPr>
          <w:rFonts w:ascii="Times New Roman" w:hAnsi="Times New Roman"/>
          <w:noProof/>
          <w:sz w:val="24"/>
        </w:rPr>
        <w:t>ните и интерсексуалните лица (ЛГБТИ), коренното население и лицата с увреждания; децата и младите хора; икономическите, социалните и културните права, включително правото на собственост на земя, на питейна вода и канализация, правата, свързани с жилищно на</w:t>
      </w:r>
      <w:r>
        <w:rPr>
          <w:rFonts w:ascii="Times New Roman" w:hAnsi="Times New Roman"/>
          <w:noProof/>
          <w:sz w:val="24"/>
        </w:rPr>
        <w:t>станяване, и трудовите права; безпристрастността на съдебната система и ефективността на правосъдните системи; прекратяването на практиката на изтезания и премахването на смъртното наказание. Ето защо ЕС следва да продължи да си сътрудничи тясно със съотве</w:t>
      </w:r>
      <w:r>
        <w:rPr>
          <w:rFonts w:ascii="Times New Roman" w:hAnsi="Times New Roman"/>
          <w:noProof/>
          <w:sz w:val="24"/>
        </w:rPr>
        <w:t>тните органи на Организацията на американските държави и с държавите от ЛАК за укрепване на международния режим в областта на правата на човека.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Овластяването на гражданското общество</w:t>
      </w:r>
      <w:r>
        <w:rPr>
          <w:rFonts w:ascii="Times New Roman" w:hAnsi="Times New Roman"/>
          <w:noProof/>
          <w:sz w:val="24"/>
        </w:rPr>
        <w:t xml:space="preserve"> като крайъгълен камък на всяка демократична система и преодоляването на </w:t>
      </w:r>
      <w:r>
        <w:rPr>
          <w:rFonts w:ascii="Times New Roman" w:hAnsi="Times New Roman"/>
          <w:noProof/>
          <w:sz w:val="24"/>
        </w:rPr>
        <w:t>ограниченията и заплахите за пространството на гражданското общество, защитниците на правата на човека и околната среда, журналистите и профсъюзните деятели; включително чрез насърчаването на благоприятна правна и политическа среда, която да им позволява д</w:t>
      </w:r>
      <w:r>
        <w:rPr>
          <w:rFonts w:ascii="Times New Roman" w:hAnsi="Times New Roman"/>
          <w:noProof/>
          <w:sz w:val="24"/>
        </w:rPr>
        <w:t>а действат свободно и безопасно, и разширяването на техните възможности за значимо участие в процеса на вземане на решения, достъп до правосъдие и информация.</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Насърчаването на равенството между половете и овластяването на жените и момичета</w:t>
      </w:r>
      <w:r>
        <w:rPr>
          <w:rFonts w:ascii="Times New Roman" w:hAnsi="Times New Roman"/>
          <w:noProof/>
          <w:sz w:val="24"/>
        </w:rPr>
        <w:t>, включително защ</w:t>
      </w:r>
      <w:r>
        <w:rPr>
          <w:rFonts w:ascii="Times New Roman" w:hAnsi="Times New Roman"/>
          <w:noProof/>
          <w:sz w:val="24"/>
        </w:rPr>
        <w:t>итата, упражняването и насърчаването на политическите, социалните и икономическите права, както и интегрирането на равенството между половете във всички аспекти на сътрудничеството между ЕС и ЛАК. Партньорството следва да действа приоритетно по отношение н</w:t>
      </w:r>
      <w:r>
        <w:rPr>
          <w:rFonts w:ascii="Times New Roman" w:hAnsi="Times New Roman"/>
          <w:noProof/>
          <w:sz w:val="24"/>
        </w:rPr>
        <w:t>а тревожните равнища на насилие, основано на пола, като се опира на опита, inter alia, от инициативата Spotlight, чието начало беше дадено от ЕС и ООН през 2018 г.</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Гарантирането на надеждни, прозрачни и приобщаващи демократични институции и изборни процеси</w:t>
      </w:r>
      <w:r>
        <w:rPr>
          <w:rFonts w:ascii="Times New Roman" w:hAnsi="Times New Roman"/>
          <w:noProof/>
          <w:sz w:val="24"/>
        </w:rPr>
        <w:t>. ЕС следва да продължи да организира наблюдение на избори и посещения на експерти, като при поискване ще съдейства за укрепването на избирателните системи на партньорите в сътрудничество с Организацията на американските държави. ЕС и ЛАК следва да засилят</w:t>
      </w:r>
      <w:r>
        <w:rPr>
          <w:rFonts w:ascii="Times New Roman" w:hAnsi="Times New Roman"/>
          <w:noProof/>
          <w:sz w:val="24"/>
        </w:rPr>
        <w:t xml:space="preserve"> сътрудничеството и обмена на опит във всички тези области, включително относно опасностите от дезинформация.</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Укрепването на върховенството на закона и борбата с корупцията, изпирането на пари и финансирането на тероризма</w:t>
      </w:r>
      <w:r>
        <w:rPr>
          <w:rFonts w:ascii="Times New Roman" w:hAnsi="Times New Roman"/>
          <w:b/>
          <w:noProof/>
          <w:sz w:val="24"/>
        </w:rPr>
        <w:t xml:space="preserve">. </w:t>
      </w:r>
      <w:r>
        <w:rPr>
          <w:rFonts w:ascii="Times New Roman" w:hAnsi="Times New Roman"/>
          <w:noProof/>
          <w:sz w:val="24"/>
        </w:rPr>
        <w:t>Могат да бъдат предоставяни експе</w:t>
      </w:r>
      <w:r>
        <w:rPr>
          <w:rFonts w:ascii="Times New Roman" w:hAnsi="Times New Roman"/>
          <w:noProof/>
          <w:sz w:val="24"/>
        </w:rPr>
        <w:t>ртни познания и технически капацитет за актуализиране и модернизиране на законодателството и укрепване на надзорните институции. ЕС следва да работи с партньорите от ЛАК за насърчаване на ратифицирането и ефективното прилагане на съответните международни с</w:t>
      </w:r>
      <w:r>
        <w:rPr>
          <w:rFonts w:ascii="Times New Roman" w:hAnsi="Times New Roman"/>
          <w:noProof/>
          <w:sz w:val="24"/>
        </w:rPr>
        <w:t>поразумения. ЕС и ЛАК споделят загрижеността по отношение на корупцията, като включването на амбициозни разпоредби за прозрачност и борба с корупцията е част от процеса на модернизиране на споразуменията за асоцииране с Мексико и Чили и в преговорите с Мер</w:t>
      </w:r>
      <w:r>
        <w:rPr>
          <w:rFonts w:ascii="Times New Roman" w:hAnsi="Times New Roman"/>
          <w:noProof/>
          <w:sz w:val="24"/>
        </w:rPr>
        <w:t>косур.</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Подкрепата за ефективни публични институции</w:t>
      </w:r>
      <w:r>
        <w:rPr>
          <w:rFonts w:ascii="Times New Roman" w:hAnsi="Times New Roman"/>
          <w:b/>
          <w:noProof/>
          <w:sz w:val="24"/>
        </w:rPr>
        <w:t xml:space="preserve"> </w:t>
      </w:r>
      <w:r>
        <w:rPr>
          <w:rFonts w:ascii="Times New Roman" w:hAnsi="Times New Roman"/>
          <w:noProof/>
          <w:sz w:val="24"/>
        </w:rPr>
        <w:t xml:space="preserve">чрез обединяване на усилията за повишаване на ефективността на публични институции, подобряване на мобилизирането на вътрешни приходи, провеждане на бюджетни реформи и гарантиране на основана на заслуги </w:t>
      </w:r>
      <w:r>
        <w:rPr>
          <w:rFonts w:ascii="Times New Roman" w:hAnsi="Times New Roman"/>
          <w:noProof/>
          <w:sz w:val="24"/>
        </w:rPr>
        <w:t>публична администрация. Разширяването на правомощията на местните органи, модернизирането на администрациите и подобряването на предоставянето на услуги следва да бъдат приоритетни области.</w:t>
      </w:r>
    </w:p>
    <w:p w:rsidR="00787500" w:rsidRDefault="00787500">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787500">
        <w:tc>
          <w:tcPr>
            <w:tcW w:w="9288" w:type="dxa"/>
            <w:shd w:val="clear" w:color="auto" w:fill="F2F2F2" w:themeFill="background1" w:themeFillShade="F2"/>
          </w:tcPr>
          <w:p w:rsidR="00787500" w:rsidRDefault="007C27D1">
            <w:pPr>
              <w:spacing w:after="120"/>
              <w:contextualSpacing/>
              <w:jc w:val="both"/>
              <w:rPr>
                <w:rFonts w:ascii="Times New Roman" w:hAnsi="Times New Roman" w:cs="Times New Roman"/>
                <w:b/>
                <w:i/>
                <w:noProof/>
                <w:sz w:val="24"/>
                <w:szCs w:val="24"/>
              </w:rPr>
            </w:pPr>
            <w:r>
              <w:rPr>
                <w:rFonts w:ascii="Times New Roman" w:hAnsi="Times New Roman"/>
                <w:b/>
                <w:i/>
                <w:noProof/>
                <w:sz w:val="24"/>
              </w:rPr>
              <w:t>Партньорство за демокрация</w:t>
            </w:r>
          </w:p>
          <w:p w:rsidR="00787500" w:rsidRDefault="007C27D1">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i/>
                <w:noProof/>
                <w:sz w:val="24"/>
              </w:rPr>
              <w:t xml:space="preserve">отдаване на приоритет на по-доброто </w:t>
            </w:r>
            <w:r>
              <w:rPr>
                <w:rFonts w:ascii="Times New Roman" w:hAnsi="Times New Roman"/>
                <w:i/>
                <w:noProof/>
                <w:sz w:val="24"/>
              </w:rPr>
              <w:t>зачитане на правата на човека и демократичните принципи чрез укрепване на сътрудничеството на регионално и двустранно равнище и чрез съвместна работа с ЛАК за координиране на действията в областта на правата на човека в съответните органи на ООН;</w:t>
            </w:r>
          </w:p>
          <w:p w:rsidR="00787500" w:rsidRDefault="007C27D1">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i/>
                <w:noProof/>
                <w:sz w:val="24"/>
              </w:rPr>
              <w:t xml:space="preserve"> подкрепа</w:t>
            </w:r>
            <w:r>
              <w:rPr>
                <w:rFonts w:ascii="Times New Roman" w:hAnsi="Times New Roman"/>
                <w:i/>
                <w:noProof/>
                <w:sz w:val="24"/>
              </w:rPr>
              <w:t xml:space="preserve"> за динамично гражданско общество, включително застъпничество за по-широко публично пространство за журналистите и защитниците на правата на човека и на околната среда, както и тяхното пълноценно участие в процесите на вземане на решения;</w:t>
            </w:r>
          </w:p>
          <w:p w:rsidR="00787500" w:rsidRDefault="007C27D1">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i/>
                <w:noProof/>
                <w:sz w:val="24"/>
              </w:rPr>
              <w:t>намаляване на неп</w:t>
            </w:r>
            <w:r>
              <w:rPr>
                <w:rFonts w:ascii="Times New Roman" w:hAnsi="Times New Roman"/>
                <w:i/>
                <w:noProof/>
                <w:sz w:val="24"/>
              </w:rPr>
              <w:t>риемливо високото равнище на основано на пола насилие, съвместна работа с ЛАК за насърчаване на политическите, социалните и икономическите права на жените и момичетата и подкрепа за усилията за прекратяване на насилието срещу тях;</w:t>
            </w:r>
          </w:p>
          <w:p w:rsidR="00787500" w:rsidRDefault="007C27D1">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i/>
                <w:noProof/>
                <w:sz w:val="24"/>
              </w:rPr>
              <w:t>засилване на подкрепата з</w:t>
            </w:r>
            <w:r>
              <w:rPr>
                <w:rFonts w:ascii="Times New Roman" w:hAnsi="Times New Roman"/>
                <w:i/>
                <w:noProof/>
                <w:sz w:val="24"/>
              </w:rPr>
              <w:t>а функционирането на демократичните, подлежащи на отчетност и прозрачни институции и за организирането на честни и свободни изборни процеси посредством експертни консултации и наблюдение на избори;</w:t>
            </w:r>
          </w:p>
          <w:p w:rsidR="00787500" w:rsidRDefault="007C27D1">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i/>
                <w:noProof/>
                <w:sz w:val="24"/>
              </w:rPr>
              <w:t xml:space="preserve">активизиране на съвместната работа за борба с корупцията, </w:t>
            </w:r>
            <w:r>
              <w:rPr>
                <w:rFonts w:ascii="Times New Roman" w:hAnsi="Times New Roman"/>
                <w:i/>
                <w:noProof/>
                <w:sz w:val="24"/>
              </w:rPr>
              <w:t>изпирането на пари и финансирането на тероризма чрез техническа помощ, обмен на най-добри практики и насърчаване на ратифицирането и прилагането на съответните международни споразумения.</w:t>
            </w:r>
          </w:p>
        </w:tc>
      </w:tr>
    </w:tbl>
    <w:p w:rsidR="00787500" w:rsidRDefault="00787500">
      <w:pPr>
        <w:spacing w:after="0" w:line="240" w:lineRule="auto"/>
        <w:jc w:val="both"/>
        <w:rPr>
          <w:rFonts w:ascii="Times New Roman" w:hAnsi="Times New Roman" w:cs="Times New Roman"/>
          <w:noProof/>
          <w:sz w:val="24"/>
          <w:szCs w:val="24"/>
        </w:rPr>
      </w:pPr>
    </w:p>
    <w:p w:rsidR="00787500" w:rsidRDefault="007C27D1">
      <w:pPr>
        <w:keepNext/>
        <w:keepLines/>
        <w:spacing w:after="120" w:line="240" w:lineRule="auto"/>
        <w:jc w:val="both"/>
        <w:rPr>
          <w:rFonts w:ascii="Times New Roman" w:hAnsi="Times New Roman" w:cs="Times New Roman"/>
          <w:b/>
          <w:noProof/>
          <w:sz w:val="24"/>
        </w:rPr>
      </w:pPr>
      <w:r>
        <w:rPr>
          <w:rFonts w:ascii="Times New Roman" w:hAnsi="Times New Roman"/>
          <w:b/>
          <w:noProof/>
          <w:sz w:val="24"/>
        </w:rPr>
        <w:t>2.3. Партньорство за устойчивост</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Постигането на социално сближаване</w:t>
      </w:r>
      <w:r>
        <w:rPr>
          <w:rFonts w:ascii="Times New Roman" w:hAnsi="Times New Roman"/>
          <w:noProof/>
          <w:sz w:val="24"/>
        </w:rPr>
        <w:t xml:space="preserve"> среща непрекъснати трудности в контекста на глобализация, социално неравенство, бърза урбанизация, изменение на климата, влошаване на състоянието на околната среда, повтарящи се и по-интензивни бедствия, миграционни потоци и принудително разселване. Всичк</w:t>
      </w:r>
      <w:r>
        <w:rPr>
          <w:rFonts w:ascii="Times New Roman" w:hAnsi="Times New Roman"/>
          <w:noProof/>
          <w:sz w:val="24"/>
        </w:rPr>
        <w:t>и тези предизвикателства представляват особени проблеми за най-уязвимите държави от ЛАК и могат да бъдат предмет на обмен на опит и най-добри практики между двата региона.</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За да продължи напредъкът по различните направления на развитието, ЕС предлага прила</w:t>
      </w:r>
      <w:r>
        <w:rPr>
          <w:rFonts w:ascii="Times New Roman" w:hAnsi="Times New Roman"/>
          <w:noProof/>
          <w:sz w:val="24"/>
        </w:rPr>
        <w:t>гането в отношенията между двата региона на многостранен и адаптиран подход във връзка с устойчивостта на държавите, обществата и екосистемите. В съответствие с целите за устойчиво развитие сътрудничеството на ЕС с ЛАК следва да се съсредоточи върху:</w:t>
      </w:r>
    </w:p>
    <w:p w:rsidR="00787500" w:rsidRDefault="007C27D1">
      <w:pPr>
        <w:spacing w:after="120" w:line="240" w:lineRule="auto"/>
        <w:jc w:val="both"/>
        <w:rPr>
          <w:rFonts w:ascii="Times New Roman" w:hAnsi="Times New Roman" w:cs="Times New Roman"/>
          <w:noProof/>
          <w:sz w:val="24"/>
        </w:rPr>
      </w:pPr>
      <w:r>
        <w:rPr>
          <w:rFonts w:ascii="Times New Roman" w:hAnsi="Times New Roman"/>
          <w:b/>
          <w:noProof/>
          <w:sz w:val="24"/>
          <w:u w:val="single"/>
        </w:rPr>
        <w:t>Прогр</w:t>
      </w:r>
      <w:r>
        <w:rPr>
          <w:rFonts w:ascii="Times New Roman" w:hAnsi="Times New Roman"/>
          <w:b/>
          <w:noProof/>
          <w:sz w:val="24"/>
          <w:u w:val="single"/>
        </w:rPr>
        <w:t>ама за устойчивост спрямо изменението на климата,</w:t>
      </w:r>
      <w:r>
        <w:rPr>
          <w:rFonts w:ascii="Times New Roman" w:hAnsi="Times New Roman"/>
          <w:b/>
          <w:noProof/>
          <w:sz w:val="24"/>
        </w:rPr>
        <w:t xml:space="preserve"> </w:t>
      </w:r>
      <w:r>
        <w:rPr>
          <w:rFonts w:ascii="Times New Roman" w:hAnsi="Times New Roman"/>
          <w:noProof/>
          <w:sz w:val="24"/>
        </w:rPr>
        <w:t>насочена към управление на рисковете, свързани с климата, особено в малките островни развиващи се държави в Карибския басейн, както и насърчаване на основани на екосистемите подходи в подкрепа на прехода къ</w:t>
      </w:r>
      <w:r>
        <w:rPr>
          <w:rFonts w:ascii="Times New Roman" w:hAnsi="Times New Roman"/>
          <w:noProof/>
          <w:sz w:val="24"/>
        </w:rPr>
        <w:t>м икономика с ниски въглеродни емисии. Бъдещото сътрудничество може да се основава на подхода на програма EUROCLIMA+</w:t>
      </w:r>
      <w:r>
        <w:rPr>
          <w:rStyle w:val="FootnoteReference"/>
          <w:rFonts w:ascii="Times New Roman" w:hAnsi="Times New Roman"/>
          <w:noProof/>
          <w:sz w:val="24"/>
        </w:rPr>
        <w:footnoteReference w:id="16"/>
      </w:r>
      <w:r>
        <w:rPr>
          <w:rFonts w:ascii="Times New Roman" w:hAnsi="Times New Roman"/>
          <w:noProof/>
          <w:sz w:val="24"/>
        </w:rPr>
        <w:t xml:space="preserve"> и финансиране от ЕИБ за инвестиционни проекти, които допринасят за действията в областта на климата и опазването на околната среда.</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И дват</w:t>
      </w:r>
      <w:r>
        <w:rPr>
          <w:rFonts w:ascii="Times New Roman" w:hAnsi="Times New Roman"/>
          <w:noProof/>
          <w:sz w:val="24"/>
        </w:rPr>
        <w:t>а региона ще извлекат полза от повишаване на съгласуваността на капиталовите потоци с усилията за постигане на ниски емисии на парникови газове и развитие, устойчиво на изменението на климата, например посредством създаването на нисковъглеродни инвестицион</w:t>
      </w:r>
      <w:r>
        <w:rPr>
          <w:rFonts w:ascii="Times New Roman" w:hAnsi="Times New Roman"/>
          <w:noProof/>
          <w:sz w:val="24"/>
        </w:rPr>
        <w:t>ни рамки.</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Сътрудничеството в разработването на устойчиви продоволствени системи е от голямо значение. Консолидирането на мерките за приспособяване и смекчаване на последиците в сектора на селското стопанство следва да остане важен елемент.</w:t>
      </w:r>
    </w:p>
    <w:p w:rsidR="00787500" w:rsidRDefault="007C27D1">
      <w:pPr>
        <w:spacing w:after="120" w:line="240" w:lineRule="auto"/>
        <w:jc w:val="both"/>
        <w:rPr>
          <w:rFonts w:ascii="Times New Roman" w:hAnsi="Times New Roman" w:cs="Times New Roman"/>
          <w:b/>
          <w:noProof/>
          <w:sz w:val="24"/>
          <w:u w:val="single"/>
        </w:rPr>
      </w:pPr>
      <w:r>
        <w:rPr>
          <w:rFonts w:ascii="Times New Roman" w:hAnsi="Times New Roman"/>
          <w:noProof/>
          <w:sz w:val="24"/>
        </w:rPr>
        <w:t xml:space="preserve">Механизмът за </w:t>
      </w:r>
      <w:r>
        <w:rPr>
          <w:rFonts w:ascii="Times New Roman" w:hAnsi="Times New Roman"/>
          <w:noProof/>
          <w:sz w:val="24"/>
        </w:rPr>
        <w:t>гражданска защита на Европейския съюз и Координационният център за реагиране при извънредни ситуации могат да допълнят усилията на ЛАК за намаляване на риска от бедствия, включително чрез работа по изпълнението на Рамковата програма от Сендай за намаляване</w:t>
      </w:r>
      <w:r>
        <w:rPr>
          <w:rFonts w:ascii="Times New Roman" w:hAnsi="Times New Roman"/>
          <w:noProof/>
          <w:sz w:val="24"/>
        </w:rPr>
        <w:t xml:space="preserve"> на риска от бедствия за периода 2015—2030 г.</w:t>
      </w:r>
    </w:p>
    <w:p w:rsidR="00787500" w:rsidRDefault="007C27D1">
      <w:pPr>
        <w:spacing w:after="120" w:line="240" w:lineRule="auto"/>
        <w:jc w:val="both"/>
        <w:rPr>
          <w:rFonts w:ascii="Times New Roman" w:hAnsi="Times New Roman" w:cs="Times New Roman"/>
          <w:noProof/>
          <w:sz w:val="24"/>
        </w:rPr>
      </w:pPr>
      <w:r>
        <w:rPr>
          <w:rFonts w:ascii="Times New Roman" w:hAnsi="Times New Roman"/>
          <w:b/>
          <w:noProof/>
          <w:sz w:val="24"/>
          <w:u w:val="single"/>
        </w:rPr>
        <w:t>Околна среда и биологично разнообразие</w:t>
      </w:r>
      <w:r>
        <w:rPr>
          <w:rFonts w:ascii="Times New Roman" w:hAnsi="Times New Roman"/>
          <w:noProof/>
          <w:sz w:val="24"/>
        </w:rPr>
        <w:t>. В ЛАК са 40 % от световното биологично разнообразие и 7 от 25-те горещи точки на биологично разнообразие</w:t>
      </w:r>
      <w:r>
        <w:rPr>
          <w:rStyle w:val="FootnoteReference"/>
          <w:rFonts w:ascii="Times New Roman" w:hAnsi="Times New Roman"/>
          <w:noProof/>
          <w:sz w:val="24"/>
        </w:rPr>
        <w:footnoteReference w:id="17"/>
      </w:r>
      <w:r>
        <w:rPr>
          <w:rFonts w:ascii="Times New Roman" w:hAnsi="Times New Roman"/>
          <w:noProof/>
          <w:sz w:val="24"/>
        </w:rPr>
        <w:t>. Загубата на биологично разнообразие, неустойчивият добив, управ</w:t>
      </w:r>
      <w:r>
        <w:rPr>
          <w:rFonts w:ascii="Times New Roman" w:hAnsi="Times New Roman"/>
          <w:noProof/>
          <w:sz w:val="24"/>
        </w:rPr>
        <w:t>лението на природните ресурси и влошаването на качеството на почвата, горите, водите и крайбрежната околна среда са изключително важни екологични предизвикателства, които имат значително въздействие върху екосистемните услуги и благосъстоянието на уязвимит</w:t>
      </w:r>
      <w:r>
        <w:rPr>
          <w:rFonts w:ascii="Times New Roman" w:hAnsi="Times New Roman"/>
          <w:noProof/>
          <w:sz w:val="24"/>
        </w:rPr>
        <w:t>е групи, включително коренните и местните общности. Световното търсене на суровини увеличава натиска върху природните ресурси и води до широкомащабно обезлесяване и влошаване на околната среда, което оказва влияние върху поминъка и развитието. Партньорство</w:t>
      </w:r>
      <w:r>
        <w:rPr>
          <w:rFonts w:ascii="Times New Roman" w:hAnsi="Times New Roman"/>
          <w:noProof/>
          <w:sz w:val="24"/>
        </w:rPr>
        <w:t>то следва да допринесе за устойчивото управление на природните ресурси в регионите, включително на земята, горите и водите, опазване на екосистемите и устойчиви вериги за предлагане на селскостопански продукти. То следва да допринесе за изпълнението на кра</w:t>
      </w:r>
      <w:r>
        <w:rPr>
          <w:rFonts w:ascii="Times New Roman" w:hAnsi="Times New Roman"/>
          <w:noProof/>
          <w:sz w:val="24"/>
        </w:rPr>
        <w:t>ткосрочния план за действие за възстановяване на екосистемите, приет в рамките на Конвенцията за биологичното разнообразие (1992 г.), Стратегическия план за биологичното разнообразие за периода 2011—2020 г. и Рамката за биологичното разнообразие за периода</w:t>
      </w:r>
      <w:r>
        <w:rPr>
          <w:rFonts w:ascii="Times New Roman" w:hAnsi="Times New Roman"/>
          <w:noProof/>
          <w:sz w:val="24"/>
        </w:rPr>
        <w:t xml:space="preserve"> след 2020 г., както и други международни ангажименти и многостранни споразумения в областта на околната среда.</w:t>
      </w:r>
    </w:p>
    <w:p w:rsidR="00787500" w:rsidRDefault="007C27D1">
      <w:pPr>
        <w:spacing w:after="120" w:line="240" w:lineRule="auto"/>
        <w:jc w:val="both"/>
        <w:rPr>
          <w:rFonts w:ascii="Times New Roman" w:hAnsi="Times New Roman" w:cs="Times New Roman"/>
          <w:noProof/>
          <w:sz w:val="24"/>
        </w:rPr>
      </w:pPr>
      <w:r>
        <w:rPr>
          <w:rFonts w:ascii="Times New Roman" w:hAnsi="Times New Roman"/>
          <w:b/>
          <w:noProof/>
          <w:sz w:val="24"/>
          <w:u w:val="single"/>
        </w:rPr>
        <w:t>Борбата с неравенството</w:t>
      </w:r>
      <w:r>
        <w:rPr>
          <w:rFonts w:ascii="Times New Roman" w:hAnsi="Times New Roman"/>
          <w:b/>
          <w:noProof/>
          <w:sz w:val="24"/>
        </w:rPr>
        <w:t xml:space="preserve">. </w:t>
      </w:r>
      <w:r>
        <w:rPr>
          <w:rFonts w:ascii="Times New Roman" w:hAnsi="Times New Roman"/>
          <w:noProof/>
          <w:sz w:val="24"/>
        </w:rPr>
        <w:t xml:space="preserve">Трайните неравенства възпрепятстват социалното сближаване, което води до пропуснати възможности и неосъществен </w:t>
      </w:r>
      <w:r>
        <w:rPr>
          <w:rFonts w:ascii="Times New Roman" w:hAnsi="Times New Roman"/>
          <w:noProof/>
          <w:sz w:val="24"/>
        </w:rPr>
        <w:t>икономически растеж, престъпност и насилие, както и по-ниско доверие в институциите, което в крайна сметка отслабва демокрацията и върховенството на закона. Индексът Джини продължи да намалява в Латинска Америка от 0,543 пункта през 2002 г. на 0,466 през 2</w:t>
      </w:r>
      <w:r>
        <w:rPr>
          <w:rFonts w:ascii="Times New Roman" w:hAnsi="Times New Roman"/>
          <w:noProof/>
          <w:sz w:val="24"/>
        </w:rPr>
        <w:t>017 г., но темпът на намаляване се забави през последните години</w:t>
      </w:r>
      <w:r>
        <w:rPr>
          <w:rStyle w:val="FootnoteReference"/>
          <w:rFonts w:ascii="Times New Roman" w:hAnsi="Times New Roman"/>
          <w:noProof/>
          <w:sz w:val="24"/>
        </w:rPr>
        <w:footnoteReference w:id="18"/>
      </w:r>
      <w:r>
        <w:rPr>
          <w:rFonts w:ascii="Times New Roman" w:hAnsi="Times New Roman"/>
          <w:noProof/>
          <w:sz w:val="24"/>
        </w:rPr>
        <w:t>. През 2017 г. броят на хората, живеещи в бедност, достигна 184 милиона души (или 30,2 % от населението), а делът на лицата, живеещи в крайна бедност, продължи да нараства (62 милиона души ил</w:t>
      </w:r>
      <w:r>
        <w:rPr>
          <w:rFonts w:ascii="Times New Roman" w:hAnsi="Times New Roman"/>
          <w:noProof/>
          <w:sz w:val="24"/>
        </w:rPr>
        <w:t>и 10,2 % от населението — най-високият процент от 2008 г. насам)</w:t>
      </w:r>
      <w:r>
        <w:rPr>
          <w:rStyle w:val="FootnoteReference"/>
          <w:rFonts w:ascii="Times New Roman" w:hAnsi="Times New Roman"/>
          <w:noProof/>
          <w:sz w:val="24"/>
        </w:rPr>
        <w:footnoteReference w:id="19"/>
      </w:r>
      <w:r>
        <w:rPr>
          <w:rFonts w:ascii="Times New Roman" w:hAnsi="Times New Roman"/>
          <w:noProof/>
          <w:sz w:val="24"/>
        </w:rPr>
        <w:t xml:space="preserve">. През следващите години общият ангажимент за постигането на социално сближаване следва да доведе до по-тесен диалог, включително обмен на добри практики, в тази област. </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Двата региона следва</w:t>
      </w:r>
      <w:r>
        <w:rPr>
          <w:rFonts w:ascii="Times New Roman" w:hAnsi="Times New Roman"/>
          <w:noProof/>
          <w:sz w:val="24"/>
        </w:rPr>
        <w:t xml:space="preserve"> да засилят сътрудничеството за постигането на справедливи и ефективни данъчни системи и системи за социална закрила като основни инструменти за насърчаването на приобщаващ икономически растеж и преодоляването на неравенствата. То ще се основава на заражда</w:t>
      </w:r>
      <w:r>
        <w:rPr>
          <w:rFonts w:ascii="Times New Roman" w:hAnsi="Times New Roman"/>
          <w:noProof/>
          <w:sz w:val="24"/>
        </w:rPr>
        <w:t xml:space="preserve">щото се сътрудничество по въпросите на </w:t>
      </w:r>
      <w:r>
        <w:rPr>
          <w:rFonts w:ascii="Times New Roman" w:hAnsi="Times New Roman"/>
          <w:b/>
          <w:noProof/>
          <w:sz w:val="24"/>
        </w:rPr>
        <w:t>доброто управление в областта на данъчното облагане</w:t>
      </w:r>
      <w:r>
        <w:rPr>
          <w:rFonts w:ascii="Times New Roman" w:hAnsi="Times New Roman"/>
          <w:noProof/>
          <w:sz w:val="24"/>
        </w:rPr>
        <w:t>, където има силна ангажираност да се работи за преодоляване на данъчните измами, отклонението от данъчно облагане и избягването на данъци. Чрез програми като EuroSOC</w:t>
      </w:r>
      <w:r>
        <w:rPr>
          <w:rFonts w:ascii="Times New Roman" w:hAnsi="Times New Roman"/>
          <w:noProof/>
          <w:sz w:val="24"/>
        </w:rPr>
        <w:t>IAL двете страни могат да обменят опит в областта на данъчното облагане, политиките за преразпределение и предоставянето на социални услуги, включително като се възползват от новаторски мерки в ЛАК за цифровизацията на процеса, свързан със спазването на да</w:t>
      </w:r>
      <w:r>
        <w:rPr>
          <w:rFonts w:ascii="Times New Roman" w:hAnsi="Times New Roman"/>
          <w:noProof/>
          <w:sz w:val="24"/>
        </w:rPr>
        <w:t>нъчното законодателство. Следва да се засили двустранният регионален диалог по въпросите на социалното сближаване. Двата региона следва да продължат да си сътрудничат, за да се гарантира изпълнението в бъдеще на променящите се глобални стандарти за прозрач</w:t>
      </w:r>
      <w:r>
        <w:rPr>
          <w:rFonts w:ascii="Times New Roman" w:hAnsi="Times New Roman"/>
          <w:noProof/>
          <w:sz w:val="24"/>
        </w:rPr>
        <w:t>ност и обмен на информация, справедливо данъчно облагане и минимални стандарти срещу свиването на данъчната основа и прехвърлянето на печалби</w:t>
      </w:r>
      <w:r>
        <w:rPr>
          <w:rStyle w:val="FootnoteReference"/>
          <w:rFonts w:ascii="Times New Roman" w:hAnsi="Times New Roman"/>
          <w:noProof/>
          <w:sz w:val="24"/>
        </w:rPr>
        <w:footnoteReference w:id="20"/>
      </w:r>
      <w:r>
        <w:rPr>
          <w:rFonts w:ascii="Times New Roman" w:hAnsi="Times New Roman"/>
          <w:noProof/>
          <w:sz w:val="24"/>
        </w:rPr>
        <w:t>.</w:t>
      </w:r>
    </w:p>
    <w:p w:rsidR="00787500" w:rsidRDefault="007C27D1">
      <w:pPr>
        <w:spacing w:after="120" w:line="240" w:lineRule="auto"/>
        <w:jc w:val="both"/>
        <w:rPr>
          <w:rFonts w:ascii="Times New Roman" w:hAnsi="Times New Roman" w:cs="Times New Roman"/>
          <w:noProof/>
          <w:sz w:val="24"/>
        </w:rPr>
      </w:pPr>
      <w:r>
        <w:rPr>
          <w:rFonts w:ascii="Times New Roman" w:hAnsi="Times New Roman"/>
          <w:b/>
          <w:noProof/>
          <w:sz w:val="24"/>
          <w:u w:val="single"/>
        </w:rPr>
        <w:t>Сигурност на гражданите и борба с организираната престъпност.</w:t>
      </w:r>
      <w:r>
        <w:rPr>
          <w:rFonts w:ascii="Times New Roman" w:hAnsi="Times New Roman"/>
          <w:b/>
          <w:noProof/>
          <w:sz w:val="24"/>
        </w:rPr>
        <w:t xml:space="preserve"> </w:t>
      </w:r>
      <w:r>
        <w:rPr>
          <w:rFonts w:ascii="Times New Roman" w:hAnsi="Times New Roman"/>
          <w:noProof/>
          <w:sz w:val="24"/>
        </w:rPr>
        <w:t>Двата региона следва да засилят двустранния регион</w:t>
      </w:r>
      <w:r>
        <w:rPr>
          <w:rFonts w:ascii="Times New Roman" w:hAnsi="Times New Roman"/>
          <w:noProof/>
          <w:sz w:val="24"/>
        </w:rPr>
        <w:t>ален диалог относно сигурността на гражданите като механизъм за обмен на опит и набелязване на възможности за по-нататъшно сътрудничество, включително относно хуманитарните последици от организираната престъпност</w:t>
      </w:r>
      <w:r>
        <w:rPr>
          <w:rStyle w:val="FootnoteReference"/>
          <w:rFonts w:ascii="Times New Roman" w:hAnsi="Times New Roman"/>
          <w:noProof/>
          <w:sz w:val="24"/>
        </w:rPr>
        <w:footnoteReference w:id="21"/>
      </w:r>
      <w:r>
        <w:rPr>
          <w:rFonts w:ascii="Times New Roman" w:hAnsi="Times New Roman"/>
          <w:noProof/>
          <w:sz w:val="24"/>
        </w:rPr>
        <w:t>. Това може да стане въз основа на семинари</w:t>
      </w:r>
      <w:r>
        <w:rPr>
          <w:rFonts w:ascii="Times New Roman" w:hAnsi="Times New Roman"/>
          <w:noProof/>
          <w:sz w:val="24"/>
        </w:rPr>
        <w:t xml:space="preserve">те на ЕС и Общността на латиноамериканските и карибските държави (CELAC), посветени на сигурността на гражданите, и успешните програми за двустранно и регионално сътрудничество в областта на наркотиците (например програмата за сътрудничество по политиките </w:t>
      </w:r>
      <w:r>
        <w:rPr>
          <w:rFonts w:ascii="Times New Roman" w:hAnsi="Times New Roman"/>
          <w:noProof/>
          <w:sz w:val="24"/>
        </w:rPr>
        <w:t>в областта на наркотиците — COPOLAD, програма „Пътят на кокаина“) и на транснационалната организирана престъпност (например EL PAcCTO). Освен това, като се има предвид мащабът на предизвикателството, следва да се установи практическо сътрудничество между п</w:t>
      </w:r>
      <w:r>
        <w:rPr>
          <w:rFonts w:ascii="Times New Roman" w:hAnsi="Times New Roman"/>
          <w:noProof/>
          <w:sz w:val="24"/>
        </w:rPr>
        <w:t>равоприлагащите органи в двата региона, както и с агенции като Европол, Агенцията на Европейския съюз за обучение в областта на правоприлагането (CEPOL), Общността на полицейските служби на Северна и Южна Америка (AMERIPOL) и Изпълнителната агенция по въпр</w:t>
      </w:r>
      <w:r>
        <w:rPr>
          <w:rFonts w:ascii="Times New Roman" w:hAnsi="Times New Roman"/>
          <w:noProof/>
          <w:sz w:val="24"/>
        </w:rPr>
        <w:t>осите на престъпността и сигурността на Карибската общност (IMPACS). В рамките на сътрудничеството следва да продължи да се обръща внимание на факторите за престъпността като бедността, социалното изключване и лошото управление на природните ресурси.</w:t>
      </w:r>
    </w:p>
    <w:p w:rsidR="00787500" w:rsidRDefault="007C27D1">
      <w:pPr>
        <w:spacing w:after="120" w:line="240" w:lineRule="auto"/>
        <w:jc w:val="both"/>
        <w:rPr>
          <w:rFonts w:ascii="Times New Roman" w:hAnsi="Times New Roman" w:cs="Times New Roman"/>
          <w:noProof/>
          <w:sz w:val="24"/>
        </w:rPr>
      </w:pPr>
      <w:r>
        <w:rPr>
          <w:rFonts w:ascii="Times New Roman" w:hAnsi="Times New Roman"/>
          <w:b/>
          <w:noProof/>
          <w:sz w:val="24"/>
          <w:u w:val="single"/>
        </w:rPr>
        <w:t>Мигра</w:t>
      </w:r>
      <w:r>
        <w:rPr>
          <w:rFonts w:ascii="Times New Roman" w:hAnsi="Times New Roman"/>
          <w:b/>
          <w:noProof/>
          <w:sz w:val="24"/>
          <w:u w:val="single"/>
        </w:rPr>
        <w:t>ция и мобилност</w:t>
      </w:r>
      <w:r>
        <w:rPr>
          <w:rFonts w:ascii="Times New Roman" w:hAnsi="Times New Roman"/>
          <w:b/>
          <w:noProof/>
          <w:sz w:val="24"/>
        </w:rPr>
        <w:t>.</w:t>
      </w:r>
      <w:r>
        <w:rPr>
          <w:rFonts w:ascii="Times New Roman" w:hAnsi="Times New Roman"/>
          <w:noProof/>
          <w:sz w:val="24"/>
        </w:rPr>
        <w:t xml:space="preserve"> В основата на тесните връзки между ЕС и ЛАК са хората. Същевременно и двата региона са изправени пред предизвикателствата на миграцията и биха могли да извлекат полза от обмен на опит и добри практики. Кризата във Венесуела породи най-голя</w:t>
      </w:r>
      <w:r>
        <w:rPr>
          <w:rFonts w:ascii="Times New Roman" w:hAnsi="Times New Roman"/>
          <w:noProof/>
          <w:sz w:val="24"/>
        </w:rPr>
        <w:t>мото движение на хората в съвременната история на Латинска Америка, като днес над три милиона венесуелци живеят в чужбина</w:t>
      </w:r>
      <w:r>
        <w:rPr>
          <w:rStyle w:val="FootnoteReference"/>
          <w:rFonts w:ascii="Times New Roman" w:hAnsi="Times New Roman"/>
          <w:noProof/>
          <w:sz w:val="24"/>
        </w:rPr>
        <w:footnoteReference w:id="22"/>
      </w:r>
      <w:r>
        <w:rPr>
          <w:rFonts w:ascii="Times New Roman" w:hAnsi="Times New Roman"/>
          <w:noProof/>
          <w:sz w:val="24"/>
        </w:rPr>
        <w:t>, добавяйки към традиционните миграционни тенденции на континента.</w:t>
      </w:r>
    </w:p>
    <w:p w:rsidR="00787500" w:rsidRDefault="007C27D1">
      <w:pPr>
        <w:spacing w:after="120" w:line="240" w:lineRule="auto"/>
        <w:jc w:val="both"/>
        <w:rPr>
          <w:rFonts w:ascii="Times New Roman" w:hAnsi="Times New Roman" w:cs="Times New Roman"/>
          <w:noProof/>
          <w:sz w:val="24"/>
        </w:rPr>
      </w:pPr>
      <w:r>
        <w:rPr>
          <w:rFonts w:ascii="Times New Roman" w:hAnsi="Times New Roman"/>
          <w:noProof/>
          <w:sz w:val="24"/>
        </w:rPr>
        <w:t>ЕС следва да се стреми към задълбочаване на диалога и сътрудничеств</w:t>
      </w:r>
      <w:r>
        <w:rPr>
          <w:rFonts w:ascii="Times New Roman" w:hAnsi="Times New Roman"/>
          <w:noProof/>
          <w:sz w:val="24"/>
        </w:rPr>
        <w:t>ото между двата региона по въпросите на миграцията и мобилността, по-специално с цел да се предотвратят незаконната миграция и трафикът на хора, да се увеличат връщането и обратното приемане, да се засилят управлението на границите, сигурността на документ</w:t>
      </w:r>
      <w:r>
        <w:rPr>
          <w:rFonts w:ascii="Times New Roman" w:hAnsi="Times New Roman"/>
          <w:noProof/>
          <w:sz w:val="24"/>
        </w:rPr>
        <w:t>ите, интеграцията на мигрантите на пазарите на труда и в обществата, и закрилата на хората в нужда. Въз основа на съответния си експертен опит двата региона следва да си сътрудничат във връзка с многостранното управление на миграцията и мобилността, в това</w:t>
      </w:r>
      <w:r>
        <w:rPr>
          <w:rFonts w:ascii="Times New Roman" w:hAnsi="Times New Roman"/>
          <w:noProof/>
          <w:sz w:val="24"/>
        </w:rPr>
        <w:t xml:space="preserve"> число в рамките на ООН.</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Институционалната устойчивост</w:t>
      </w:r>
      <w:r>
        <w:rPr>
          <w:rFonts w:ascii="Times New Roman" w:hAnsi="Times New Roman"/>
          <w:noProof/>
          <w:sz w:val="24"/>
        </w:rPr>
        <w:t xml:space="preserve"> е от съществено значение за доброто политическо и икономическо управление и за гарантиране на зачитането на върховенството на закона. Устойчивостта трябва да се разглежда на множество равнища — държава</w:t>
      </w:r>
      <w:r>
        <w:rPr>
          <w:rFonts w:ascii="Times New Roman" w:hAnsi="Times New Roman"/>
          <w:noProof/>
          <w:sz w:val="24"/>
        </w:rPr>
        <w:t>та, обществото и общността. Местните органи и гражданското общество често са основата, върху която устойчивостта може да се захване и да се разраства на общностно равнище. ЕС следва да засили диалога в областта на секторните политики с държавите от ЛАК, ка</w:t>
      </w:r>
      <w:r>
        <w:rPr>
          <w:rFonts w:ascii="Times New Roman" w:hAnsi="Times New Roman"/>
          <w:noProof/>
          <w:sz w:val="24"/>
        </w:rPr>
        <w:t>то използва най-добрите практики на ЕС в насърчаването на устойчивостта.</w:t>
      </w:r>
    </w:p>
    <w:p w:rsidR="00787500" w:rsidRDefault="007C27D1">
      <w:pPr>
        <w:spacing w:after="120" w:line="240" w:lineRule="auto"/>
        <w:jc w:val="both"/>
        <w:rPr>
          <w:rFonts w:ascii="Times New Roman" w:hAnsi="Times New Roman" w:cs="Times New Roman"/>
          <w:bCs/>
          <w:noProof/>
          <w:spacing w:val="-2"/>
          <w:sz w:val="24"/>
        </w:rPr>
      </w:pPr>
      <w:r>
        <w:rPr>
          <w:rFonts w:ascii="Times New Roman" w:hAnsi="Times New Roman"/>
          <w:b/>
          <w:noProof/>
          <w:spacing w:val="-2"/>
          <w:sz w:val="24"/>
          <w:u w:val="single"/>
        </w:rPr>
        <w:t>Сътрудничеството в областта на културата</w:t>
      </w:r>
      <w:r>
        <w:rPr>
          <w:rFonts w:ascii="Times New Roman" w:hAnsi="Times New Roman"/>
          <w:noProof/>
          <w:spacing w:val="-2"/>
          <w:sz w:val="24"/>
        </w:rPr>
        <w:t xml:space="preserve"> може да превърне споделеното културно многообразие и богатото наследство на ЕС и ЛАК в ресурс за човешко развитие и икономически растеж. ЕС пр</w:t>
      </w:r>
      <w:r>
        <w:rPr>
          <w:rFonts w:ascii="Times New Roman" w:hAnsi="Times New Roman"/>
          <w:noProof/>
          <w:spacing w:val="-2"/>
          <w:sz w:val="24"/>
        </w:rPr>
        <w:t>едлага подход на културна политика на междуличностни контакти, насочен към работещите в сферата на културата и насърчаващ партньорствата, съвместните продукции и обмена, който се гради на три стълба: i) подкрепа за културата като двигател за социално и ико</w:t>
      </w:r>
      <w:r>
        <w:rPr>
          <w:rFonts w:ascii="Times New Roman" w:hAnsi="Times New Roman"/>
          <w:noProof/>
          <w:spacing w:val="-2"/>
          <w:sz w:val="24"/>
        </w:rPr>
        <w:t>номическо развитие, ii) насърчаване на културата и на междукултурния диалог за мирни междуобщностни отношения и iii) засилване на сътрудничеството в областта на културното наследство. Това също така ще спомогне да се оползотвори огромният потенциал и на дв</w:t>
      </w:r>
      <w:r>
        <w:rPr>
          <w:rFonts w:ascii="Times New Roman" w:hAnsi="Times New Roman"/>
          <w:noProof/>
          <w:spacing w:val="-2"/>
          <w:sz w:val="24"/>
        </w:rPr>
        <w:t>ата региона в културните и творческите отрасли, включително дизайна, цифровите услуги, модата, музиката и аудио-визуалните изкуства.</w:t>
      </w:r>
    </w:p>
    <w:p w:rsidR="00787500" w:rsidRDefault="00787500">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787500">
        <w:tc>
          <w:tcPr>
            <w:tcW w:w="9288" w:type="dxa"/>
            <w:shd w:val="clear" w:color="auto" w:fill="F2F2F2" w:themeFill="background1" w:themeFillShade="F2"/>
          </w:tcPr>
          <w:p w:rsidR="00787500" w:rsidRDefault="007C27D1">
            <w:pPr>
              <w:spacing w:after="120"/>
              <w:contextualSpacing/>
              <w:jc w:val="both"/>
              <w:rPr>
                <w:rFonts w:ascii="Times New Roman" w:hAnsi="Times New Roman" w:cs="Times New Roman"/>
                <w:b/>
                <w:i/>
                <w:noProof/>
                <w:sz w:val="24"/>
              </w:rPr>
            </w:pPr>
            <w:r>
              <w:rPr>
                <w:rFonts w:ascii="Times New Roman" w:hAnsi="Times New Roman"/>
                <w:b/>
                <w:i/>
                <w:noProof/>
                <w:sz w:val="24"/>
              </w:rPr>
              <w:t>Партньорство за устойчивост:</w:t>
            </w:r>
          </w:p>
          <w:p w:rsidR="00787500" w:rsidRDefault="007C27D1">
            <w:pPr>
              <w:numPr>
                <w:ilvl w:val="0"/>
                <w:numId w:val="1"/>
              </w:numPr>
              <w:spacing w:after="120"/>
              <w:contextualSpacing/>
              <w:jc w:val="both"/>
              <w:rPr>
                <w:rFonts w:ascii="Times New Roman" w:hAnsi="Times New Roman" w:cs="Times New Roman"/>
                <w:i/>
                <w:noProof/>
                <w:sz w:val="24"/>
              </w:rPr>
            </w:pPr>
            <w:r>
              <w:rPr>
                <w:rFonts w:ascii="Times New Roman" w:hAnsi="Times New Roman"/>
                <w:i/>
                <w:noProof/>
                <w:sz w:val="24"/>
              </w:rPr>
              <w:t xml:space="preserve">насърчаване на устойчивото управление на природните ресурси и екосистемите и по-нататъшно </w:t>
            </w:r>
            <w:r>
              <w:rPr>
                <w:rFonts w:ascii="Times New Roman" w:hAnsi="Times New Roman"/>
                <w:i/>
                <w:noProof/>
                <w:sz w:val="24"/>
              </w:rPr>
              <w:t>изпълнение на Стратегическия план за биологичното разнообразие и Рамката за биологичното разнообразие за периода след 2020 г.;</w:t>
            </w:r>
          </w:p>
          <w:p w:rsidR="00787500" w:rsidRDefault="007C27D1">
            <w:pPr>
              <w:numPr>
                <w:ilvl w:val="0"/>
                <w:numId w:val="1"/>
              </w:numPr>
              <w:spacing w:after="120"/>
              <w:contextualSpacing/>
              <w:jc w:val="both"/>
              <w:rPr>
                <w:rFonts w:ascii="Times New Roman" w:hAnsi="Times New Roman" w:cs="Times New Roman"/>
                <w:i/>
                <w:noProof/>
                <w:sz w:val="24"/>
              </w:rPr>
            </w:pPr>
            <w:r>
              <w:rPr>
                <w:rFonts w:ascii="Times New Roman" w:hAnsi="Times New Roman"/>
                <w:i/>
                <w:noProof/>
                <w:sz w:val="24"/>
              </w:rPr>
              <w:t>улесняване на координацията и задълбочаване на сътрудничеството в областта на управлението на бедствия и гражданската защита;</w:t>
            </w:r>
          </w:p>
          <w:p w:rsidR="00787500" w:rsidRDefault="007C27D1">
            <w:pPr>
              <w:numPr>
                <w:ilvl w:val="0"/>
                <w:numId w:val="1"/>
              </w:numPr>
              <w:spacing w:after="120"/>
              <w:contextualSpacing/>
              <w:jc w:val="both"/>
              <w:rPr>
                <w:rFonts w:ascii="Times New Roman" w:hAnsi="Times New Roman" w:cs="Times New Roman"/>
                <w:i/>
                <w:noProof/>
                <w:sz w:val="24"/>
              </w:rPr>
            </w:pPr>
            <w:r>
              <w:rPr>
                <w:rFonts w:ascii="Times New Roman" w:hAnsi="Times New Roman"/>
                <w:i/>
                <w:noProof/>
                <w:sz w:val="24"/>
              </w:rPr>
              <w:t>зас</w:t>
            </w:r>
            <w:r>
              <w:rPr>
                <w:rFonts w:ascii="Times New Roman" w:hAnsi="Times New Roman"/>
                <w:i/>
                <w:noProof/>
                <w:sz w:val="24"/>
              </w:rPr>
              <w:t>илване на диалога и сътрудничеството относно социалното сближаване, социалната защита, доброто управление в областта на данъчното облагане и финансовото регулиране;</w:t>
            </w:r>
          </w:p>
          <w:p w:rsidR="00787500" w:rsidRDefault="007C27D1">
            <w:pPr>
              <w:numPr>
                <w:ilvl w:val="0"/>
                <w:numId w:val="1"/>
              </w:numPr>
              <w:spacing w:after="120"/>
              <w:contextualSpacing/>
              <w:jc w:val="both"/>
              <w:rPr>
                <w:rFonts w:ascii="Times New Roman" w:hAnsi="Times New Roman" w:cs="Times New Roman"/>
                <w:i/>
                <w:noProof/>
                <w:sz w:val="24"/>
              </w:rPr>
            </w:pPr>
            <w:r>
              <w:rPr>
                <w:rFonts w:ascii="Times New Roman" w:hAnsi="Times New Roman"/>
                <w:i/>
                <w:noProof/>
                <w:sz w:val="24"/>
              </w:rPr>
              <w:t>засилване на сътрудничеството в областта на сигурността и борбата с организираната престъпн</w:t>
            </w:r>
            <w:r>
              <w:rPr>
                <w:rFonts w:ascii="Times New Roman" w:hAnsi="Times New Roman"/>
                <w:i/>
                <w:noProof/>
                <w:sz w:val="24"/>
              </w:rPr>
              <w:t>ост чрез засилено използване на двустранния регионален диалог относно сигурността на гражданите и сътрудничество между правоприлагащите агенции;</w:t>
            </w:r>
          </w:p>
          <w:p w:rsidR="00787500" w:rsidRDefault="007C27D1">
            <w:pPr>
              <w:numPr>
                <w:ilvl w:val="0"/>
                <w:numId w:val="1"/>
              </w:numPr>
              <w:spacing w:after="120"/>
              <w:contextualSpacing/>
              <w:jc w:val="both"/>
              <w:rPr>
                <w:rFonts w:ascii="Times New Roman" w:hAnsi="Times New Roman" w:cs="Times New Roman"/>
                <w:i/>
                <w:noProof/>
                <w:sz w:val="24"/>
              </w:rPr>
            </w:pPr>
            <w:r>
              <w:rPr>
                <w:rFonts w:ascii="Times New Roman" w:hAnsi="Times New Roman"/>
                <w:i/>
                <w:noProof/>
                <w:sz w:val="24"/>
              </w:rPr>
              <w:t>засилване на диалога и сътрудничеството по въпросите на миграцията и мобилността, включително в рамките на Орга</w:t>
            </w:r>
            <w:r>
              <w:rPr>
                <w:rFonts w:ascii="Times New Roman" w:hAnsi="Times New Roman"/>
                <w:i/>
                <w:noProof/>
                <w:sz w:val="24"/>
              </w:rPr>
              <w:t>низацията на обединените нации;</w:t>
            </w:r>
          </w:p>
          <w:p w:rsidR="00787500" w:rsidRDefault="007C27D1">
            <w:pPr>
              <w:numPr>
                <w:ilvl w:val="0"/>
                <w:numId w:val="1"/>
              </w:numPr>
              <w:spacing w:after="120"/>
              <w:contextualSpacing/>
              <w:jc w:val="both"/>
              <w:rPr>
                <w:rFonts w:ascii="Times New Roman" w:hAnsi="Times New Roman" w:cs="Times New Roman"/>
                <w:b/>
                <w:bCs/>
                <w:noProof/>
                <w:sz w:val="24"/>
              </w:rPr>
            </w:pPr>
            <w:r>
              <w:rPr>
                <w:rFonts w:ascii="Times New Roman" w:hAnsi="Times New Roman"/>
                <w:i/>
                <w:noProof/>
                <w:sz w:val="24"/>
              </w:rPr>
              <w:t>насърчаване на сътрудничеството в областта на културата чрез насърчаване на програми за междуличностни контакти, провеждане на междукултурни диалози и подкрепа за съвместни продукции и партньорски проекти в секторите на култ</w:t>
            </w:r>
            <w:r>
              <w:rPr>
                <w:rFonts w:ascii="Times New Roman" w:hAnsi="Times New Roman"/>
                <w:i/>
                <w:noProof/>
                <w:sz w:val="24"/>
              </w:rPr>
              <w:t>урата и творчеството.</w:t>
            </w:r>
          </w:p>
        </w:tc>
      </w:tr>
    </w:tbl>
    <w:p w:rsidR="00787500" w:rsidRDefault="00787500">
      <w:pPr>
        <w:spacing w:after="0" w:line="240" w:lineRule="auto"/>
        <w:jc w:val="both"/>
        <w:rPr>
          <w:rFonts w:ascii="Times New Roman" w:hAnsi="Times New Roman" w:cs="Times New Roman"/>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2.4 Партньорство за ефективно глобално управление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Основна цел в партньорството между ЕС и ЛАК следва да бъде запазването, реформирането и укрепването на ефективното многостранно сътрудничество. Заедно двата региона представляват </w:t>
      </w:r>
      <w:r>
        <w:rPr>
          <w:rFonts w:ascii="Times New Roman" w:hAnsi="Times New Roman"/>
          <w:noProof/>
          <w:sz w:val="24"/>
        </w:rPr>
        <w:t>около една трета от членовете на ООН, значителен брой от членовете на Групата на двадесетте (Г-20) и две трети от състава на ОИСР.</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За да допринесат за ефективното глобално управление и за по-нататъшното формулиране и реализиране на световния дневен ред, ЕС</w:t>
      </w:r>
      <w:r>
        <w:rPr>
          <w:rFonts w:ascii="Times New Roman" w:hAnsi="Times New Roman"/>
          <w:noProof/>
          <w:sz w:val="24"/>
        </w:rPr>
        <w:t xml:space="preserve"> и ЛАК биха могли да обединят сили на многостранно равнище за: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Укрепване на многостранната система</w:t>
      </w:r>
      <w:r>
        <w:rPr>
          <w:rFonts w:ascii="Times New Roman" w:hAnsi="Times New Roman"/>
          <w:noProof/>
          <w:sz w:val="24"/>
        </w:rPr>
        <w:t>: ЕС и ЛАК следва да продължат да подкрепят усилията на генералния секретар на ООН за цялостна реформа на системата на ООН, включително на Съвета за сигурност</w:t>
      </w:r>
      <w:r>
        <w:rPr>
          <w:rFonts w:ascii="Times New Roman" w:hAnsi="Times New Roman"/>
          <w:noProof/>
          <w:sz w:val="24"/>
        </w:rPr>
        <w:t>, както и за вдъхване на нови сили в работата на Общото събрание и на Икономическия и социален съвет. Подкрепата за Международния наказателен съд трябва да остане приоритет.</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Задълбочаване на сътрудничеството в областта на мира и сигурността</w:t>
      </w:r>
      <w:r>
        <w:rPr>
          <w:rFonts w:ascii="Times New Roman" w:hAnsi="Times New Roman"/>
          <w:b/>
          <w:noProof/>
          <w:sz w:val="24"/>
        </w:rPr>
        <w:t xml:space="preserve">. </w:t>
      </w:r>
      <w:r>
        <w:rPr>
          <w:rFonts w:ascii="Times New Roman" w:hAnsi="Times New Roman"/>
          <w:noProof/>
          <w:sz w:val="24"/>
        </w:rPr>
        <w:t>Опитът в минал</w:t>
      </w:r>
      <w:r>
        <w:rPr>
          <w:rFonts w:ascii="Times New Roman" w:hAnsi="Times New Roman"/>
          <w:noProof/>
          <w:sz w:val="24"/>
        </w:rPr>
        <w:t>ото от преодоляването на междудържавни конфликти прави ЕС естествен партньор на ЛАК в насърчаването на мирното уреждане на спорове, като заедно те могат да работят в подкрепа на процесите на медиация и помирение. ЕС следва да продължи да сътрудничи за прил</w:t>
      </w:r>
      <w:r>
        <w:rPr>
          <w:rFonts w:ascii="Times New Roman" w:hAnsi="Times New Roman"/>
          <w:noProof/>
          <w:sz w:val="24"/>
        </w:rPr>
        <w:t xml:space="preserve">агането на мирното споразумение в Колумбия.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Държавите от ЛАК бяха също така сред първите при сключването на рамкови споразумения за участие в операции в рамките на общата политика на ЕС за сигурност и отбрана (ОПСО) (Чили и Колумбия) или при предоставянет</w:t>
      </w:r>
      <w:r>
        <w:rPr>
          <w:rFonts w:ascii="Times New Roman" w:hAnsi="Times New Roman"/>
          <w:noProof/>
          <w:sz w:val="24"/>
        </w:rPr>
        <w:t>о на принос за някои от тези операции (Бразилия, Аржентина и Доминиканската република).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Сътрудничеството следва да се засили и по редица въпроси, свързани със сигурността, включително хибридните заплахи, киберсигурността, реформата на сектора за сигурност,</w:t>
      </w:r>
      <w:r>
        <w:rPr>
          <w:rFonts w:ascii="Times New Roman" w:hAnsi="Times New Roman"/>
          <w:noProof/>
          <w:sz w:val="24"/>
        </w:rPr>
        <w:t xml:space="preserve"> сигурността по границите, трафика на хора, организираната престъпност и трафика на оръжия, малките оръжия и лекото въоръжение, както и борбата с радикализацията и тероризма. Необходими са по-нататъшни усилия за прилагането на резултатите от проведената пр</w:t>
      </w:r>
      <w:r>
        <w:rPr>
          <w:rFonts w:ascii="Times New Roman" w:hAnsi="Times New Roman"/>
          <w:noProof/>
          <w:sz w:val="24"/>
        </w:rPr>
        <w:t>ез 2016 г. извънредна сесия на Общото събрание на ООН, посветена на световния проблем с наркотиците.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Решението на държавите от ЛАК да превърнат региона в зона, свободна от ядрено оръжие</w:t>
      </w:r>
      <w:r>
        <w:rPr>
          <w:rStyle w:val="FootnoteReference"/>
          <w:rFonts w:ascii="Times New Roman" w:hAnsi="Times New Roman"/>
          <w:noProof/>
        </w:rPr>
        <w:footnoteReference w:id="23"/>
      </w:r>
      <w:r>
        <w:rPr>
          <w:rFonts w:ascii="Times New Roman" w:hAnsi="Times New Roman"/>
          <w:noProof/>
          <w:sz w:val="24"/>
        </w:rPr>
        <w:t>, превръща региона в ключов партньор за постигането на целите на Догов</w:t>
      </w:r>
      <w:r>
        <w:rPr>
          <w:rFonts w:ascii="Times New Roman" w:hAnsi="Times New Roman"/>
          <w:noProof/>
          <w:sz w:val="24"/>
        </w:rPr>
        <w:t>ора за неразпространение, както и за ратифицирането и прилагането на Договора за търговията с оръжие.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Стимулиране на многостранното управление на климата и околната среда</w:t>
      </w:r>
      <w:r>
        <w:rPr>
          <w:rFonts w:ascii="Times New Roman" w:hAnsi="Times New Roman"/>
          <w:b/>
          <w:noProof/>
          <w:sz w:val="24"/>
        </w:rPr>
        <w:t xml:space="preserve">. </w:t>
      </w:r>
      <w:r>
        <w:rPr>
          <w:rFonts w:ascii="Times New Roman" w:hAnsi="Times New Roman"/>
          <w:noProof/>
          <w:sz w:val="24"/>
        </w:rPr>
        <w:t xml:space="preserve">Въз основа на първостепенната роля на ЕС и ЛАК в приемането на Парижкото </w:t>
      </w:r>
      <w:r>
        <w:rPr>
          <w:rFonts w:ascii="Times New Roman" w:hAnsi="Times New Roman"/>
          <w:noProof/>
          <w:sz w:val="24"/>
        </w:rPr>
        <w:t xml:space="preserve">споразумение през 2015 г. са необходими общи усилия, за да се гарантира ефективното прилагане на това споразумение и преходът към чиста енергия в глобален мащаб. Регионите следва да мобилизират партньори за преодоляване на кризата, свързана с биологичното </w:t>
      </w:r>
      <w:r>
        <w:rPr>
          <w:rFonts w:ascii="Times New Roman" w:hAnsi="Times New Roman"/>
          <w:noProof/>
          <w:sz w:val="24"/>
        </w:rPr>
        <w:t>разнообразие, като сътрудничат за по-ефективно прилагане на многостранните споразумения в областта на околната среда, включително целите за биологичното разнообразие от Аичи, Стратегическия план за биологично разнообразие и стабилна рамка в областта на био</w:t>
      </w:r>
      <w:r>
        <w:rPr>
          <w:rFonts w:ascii="Times New Roman" w:hAnsi="Times New Roman"/>
          <w:noProof/>
          <w:sz w:val="24"/>
        </w:rPr>
        <w:t>логичното разнообразие за периода след 2020 г. Бъдещото международно сътрудничество може да се опре на опита от такива инициативи като Световния алианс за борба с изменението на климата</w:t>
      </w:r>
      <w:r>
        <w:rPr>
          <w:rStyle w:val="FootnoteReference"/>
          <w:rFonts w:ascii="Times New Roman" w:hAnsi="Times New Roman"/>
          <w:noProof/>
          <w:sz w:val="24"/>
        </w:rPr>
        <w:footnoteReference w:id="24"/>
      </w:r>
      <w:r>
        <w:rPr>
          <w:rFonts w:ascii="Times New Roman" w:hAnsi="Times New Roman"/>
          <w:noProof/>
          <w:sz w:val="24"/>
        </w:rPr>
        <w:t xml:space="preserve"> и стратегическите партньорства на ЕС за прилагане на Парижкото спораз</w:t>
      </w:r>
      <w:r>
        <w:rPr>
          <w:rFonts w:ascii="Times New Roman" w:hAnsi="Times New Roman"/>
          <w:noProof/>
          <w:sz w:val="24"/>
        </w:rPr>
        <w:t>умение</w:t>
      </w:r>
      <w:r>
        <w:rPr>
          <w:rStyle w:val="FootnoteReference"/>
          <w:rFonts w:ascii="Times New Roman" w:hAnsi="Times New Roman"/>
          <w:noProof/>
          <w:sz w:val="24"/>
        </w:rPr>
        <w:footnoteReference w:id="25"/>
      </w:r>
      <w:r>
        <w:rPr>
          <w:rFonts w:ascii="Times New Roman" w:hAnsi="Times New Roman"/>
          <w:noProof/>
          <w:sz w:val="24"/>
        </w:rPr>
        <w:t xml:space="preserve">.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Укрепване на международното управление на океаните</w:t>
      </w:r>
      <w:r>
        <w:rPr>
          <w:rFonts w:ascii="Times New Roman" w:hAnsi="Times New Roman"/>
          <w:b/>
          <w:noProof/>
          <w:sz w:val="24"/>
        </w:rPr>
        <w:t>.</w:t>
      </w:r>
      <w:r>
        <w:rPr>
          <w:rFonts w:ascii="Times New Roman" w:hAnsi="Times New Roman"/>
          <w:noProof/>
          <w:sz w:val="24"/>
        </w:rPr>
        <w:t xml:space="preserve"> По-тясното сътрудничество в областта на ефективното прилагане на Конвенцията на ООН по морско право и споразуменията за нейното прилагане би създало условия за устойчиво управление на океаните и</w:t>
      </w:r>
      <w:r>
        <w:rPr>
          <w:rFonts w:ascii="Times New Roman" w:hAnsi="Times New Roman"/>
          <w:noProof/>
          <w:sz w:val="24"/>
        </w:rPr>
        <w:t xml:space="preserve"> синя икономика. Важно е да се осъществява сътрудничество за разработването на международен правно обвързващ инструмент в рамките на Конвенцията на ООН по морско право за опазването и устойчивото използване на морското биологично разнообразие в зоните, раз</w:t>
      </w:r>
      <w:r>
        <w:rPr>
          <w:rFonts w:ascii="Times New Roman" w:hAnsi="Times New Roman"/>
          <w:noProof/>
          <w:sz w:val="24"/>
        </w:rPr>
        <w:t>положени извън националните юрисдикции, и за борба срещу незаконния, недеклариран и нерегулиран риболов. В регионалните и многостранните организации, свързани с океаните, е необходимо засилено сътрудничество, в това число в областта на рибарството, както и</w:t>
      </w:r>
      <w:r>
        <w:rPr>
          <w:rFonts w:ascii="Times New Roman" w:hAnsi="Times New Roman"/>
          <w:noProof/>
          <w:sz w:val="24"/>
        </w:rPr>
        <w:t xml:space="preserve"> подкрепа за развитието на научните познания и становища.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Изпълнение на Програмата до 2030 г. за устойчиво развитие</w:t>
      </w:r>
      <w:r>
        <w:rPr>
          <w:rFonts w:ascii="Times New Roman" w:hAnsi="Times New Roman"/>
          <w:b/>
          <w:noProof/>
          <w:sz w:val="24"/>
        </w:rPr>
        <w:t>.</w:t>
      </w:r>
      <w:r>
        <w:rPr>
          <w:rFonts w:ascii="Times New Roman" w:hAnsi="Times New Roman"/>
          <w:noProof/>
          <w:sz w:val="24"/>
        </w:rPr>
        <w:t xml:space="preserve"> ЕС и ЛАК изиграха ключова роля за изработването на тази многостранна програма за устойчиво развитие и следва също така да имат водеща роля </w:t>
      </w:r>
      <w:r>
        <w:rPr>
          <w:rFonts w:ascii="Times New Roman" w:hAnsi="Times New Roman"/>
          <w:noProof/>
          <w:sz w:val="24"/>
        </w:rPr>
        <w:t>в прилагането ѝ. Както е посочено в Програмата за действие от Адис Абеба, всички налични средства за изпълнение, включително публичните и частните вътрешни инвестиционни потоци, трябва да се използват пълноценно за постигането на ЦУР.</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u w:val="single"/>
        </w:rPr>
        <w:t>Реформа на Световната</w:t>
      </w:r>
      <w:r>
        <w:rPr>
          <w:rFonts w:ascii="Times New Roman" w:hAnsi="Times New Roman"/>
          <w:b/>
          <w:noProof/>
          <w:sz w:val="24"/>
          <w:u w:val="single"/>
        </w:rPr>
        <w:t xml:space="preserve"> търговска организация</w:t>
      </w:r>
      <w:r>
        <w:rPr>
          <w:rFonts w:ascii="Times New Roman" w:hAnsi="Times New Roman"/>
          <w:b/>
          <w:noProof/>
          <w:sz w:val="24"/>
        </w:rPr>
        <w:t>.</w:t>
      </w:r>
      <w:r>
        <w:rPr>
          <w:rFonts w:ascii="Times New Roman" w:hAnsi="Times New Roman"/>
          <w:noProof/>
          <w:sz w:val="24"/>
        </w:rPr>
        <w:t xml:space="preserve"> В контекста на протекционистките тенденции в международен план следва да се удвоят съвместните усилия за поддържане на </w:t>
      </w:r>
      <w:r>
        <w:rPr>
          <w:rFonts w:ascii="Times New Roman" w:hAnsi="Times New Roman"/>
          <w:b/>
          <w:noProof/>
          <w:sz w:val="24"/>
        </w:rPr>
        <w:t xml:space="preserve">отворена, </w:t>
      </w:r>
      <w:r>
        <w:rPr>
          <w:rFonts w:ascii="Times New Roman" w:hAnsi="Times New Roman"/>
          <w:b/>
          <w:noProof/>
          <w:sz w:val="24"/>
          <w:u w:val="single"/>
        </w:rPr>
        <w:t>недискриминационна</w:t>
      </w:r>
      <w:r>
        <w:rPr>
          <w:rFonts w:ascii="Times New Roman" w:hAnsi="Times New Roman"/>
          <w:b/>
          <w:noProof/>
          <w:sz w:val="24"/>
        </w:rPr>
        <w:t xml:space="preserve"> и основана на правила многостранна търговска система, в основата на която стои силна</w:t>
      </w:r>
      <w:r>
        <w:rPr>
          <w:rFonts w:ascii="Times New Roman" w:hAnsi="Times New Roman"/>
          <w:b/>
          <w:noProof/>
          <w:sz w:val="24"/>
        </w:rPr>
        <w:t xml:space="preserve"> и добре функционираща СТО</w:t>
      </w:r>
      <w:r>
        <w:rPr>
          <w:rFonts w:ascii="Times New Roman" w:hAnsi="Times New Roman"/>
          <w:noProof/>
          <w:sz w:val="24"/>
        </w:rPr>
        <w:t>, като се работи за реформиране на функциите на СТО за изработване на правила, наблюдение и уреждане на спорове.</w:t>
      </w:r>
    </w:p>
    <w:p w:rsidR="00787500" w:rsidRDefault="007C27D1">
      <w:pPr>
        <w:spacing w:after="120" w:line="240" w:lineRule="auto"/>
        <w:jc w:val="both"/>
        <w:rPr>
          <w:rFonts w:ascii="Times New Roman" w:hAnsi="Times New Roman" w:cs="Times New Roman"/>
          <w:b/>
          <w:noProof/>
          <w:sz w:val="24"/>
          <w:szCs w:val="24"/>
          <w:u w:val="single"/>
        </w:rPr>
      </w:pPr>
      <w:r>
        <w:rPr>
          <w:rFonts w:ascii="Times New Roman" w:hAnsi="Times New Roman"/>
          <w:b/>
          <w:noProof/>
          <w:sz w:val="24"/>
          <w:u w:val="single"/>
        </w:rPr>
        <w:t>Укрепване на глобалната макроикономическа устойчивост</w:t>
      </w:r>
      <w:r>
        <w:rPr>
          <w:rFonts w:ascii="Times New Roman" w:hAnsi="Times New Roman"/>
          <w:b/>
          <w:noProof/>
          <w:sz w:val="24"/>
        </w:rPr>
        <w:t xml:space="preserve">. </w:t>
      </w:r>
      <w:r>
        <w:rPr>
          <w:rFonts w:ascii="Times New Roman" w:hAnsi="Times New Roman"/>
          <w:noProof/>
          <w:sz w:val="24"/>
        </w:rPr>
        <w:t>Засиленият диалог по макроикономическите промени и подходящите</w:t>
      </w:r>
      <w:r>
        <w:rPr>
          <w:rFonts w:ascii="Times New Roman" w:hAnsi="Times New Roman"/>
          <w:noProof/>
          <w:sz w:val="24"/>
        </w:rPr>
        <w:t xml:space="preserve"> политически стратегии в световен мащаб и в двата региона са от възлово значение за осигуряването на силен, устойчив, балансиран и приобщаващ растеж в световен мащаб.</w:t>
      </w:r>
    </w:p>
    <w:p w:rsidR="00787500" w:rsidRDefault="00787500">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787500">
        <w:tc>
          <w:tcPr>
            <w:tcW w:w="9288" w:type="dxa"/>
            <w:shd w:val="clear" w:color="auto" w:fill="F2F2F2" w:themeFill="background1" w:themeFillShade="F2"/>
          </w:tcPr>
          <w:p w:rsidR="00787500" w:rsidRDefault="007C27D1">
            <w:pPr>
              <w:spacing w:after="120"/>
              <w:jc w:val="both"/>
              <w:rPr>
                <w:rFonts w:ascii="Times New Roman" w:hAnsi="Times New Roman" w:cs="Times New Roman"/>
                <w:b/>
                <w:i/>
                <w:noProof/>
                <w:sz w:val="24"/>
                <w:szCs w:val="24"/>
              </w:rPr>
            </w:pPr>
            <w:r>
              <w:rPr>
                <w:rFonts w:ascii="Times New Roman" w:hAnsi="Times New Roman"/>
                <w:b/>
                <w:i/>
                <w:noProof/>
                <w:sz w:val="24"/>
              </w:rPr>
              <w:t>Партньорство за ефективно глобално управление на многостранно равнище:</w:t>
            </w:r>
          </w:p>
          <w:p w:rsidR="00787500" w:rsidRDefault="007C27D1">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i/>
                <w:noProof/>
                <w:sz w:val="24"/>
              </w:rPr>
              <w:t>стимулиране на по</w:t>
            </w:r>
            <w:r>
              <w:rPr>
                <w:rFonts w:ascii="Times New Roman" w:hAnsi="Times New Roman"/>
                <w:i/>
                <w:noProof/>
                <w:sz w:val="24"/>
              </w:rPr>
              <w:t>-широко участие на ЛАК в мисии и операции на ЕС по линия на ОПСО и по-тясно сътрудничество за насърчаване на сигурността и мира в целия свят;</w:t>
            </w:r>
          </w:p>
          <w:p w:rsidR="00787500" w:rsidRDefault="007C27D1">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i/>
                <w:noProof/>
                <w:sz w:val="24"/>
              </w:rPr>
              <w:t>работа за пълното осъществяване на реформите на системата на ООН за мира и сигурността, устойчивото развитие и упр</w:t>
            </w:r>
            <w:r>
              <w:rPr>
                <w:rFonts w:ascii="Times New Roman" w:hAnsi="Times New Roman"/>
                <w:i/>
                <w:noProof/>
                <w:sz w:val="24"/>
              </w:rPr>
              <w:t>авлението;</w:t>
            </w:r>
          </w:p>
          <w:p w:rsidR="00787500" w:rsidRDefault="007C27D1">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i/>
                <w:noProof/>
                <w:sz w:val="24"/>
              </w:rPr>
              <w:t>настоятелни съвместни усилия за пълното прилагане на Парижкото споразумение относно изменението на климата, заедно с мобилизиране на глобална подкрепа за прехода към чиста енергия и стабилна рамка за биологичното разнообразие за периода след 202</w:t>
            </w:r>
            <w:r>
              <w:rPr>
                <w:rFonts w:ascii="Times New Roman" w:hAnsi="Times New Roman"/>
                <w:i/>
                <w:noProof/>
                <w:sz w:val="24"/>
              </w:rPr>
              <w:t>0 г.;</w:t>
            </w:r>
          </w:p>
          <w:p w:rsidR="00787500" w:rsidRDefault="007C27D1">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i/>
                <w:noProof/>
                <w:sz w:val="24"/>
              </w:rPr>
              <w:t>по-нататъшно развитие на двустранното регионално сътрудничество по въпросите на управлението на океаните, включително относно прилагането на Конвенцията на ООН по морско право, и борбата срещу незаконния, недеклариран и нерегулиран риболов;</w:t>
            </w:r>
          </w:p>
          <w:p w:rsidR="00787500" w:rsidRDefault="007C27D1">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i/>
                <w:noProof/>
                <w:sz w:val="24"/>
              </w:rPr>
              <w:t>водеща ро</w:t>
            </w:r>
            <w:r>
              <w:rPr>
                <w:rFonts w:ascii="Times New Roman" w:hAnsi="Times New Roman"/>
                <w:i/>
                <w:noProof/>
                <w:sz w:val="24"/>
              </w:rPr>
              <w:t>ля за изпълнението на целите на Програмата до 2030 г. за устойчиво развитие;</w:t>
            </w:r>
          </w:p>
          <w:p w:rsidR="00787500" w:rsidRDefault="007C27D1">
            <w:pPr>
              <w:numPr>
                <w:ilvl w:val="0"/>
                <w:numId w:val="3"/>
              </w:numPr>
              <w:spacing w:after="120"/>
              <w:ind w:left="284" w:hanging="284"/>
              <w:jc w:val="both"/>
              <w:rPr>
                <w:rFonts w:ascii="Times New Roman" w:hAnsi="Times New Roman" w:cs="Times New Roman"/>
                <w:noProof/>
                <w:sz w:val="24"/>
                <w:szCs w:val="24"/>
              </w:rPr>
            </w:pPr>
            <w:r>
              <w:rPr>
                <w:rFonts w:ascii="Times New Roman" w:hAnsi="Times New Roman"/>
                <w:i/>
                <w:noProof/>
                <w:sz w:val="24"/>
              </w:rPr>
              <w:t>разработване на общ дневен ред за укрепване на многостранната търговска система посредством ефективно прилагане на споразуменията на СТО и реформата на СТО.</w:t>
            </w:r>
          </w:p>
        </w:tc>
      </w:tr>
    </w:tbl>
    <w:p w:rsidR="00787500" w:rsidRDefault="00787500">
      <w:pPr>
        <w:spacing w:after="0" w:line="240" w:lineRule="auto"/>
        <w:jc w:val="both"/>
        <w:rPr>
          <w:rFonts w:ascii="Times New Roman" w:hAnsi="Times New Roman" w:cs="Times New Roman"/>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3. От визия към </w:t>
      </w:r>
      <w:r>
        <w:rPr>
          <w:rFonts w:ascii="Times New Roman" w:hAnsi="Times New Roman"/>
          <w:b/>
          <w:noProof/>
          <w:sz w:val="24"/>
        </w:rPr>
        <w:t>действия</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Преходът от визия към действия за реалното изпълнение на дневния ред, изложен по-горе, ще изисква ЕС и ЛАК да подновят начините, по които си сътрудничат. През следващите години, воден от приоритетите, очертани в настоящото съобщение, ЕС ще се стре</w:t>
      </w:r>
      <w:r>
        <w:rPr>
          <w:rFonts w:ascii="Times New Roman" w:hAnsi="Times New Roman"/>
          <w:noProof/>
          <w:sz w:val="24"/>
        </w:rPr>
        <w:t xml:space="preserve">ми към по-стратегически подход в отношенията с ЛАК, като подобри начина, по който си сътрудничи с региона в политическо отношение и чрез своите инструменти за търговия, инвестиции и сътрудничество. </w:t>
      </w:r>
    </w:p>
    <w:p w:rsidR="00787500" w:rsidRDefault="007C27D1">
      <w:pPr>
        <w:keepNext/>
        <w:keepLines/>
        <w:spacing w:after="120" w:line="240" w:lineRule="auto"/>
        <w:jc w:val="both"/>
        <w:rPr>
          <w:rFonts w:ascii="Times New Roman" w:hAnsi="Times New Roman" w:cs="Times New Roman"/>
          <w:noProof/>
          <w:sz w:val="24"/>
          <w:szCs w:val="24"/>
        </w:rPr>
      </w:pPr>
      <w:r>
        <w:rPr>
          <w:rFonts w:ascii="Times New Roman" w:hAnsi="Times New Roman"/>
          <w:b/>
          <w:noProof/>
          <w:sz w:val="24"/>
        </w:rPr>
        <w:t>3.1. По-стратегически политически ангажимент.</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Външните от</w:t>
      </w:r>
      <w:r>
        <w:rPr>
          <w:rFonts w:ascii="Times New Roman" w:hAnsi="Times New Roman"/>
          <w:noProof/>
          <w:sz w:val="24"/>
        </w:rPr>
        <w:t>ношения на Европа с ЛАК следва да се ръководят от основан на принципи прагматизъм. Възприемането на универсален подход за партньорство не отговаря на многобройните разнообразни реалности в ЛАК; партньорските държави имат различни политически приоритети, по</w:t>
      </w:r>
      <w:r>
        <w:rPr>
          <w:rFonts w:ascii="Times New Roman" w:hAnsi="Times New Roman"/>
          <w:noProof/>
          <w:sz w:val="24"/>
        </w:rPr>
        <w:t xml:space="preserve">требности и силни страни. Като запази сегашните равнища на ангажираност — на многостранно, двурегионално, подрегионално или двустранно равнище — ЕС следва да се стреми </w:t>
      </w:r>
      <w:r>
        <w:rPr>
          <w:rFonts w:ascii="Times New Roman" w:hAnsi="Times New Roman"/>
          <w:b/>
          <w:noProof/>
          <w:sz w:val="24"/>
        </w:rPr>
        <w:t>да задълбочи отношенията си със заинтересованите регионални групи и държави, които желая</w:t>
      </w:r>
      <w:r>
        <w:rPr>
          <w:rFonts w:ascii="Times New Roman" w:hAnsi="Times New Roman"/>
          <w:b/>
          <w:noProof/>
          <w:sz w:val="24"/>
        </w:rPr>
        <w:t>т и са в състояние да засилят ангажираността си</w:t>
      </w:r>
      <w:r>
        <w:rPr>
          <w:rFonts w:ascii="Times New Roman" w:hAnsi="Times New Roman"/>
          <w:noProof/>
          <w:sz w:val="24"/>
        </w:rPr>
        <w:t xml:space="preserve"> по отношение на общите цели.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rPr>
        <w:t>Политическите диалози между ЕС и различни държави и регионални групи от ЛАК следва да продължат да насочват взаимоотношенията между ЕС и ЛАК</w:t>
      </w:r>
      <w:r>
        <w:rPr>
          <w:rFonts w:ascii="Times New Roman" w:hAnsi="Times New Roman"/>
          <w:noProof/>
          <w:sz w:val="24"/>
        </w:rPr>
        <w:t>. Диалозите следва да спомогнат за наб</w:t>
      </w:r>
      <w:r>
        <w:rPr>
          <w:rFonts w:ascii="Times New Roman" w:hAnsi="Times New Roman"/>
          <w:noProof/>
          <w:sz w:val="24"/>
        </w:rPr>
        <w:t>елязването на споделени приоритети, интереси и нови възможности за сътрудничество. Споразуменията за асоцииране, сключени или в процес на договаряне с няколко държави</w:t>
      </w:r>
      <w:r>
        <w:rPr>
          <w:rStyle w:val="FootnoteReference"/>
          <w:rFonts w:ascii="Times New Roman" w:hAnsi="Times New Roman"/>
          <w:noProof/>
          <w:sz w:val="24"/>
        </w:rPr>
        <w:footnoteReference w:id="26"/>
      </w:r>
      <w:r>
        <w:rPr>
          <w:rFonts w:ascii="Times New Roman" w:hAnsi="Times New Roman"/>
          <w:noProof/>
          <w:sz w:val="24"/>
        </w:rPr>
        <w:t xml:space="preserve"> и Споразумението за политически диалог и сътрудничество с Куба, сключено през 2016 г., в</w:t>
      </w:r>
      <w:r>
        <w:rPr>
          <w:rFonts w:ascii="Times New Roman" w:hAnsi="Times New Roman"/>
          <w:noProof/>
          <w:sz w:val="24"/>
        </w:rPr>
        <w:t>ъведоха политически диалози в широк кръг от области, като предоставят подходяща институционална рамка за укрепване на сътрудничеството по двустранни и регионални въпроси.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Подкрепата за </w:t>
      </w:r>
      <w:r>
        <w:rPr>
          <w:rFonts w:ascii="Times New Roman" w:hAnsi="Times New Roman"/>
          <w:b/>
          <w:noProof/>
          <w:sz w:val="24"/>
        </w:rPr>
        <w:t>регионалната интеграция следва да остане приоритет</w:t>
      </w:r>
      <w:r>
        <w:rPr>
          <w:rFonts w:ascii="Times New Roman" w:hAnsi="Times New Roman"/>
          <w:noProof/>
          <w:sz w:val="24"/>
        </w:rPr>
        <w:t xml:space="preserve"> в отношенията на ЕС </w:t>
      </w:r>
      <w:r>
        <w:rPr>
          <w:rFonts w:ascii="Times New Roman" w:hAnsi="Times New Roman"/>
          <w:noProof/>
          <w:sz w:val="24"/>
        </w:rPr>
        <w:t>с държави от ЛАК, поради убеждението и опита, че вътрешнорегионалната интеграция носи по-голяма сигурност, икономически и социални ползи. Това включва междурегионални механизми, като например CELAC, както и усилия на подрегионално равнище, като например Ти</w:t>
      </w:r>
      <w:r>
        <w:rPr>
          <w:rFonts w:ascii="Times New Roman" w:hAnsi="Times New Roman"/>
          <w:noProof/>
          <w:sz w:val="24"/>
        </w:rPr>
        <w:t xml:space="preserve">хоокеанския алианс, Меркосур, Системата за интеграция на Централна Америка (SICA) и Карибския форум (Карифорум)/Карибската общност (Кариком).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Партньорството между ЕС и ЛАК следва да има по-голяма роля в света и да допринася по-добре за опазването и предос</w:t>
      </w:r>
      <w:r>
        <w:rPr>
          <w:rFonts w:ascii="Times New Roman" w:hAnsi="Times New Roman"/>
          <w:noProof/>
          <w:sz w:val="24"/>
        </w:rPr>
        <w:t xml:space="preserve">тавянето на глобални обществени блага, включително чрез съвместни позиции в рамките на многостранните форуми. </w:t>
      </w:r>
      <w:r>
        <w:rPr>
          <w:rFonts w:ascii="Times New Roman" w:hAnsi="Times New Roman"/>
          <w:b/>
          <w:noProof/>
          <w:sz w:val="24"/>
        </w:rPr>
        <w:t>Следва да се засили използването на практиката за провеждане на неофициални консултации между ЕС и държавите от ЛАК преди важни международни конфе</w:t>
      </w:r>
      <w:r>
        <w:rPr>
          <w:rFonts w:ascii="Times New Roman" w:hAnsi="Times New Roman"/>
          <w:b/>
          <w:noProof/>
          <w:sz w:val="24"/>
        </w:rPr>
        <w:t>ренции</w:t>
      </w:r>
      <w:r>
        <w:rPr>
          <w:rFonts w:ascii="Times New Roman" w:hAnsi="Times New Roman"/>
          <w:noProof/>
          <w:sz w:val="24"/>
        </w:rPr>
        <w:t>. Многостранното сътрудничество трябва да се превърне в постоянен елемент на диалога на всички равнища с партньорите от ЛАК.</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Политическата ангажираност и координираните подходи между два региона са и инструментите за насърчаване на мира и сигурността</w:t>
      </w:r>
      <w:r>
        <w:rPr>
          <w:rFonts w:ascii="Times New Roman" w:hAnsi="Times New Roman"/>
          <w:noProof/>
          <w:sz w:val="24"/>
        </w:rPr>
        <w:t xml:space="preserve"> и справяне с кризисни ситуации. Още през 80-те години на миналия век Латинска Америка и Европа обединиха сили в рамките на Контадорската група за насърчаване на мира в Централна Америка, поставяйки основите на мирните споразумения от Ескипулас. </w:t>
      </w:r>
      <w:r>
        <w:rPr>
          <w:rFonts w:ascii="Times New Roman" w:hAnsi="Times New Roman"/>
          <w:b/>
          <w:noProof/>
          <w:sz w:val="24"/>
        </w:rPr>
        <w:t>Международ</w:t>
      </w:r>
      <w:r>
        <w:rPr>
          <w:rFonts w:ascii="Times New Roman" w:hAnsi="Times New Roman"/>
          <w:b/>
          <w:noProof/>
          <w:sz w:val="24"/>
        </w:rPr>
        <w:t>ната контактна група (МКГ) за Венесуела</w:t>
      </w:r>
      <w:r>
        <w:rPr>
          <w:rFonts w:ascii="Times New Roman" w:hAnsi="Times New Roman"/>
          <w:noProof/>
          <w:sz w:val="24"/>
        </w:rPr>
        <w:t xml:space="preserve"> е друг пример за инициатива, която обединява членове от двата региона и е насочена към насърчаването на политически, демократични и мирни решения на кризата в страната, чието въздействие се усеща далеч отвъд границит</w:t>
      </w:r>
      <w:r>
        <w:rPr>
          <w:rFonts w:ascii="Times New Roman" w:hAnsi="Times New Roman"/>
          <w:noProof/>
          <w:sz w:val="24"/>
        </w:rPr>
        <w:t>е на Венесуела. МКГ се основава на общи за ЕС и ЛАК ценности и необходимостта да се отстояват демокрацията, върховенството на закона и зачитането на правата на човека в региона. Тя е въплъщение на подхода на сътрудничество, основан на принципи, който ръков</w:t>
      </w:r>
      <w:r>
        <w:rPr>
          <w:rFonts w:ascii="Times New Roman" w:hAnsi="Times New Roman"/>
          <w:noProof/>
          <w:sz w:val="24"/>
        </w:rPr>
        <w:t>оди външната политика на ЕС: работейки с регионални и международни партньори, тя се стреми към създаването на условия за политическо решение чрез свободни и честни избори и предоставяне на помощ в съответствие с хуманитарните принципи. ЕС е готов също така</w:t>
      </w:r>
      <w:r>
        <w:rPr>
          <w:rFonts w:ascii="Times New Roman" w:hAnsi="Times New Roman"/>
          <w:noProof/>
          <w:sz w:val="24"/>
        </w:rPr>
        <w:t xml:space="preserve"> да бъде част от международните усилия за обновяване на институциите и оздравяване на икономиката на страната, след като бъде възстановена демокрацията. В отношенията между двата региона следва да се насърчават съвместните дипломатически действия, основава</w:t>
      </w:r>
      <w:r>
        <w:rPr>
          <w:rFonts w:ascii="Times New Roman" w:hAnsi="Times New Roman"/>
          <w:noProof/>
          <w:sz w:val="24"/>
        </w:rPr>
        <w:t>щи се на многостранни и приобщаващи подходи, като инструмент за справяне с кризисни ситуации.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Отчитайки, че в днешния свят различни международни участници се конкурират за влияние, икономическо присъствие или дори политически и обществени модели, ЕС следва</w:t>
      </w:r>
      <w:r>
        <w:rPr>
          <w:rFonts w:ascii="Times New Roman" w:hAnsi="Times New Roman"/>
          <w:noProof/>
          <w:sz w:val="24"/>
        </w:rPr>
        <w:t xml:space="preserve"> да се отличава със своята политика, основана на ценности, и да насърчава логика на взаимно допълване и взаимна полза. Екслузивното виждане за международните отношения, когато някой печели за сметка на друг, е вредно и за двата региона; отношенията, които </w:t>
      </w:r>
      <w:r>
        <w:rPr>
          <w:rFonts w:ascii="Times New Roman" w:hAnsi="Times New Roman"/>
          <w:noProof/>
          <w:sz w:val="24"/>
        </w:rPr>
        <w:t xml:space="preserve">ЕС предлага на ЛАК, се основават на </w:t>
      </w:r>
      <w:r>
        <w:rPr>
          <w:rFonts w:ascii="Times New Roman" w:hAnsi="Times New Roman"/>
          <w:b/>
          <w:noProof/>
          <w:sz w:val="24"/>
        </w:rPr>
        <w:t>открит регионализъм и печеливши за всички решения</w:t>
      </w:r>
      <w:r>
        <w:rPr>
          <w:rFonts w:ascii="Times New Roman" w:hAnsi="Times New Roman"/>
          <w:noProof/>
          <w:sz w:val="24"/>
        </w:rPr>
        <w:t>.</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своите отношения с ЛАК ЕС следва също да води </w:t>
      </w:r>
      <w:r>
        <w:rPr>
          <w:rFonts w:ascii="Times New Roman" w:hAnsi="Times New Roman"/>
          <w:b/>
          <w:noProof/>
          <w:sz w:val="24"/>
        </w:rPr>
        <w:t>отговорна търговска и инвестиционна политика</w:t>
      </w:r>
      <w:r>
        <w:rPr>
          <w:rFonts w:ascii="Times New Roman" w:hAnsi="Times New Roman"/>
          <w:noProof/>
          <w:sz w:val="24"/>
        </w:rPr>
        <w:t>, като използва своите търговски споразумения за отстояване на икономическите</w:t>
      </w:r>
      <w:r>
        <w:rPr>
          <w:rFonts w:ascii="Times New Roman" w:hAnsi="Times New Roman"/>
          <w:noProof/>
          <w:sz w:val="24"/>
        </w:rPr>
        <w:t xml:space="preserve"> интереси на ЕС и международните ценности, които стоят в основата на партньорството между ЕС и ЛАК, като дава своя принос за затвърдяването на демокрацията, благоденствието и устойчивостта и за оформянето на по-приобщаваща и устойчива глобализация.</w:t>
      </w: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3.2 Сът</w:t>
      </w:r>
      <w:r>
        <w:rPr>
          <w:rFonts w:ascii="Times New Roman" w:hAnsi="Times New Roman"/>
          <w:b/>
          <w:noProof/>
          <w:sz w:val="24"/>
        </w:rPr>
        <w:t>рудничество за силно въздействие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превръщането на общите цели в действия и за да се спомогне за реализирането на потенциала на партньорството между ЕС и ЛАК, ЕС следва да работи с партньорите от ЛАК за изпълнение на настоящото предложение за всеобхватна </w:t>
      </w:r>
      <w:r>
        <w:rPr>
          <w:rFonts w:ascii="Times New Roman" w:hAnsi="Times New Roman"/>
          <w:noProof/>
          <w:sz w:val="24"/>
        </w:rPr>
        <w:t>рамка за сътрудничество. Рамката следва да отговаря на четирите приоритетни области, очертани по-горе — а именно просперитет, демокрация, устойчивост и ефективно глобално управление — като се признава необходимостта от решителни действия по общите интереси</w:t>
      </w:r>
      <w:r>
        <w:rPr>
          <w:rFonts w:ascii="Times New Roman" w:hAnsi="Times New Roman"/>
          <w:noProof/>
          <w:sz w:val="24"/>
        </w:rPr>
        <w:t>, за което регионите поемат ангажимент като равностойни партньори.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Тази нова всеобхватна рамка следва да бъде:</w:t>
      </w:r>
    </w:p>
    <w:p w:rsidR="00787500" w:rsidRDefault="007C27D1">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съобразена с конкретните нужди,</w:t>
      </w:r>
      <w:r>
        <w:rPr>
          <w:rFonts w:ascii="Times New Roman" w:hAnsi="Times New Roman"/>
          <w:noProof/>
          <w:sz w:val="24"/>
        </w:rPr>
        <w:t xml:space="preserve"> като отчита различните условия в отделните региони.</w:t>
      </w:r>
    </w:p>
    <w:p w:rsidR="00787500" w:rsidRDefault="007C27D1">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съобразена с политическите приоритети</w:t>
      </w:r>
      <w:r>
        <w:rPr>
          <w:rFonts w:ascii="Times New Roman" w:hAnsi="Times New Roman"/>
          <w:noProof/>
          <w:sz w:val="24"/>
        </w:rPr>
        <w:t xml:space="preserve">, като служи за </w:t>
      </w:r>
      <w:r>
        <w:rPr>
          <w:rFonts w:ascii="Times New Roman" w:hAnsi="Times New Roman"/>
          <w:noProof/>
          <w:sz w:val="24"/>
        </w:rPr>
        <w:t>постигането на напредък по общите цели и интереси на партньорството или партньорствата между ЕС и ЛАК, определени с политическите диалози на различни равнище в отношенията между ЕС и ЛАК и в консултации с частния сектор и групите на гражданското общество;</w:t>
      </w:r>
    </w:p>
    <w:p w:rsidR="00787500" w:rsidRDefault="007C27D1">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всеобхватна</w:t>
      </w:r>
      <w:r>
        <w:rPr>
          <w:rFonts w:ascii="Times New Roman" w:hAnsi="Times New Roman"/>
          <w:b/>
          <w:noProof/>
          <w:sz w:val="24"/>
        </w:rPr>
        <w:t>,</w:t>
      </w:r>
      <w:r>
        <w:rPr>
          <w:rFonts w:ascii="Times New Roman" w:hAnsi="Times New Roman"/>
          <w:noProof/>
          <w:sz w:val="24"/>
        </w:rPr>
        <w:t xml:space="preserve"> като използва различни области на политиката и инструменти в отговор на все по-широкия дневен ред на партньорството и все по-сложните предизвикателства;</w:t>
      </w:r>
    </w:p>
    <w:p w:rsidR="00787500" w:rsidRDefault="007C27D1">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съгласувана</w:t>
      </w:r>
      <w:r>
        <w:rPr>
          <w:rFonts w:ascii="Times New Roman" w:hAnsi="Times New Roman"/>
          <w:b/>
          <w:noProof/>
          <w:sz w:val="24"/>
        </w:rPr>
        <w:t>,</w:t>
      </w:r>
      <w:r>
        <w:rPr>
          <w:rFonts w:ascii="Times New Roman" w:hAnsi="Times New Roman"/>
          <w:noProof/>
          <w:sz w:val="24"/>
        </w:rPr>
        <w:t xml:space="preserve"> като гарантира, че различните политики и инструменти на външната дейност на Е</w:t>
      </w:r>
      <w:r>
        <w:rPr>
          <w:rFonts w:ascii="Times New Roman" w:hAnsi="Times New Roman"/>
          <w:noProof/>
          <w:sz w:val="24"/>
        </w:rPr>
        <w:t xml:space="preserve">С в ЛАК допринасят за по-общите цели на партньорството между ЕС и ЛАК.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Сътрудничеството в подкрепа на </w:t>
      </w:r>
      <w:r>
        <w:rPr>
          <w:rFonts w:ascii="Times New Roman" w:hAnsi="Times New Roman"/>
          <w:b/>
          <w:noProof/>
          <w:sz w:val="24"/>
        </w:rPr>
        <w:t>изпълнението на всеобщата Програма до 2030 г. за устойчиво развитие и други общи международни ангажименти ще бъде основен елемент на новата рамка</w:t>
      </w:r>
      <w:r>
        <w:rPr>
          <w:rFonts w:ascii="Times New Roman" w:hAnsi="Times New Roman"/>
          <w:noProof/>
          <w:sz w:val="24"/>
        </w:rPr>
        <w:t>, като щ</w:t>
      </w:r>
      <w:r>
        <w:rPr>
          <w:rFonts w:ascii="Times New Roman" w:hAnsi="Times New Roman"/>
          <w:noProof/>
          <w:sz w:val="24"/>
        </w:rPr>
        <w:t xml:space="preserve">е се работи на местно, национално, регионално и световно равнище, както и с гражданското общество. Добър пример за този ангажимент са диалозите за устойчивото развитие, установени съгласно споразуменията, сключени с няколко държави.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рамките на Европейския консенсус за развитие ЕС следва да продължи да работи с държавите от ЛАК с различно равнище на развитие по все по-диверсифициран и съобразен с конкретните обстоятелства начин, като </w:t>
      </w:r>
      <w:r>
        <w:rPr>
          <w:rFonts w:ascii="Times New Roman" w:hAnsi="Times New Roman"/>
          <w:b/>
          <w:noProof/>
          <w:sz w:val="24"/>
        </w:rPr>
        <w:t>насочва усилията към държавите, където потребности</w:t>
      </w:r>
      <w:r>
        <w:rPr>
          <w:rFonts w:ascii="Times New Roman" w:hAnsi="Times New Roman"/>
          <w:b/>
          <w:noProof/>
          <w:sz w:val="24"/>
        </w:rPr>
        <w:t>те са най-големи, по-специално държавите, които са най-слабо развити, нестабилни и засегнати от конфликти</w:t>
      </w:r>
      <w:r>
        <w:rPr>
          <w:rFonts w:ascii="Times New Roman" w:hAnsi="Times New Roman"/>
          <w:noProof/>
          <w:sz w:val="24"/>
        </w:rPr>
        <w:t xml:space="preserve"> и където потенциалът за привличане на финансиране е най-нисък. </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Като признава оставащите слабости и структурни ограничения, пред които са изправени мн</w:t>
      </w:r>
      <w:r>
        <w:rPr>
          <w:rFonts w:ascii="Times New Roman" w:hAnsi="Times New Roman"/>
          <w:noProof/>
          <w:sz w:val="24"/>
        </w:rPr>
        <w:t>ого държави със средни доходи при постигането на устойчиво развитие, ЕС следва да се стреми към извличането на взаимни ползи от сътрудничеството и споделеното благоденствие, ЕС следва да продължи сътрудничеството за развитие, когато е целесъобразно, да про</w:t>
      </w:r>
      <w:r>
        <w:rPr>
          <w:rFonts w:ascii="Times New Roman" w:hAnsi="Times New Roman"/>
          <w:noProof/>
          <w:sz w:val="24"/>
        </w:rPr>
        <w:t>дължи да води диалог по политиките и да споделя знания и опит по въпроси като изкореняването на бедността, управлението, бежанските кризи и други общи интереси.</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Диалозите и инициативите за сътрудничество във връзка с обществения ред и реформите ще отчитат </w:t>
      </w:r>
      <w:r>
        <w:rPr>
          <w:rFonts w:ascii="Times New Roman" w:hAnsi="Times New Roman"/>
          <w:noProof/>
          <w:sz w:val="24"/>
        </w:rPr>
        <w:t xml:space="preserve">многообразието на държавите партньори, ще насърчават взаимните интереси и ще набелязват общите приоритети и предизвикателства. ЕС също така признава </w:t>
      </w:r>
      <w:r>
        <w:rPr>
          <w:rFonts w:ascii="Times New Roman" w:hAnsi="Times New Roman"/>
          <w:b/>
          <w:noProof/>
          <w:sz w:val="24"/>
        </w:rPr>
        <w:t>важната роля на сътрудничеството на по-напредналите развиващи се държави в ЛАК с други развиващи се държави</w:t>
      </w:r>
      <w:r>
        <w:rPr>
          <w:rFonts w:ascii="Times New Roman" w:hAnsi="Times New Roman"/>
          <w:noProof/>
          <w:sz w:val="24"/>
        </w:rPr>
        <w:t xml:space="preserve">, както и тяхното въздействие върху глобалните обществени блага и предизвикателства. Тъй като тези държави се нуждаят от по-малко или не се нуждаят от преференциални форми на подпомагане, ЕС следва да разработи новаторски форми на сътрудничество с тях, за </w:t>
      </w:r>
      <w:r>
        <w:rPr>
          <w:rFonts w:ascii="Times New Roman" w:hAnsi="Times New Roman"/>
          <w:noProof/>
          <w:sz w:val="24"/>
        </w:rPr>
        <w:t>да насърчава изпълнението в глобален план на Програмата до 2030 г.</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В подкрепа на новата рамка за сътрудничество ЕС следва да използва всички свои инструменти и програми по пълноценен и допълващ се начин, като същевременно въведе иновативни способи за пости</w:t>
      </w:r>
      <w:r>
        <w:rPr>
          <w:rFonts w:ascii="Times New Roman" w:hAnsi="Times New Roman"/>
          <w:noProof/>
          <w:sz w:val="24"/>
        </w:rPr>
        <w:t>гането на целите на партньорството между ЕС и ЛАК. От особено значение следва да бъдат следните елементи:</w:t>
      </w:r>
    </w:p>
    <w:p w:rsidR="00787500" w:rsidRDefault="007C27D1">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диалози относно политиките</w:t>
      </w:r>
      <w:r>
        <w:rPr>
          <w:rFonts w:ascii="Times New Roman" w:hAnsi="Times New Roman"/>
          <w:noProof/>
          <w:sz w:val="24"/>
        </w:rPr>
        <w:t xml:space="preserve"> за идентифициране и работа по взаимните очаквания на ЕС и ЛАК във връзка с вътрешните реформи, двустранното, регионалното и</w:t>
      </w:r>
      <w:r>
        <w:rPr>
          <w:rFonts w:ascii="Times New Roman" w:hAnsi="Times New Roman"/>
          <w:noProof/>
          <w:sz w:val="24"/>
        </w:rPr>
        <w:t xml:space="preserve"> многостранното сътрудничество; </w:t>
      </w:r>
    </w:p>
    <w:p w:rsidR="00787500" w:rsidRDefault="007C27D1">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споделяне на знания и експертен опит</w:t>
      </w:r>
      <w:r>
        <w:rPr>
          <w:rFonts w:ascii="Times New Roman" w:hAnsi="Times New Roman"/>
          <w:b/>
          <w:noProof/>
          <w:sz w:val="24"/>
        </w:rPr>
        <w:t xml:space="preserve"> </w:t>
      </w:r>
      <w:r>
        <w:rPr>
          <w:rFonts w:ascii="Times New Roman" w:hAnsi="Times New Roman"/>
          <w:noProof/>
          <w:sz w:val="24"/>
        </w:rPr>
        <w:t>по въпроси от взаимен интерес, включително обществения ред, институционалното укрепване и регулаторните среди</w:t>
      </w:r>
      <w:r>
        <w:rPr>
          <w:rFonts w:ascii="Times New Roman" w:hAnsi="Times New Roman"/>
          <w:noProof/>
          <w:sz w:val="24"/>
          <w:u w:val="single"/>
        </w:rPr>
        <w:t>;</w:t>
      </w:r>
    </w:p>
    <w:p w:rsidR="00787500" w:rsidRDefault="007C27D1">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насърчаване и привличане на публично и частно финансиране,</w:t>
      </w:r>
      <w:r>
        <w:rPr>
          <w:rFonts w:ascii="Times New Roman" w:hAnsi="Times New Roman"/>
          <w:b/>
          <w:noProof/>
          <w:sz w:val="24"/>
        </w:rPr>
        <w:t xml:space="preserve"> </w:t>
      </w:r>
      <w:r>
        <w:rPr>
          <w:rFonts w:ascii="Times New Roman" w:hAnsi="Times New Roman"/>
          <w:noProof/>
          <w:sz w:val="24"/>
        </w:rPr>
        <w:t>за да се генерир</w:t>
      </w:r>
      <w:r>
        <w:rPr>
          <w:rFonts w:ascii="Times New Roman" w:hAnsi="Times New Roman"/>
          <w:noProof/>
          <w:sz w:val="24"/>
        </w:rPr>
        <w:t>ат инвестиции с висока икономическа, екологична и социална възвръщаемост, включително чрез смесено финансиране и подкрепа за инвестициите и чрез структуриран диалог за подобряване на инвестиционния климат, с акцент върху най-нуждаещите се държави.</w:t>
      </w:r>
    </w:p>
    <w:p w:rsidR="00787500" w:rsidRDefault="007C27D1">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b/>
          <w:noProof/>
          <w:sz w:val="24"/>
          <w:u w:val="single"/>
        </w:rPr>
        <w:t>тристран</w:t>
      </w:r>
      <w:r>
        <w:rPr>
          <w:rFonts w:ascii="Times New Roman" w:hAnsi="Times New Roman"/>
          <w:b/>
          <w:noProof/>
          <w:sz w:val="24"/>
          <w:u w:val="single"/>
        </w:rPr>
        <w:t>но сътрудничество</w:t>
      </w:r>
      <w:r>
        <w:rPr>
          <w:rFonts w:ascii="Times New Roman" w:hAnsi="Times New Roman"/>
          <w:noProof/>
          <w:sz w:val="24"/>
        </w:rPr>
        <w:t>, което мобилизира и увеличава капацитета за сътрудничество, включително за постигане на ЦУР.</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rPr>
        <w:t>Европейската инвестиционна банка и институциите на държавите членки за финансиране на развитието</w:t>
      </w:r>
      <w:r>
        <w:rPr>
          <w:rFonts w:ascii="Times New Roman" w:hAnsi="Times New Roman"/>
          <w:noProof/>
          <w:sz w:val="24"/>
        </w:rPr>
        <w:t xml:space="preserve"> играят важна роля във финансирането на устойчиво</w:t>
      </w:r>
      <w:r>
        <w:rPr>
          <w:rFonts w:ascii="Times New Roman" w:hAnsi="Times New Roman"/>
          <w:noProof/>
          <w:sz w:val="24"/>
        </w:rPr>
        <w:t>то развитие в ЛАК в контекста на намален приток на официална помощ за развитие.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Накрая, сътрудничеството между ЕС и ЛАК би извлякло ползи от рационализиране на използваните инструменти посредством опростяване на структурата на инструментите за външно финан</w:t>
      </w:r>
      <w:r>
        <w:rPr>
          <w:rFonts w:ascii="Times New Roman" w:hAnsi="Times New Roman"/>
          <w:noProof/>
          <w:sz w:val="24"/>
        </w:rPr>
        <w:t>сиране и по-голяма гъвкавост, за да се отговори на предизвикателствата и да се оползотворят максимално възможностите на партньорството между двата региона.</w:t>
      </w:r>
    </w:p>
    <w:p w:rsidR="00787500" w:rsidRDefault="00787500">
      <w:pPr>
        <w:spacing w:after="0" w:line="240" w:lineRule="auto"/>
        <w:jc w:val="both"/>
        <w:rPr>
          <w:rFonts w:ascii="Times New Roman" w:hAnsi="Times New Roman" w:cs="Times New Roman"/>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3.3. Нашите общества имат водеща роля</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ЕС следва да продължи да насърчава тясната ангажираност с гра</w:t>
      </w:r>
      <w:r>
        <w:rPr>
          <w:rFonts w:ascii="Times New Roman" w:hAnsi="Times New Roman"/>
          <w:noProof/>
          <w:sz w:val="24"/>
        </w:rPr>
        <w:t>жданското общество, мозъчните тръстове, местните власти, стопанския сектор, организациите на работодателите и на работниците, културните организации, академичните среди и младите хора.</w:t>
      </w:r>
      <w:r>
        <w:rPr>
          <w:rFonts w:ascii="Times New Roman" w:hAnsi="Times New Roman"/>
          <w:b/>
          <w:noProof/>
          <w:sz w:val="24"/>
        </w:rPr>
        <w:t xml:space="preserve"> </w:t>
      </w:r>
      <w:r>
        <w:rPr>
          <w:rFonts w:ascii="Times New Roman" w:hAnsi="Times New Roman"/>
          <w:noProof/>
          <w:sz w:val="24"/>
        </w:rPr>
        <w:t>Този ангажимент следва да продължи да дава насока на политическите и ст</w:t>
      </w:r>
      <w:r>
        <w:rPr>
          <w:rFonts w:ascii="Times New Roman" w:hAnsi="Times New Roman"/>
          <w:noProof/>
          <w:sz w:val="24"/>
        </w:rPr>
        <w:t>ратегическите диалози между ЕС и ЛАК, за да се гарантира, че те отговарят на проблемите, които вълнуват гражданите на двата региона. Способността на гражданското общество да бъде ефективен застъпник и да спомага за отчетността и прозрачността на управление</w:t>
      </w:r>
      <w:r>
        <w:rPr>
          <w:rFonts w:ascii="Times New Roman" w:hAnsi="Times New Roman"/>
          <w:noProof/>
          <w:sz w:val="24"/>
        </w:rPr>
        <w:t xml:space="preserve">то следва да бъде постоянна цел на инициативите за сътрудничество. В това отношение важна роля играе и </w:t>
      </w:r>
      <w:r>
        <w:rPr>
          <w:rFonts w:ascii="Times New Roman" w:hAnsi="Times New Roman"/>
          <w:b/>
          <w:noProof/>
          <w:sz w:val="24"/>
        </w:rPr>
        <w:t>Фондация „ЕС-ЛАК“</w:t>
      </w:r>
      <w:r>
        <w:rPr>
          <w:rFonts w:ascii="Times New Roman" w:hAnsi="Times New Roman"/>
          <w:noProof/>
          <w:sz w:val="24"/>
        </w:rPr>
        <w:t>.</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b/>
          <w:noProof/>
          <w:sz w:val="24"/>
        </w:rPr>
        <w:t>Парламентарното измерение</w:t>
      </w:r>
      <w:r>
        <w:rPr>
          <w:rFonts w:ascii="Times New Roman" w:hAnsi="Times New Roman"/>
          <w:noProof/>
          <w:sz w:val="24"/>
        </w:rPr>
        <w:t xml:space="preserve"> е съществен елемент от политическия ангажимент между ЕС и ЛАК. Конструктивната и активна роля, която Европей</w:t>
      </w:r>
      <w:r>
        <w:rPr>
          <w:rFonts w:ascii="Times New Roman" w:hAnsi="Times New Roman"/>
          <w:noProof/>
          <w:sz w:val="24"/>
        </w:rPr>
        <w:t>ският парламент и други парламентарни органи играят в рамките на партньорството между двата региона, следва да продължи и в бъдеще.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следва да продължи тясното си сътрудничество с </w:t>
      </w:r>
      <w:r>
        <w:rPr>
          <w:rFonts w:ascii="Times New Roman" w:hAnsi="Times New Roman"/>
          <w:b/>
          <w:noProof/>
          <w:sz w:val="24"/>
        </w:rPr>
        <w:t>регионалните и междурегионалните организации</w:t>
      </w:r>
      <w:r>
        <w:rPr>
          <w:rFonts w:ascii="Times New Roman" w:hAnsi="Times New Roman"/>
          <w:noProof/>
          <w:sz w:val="24"/>
        </w:rPr>
        <w:t xml:space="preserve">, като Икономическата комисия </w:t>
      </w:r>
      <w:r>
        <w:rPr>
          <w:rFonts w:ascii="Times New Roman" w:hAnsi="Times New Roman"/>
          <w:noProof/>
          <w:sz w:val="24"/>
        </w:rPr>
        <w:t>на Обединените нации за Латинска Америка и Карибския басейн (ИКЛАК), Организацията на американските държави, Иберо-американския генерален секретариат, Итало-латиноамериканския институт, Междуамериканската банка за развитие или Банката за развитие на Латинс</w:t>
      </w:r>
      <w:r>
        <w:rPr>
          <w:rFonts w:ascii="Times New Roman" w:hAnsi="Times New Roman"/>
          <w:noProof/>
          <w:sz w:val="24"/>
        </w:rPr>
        <w:t>ка Америка.</w:t>
      </w:r>
    </w:p>
    <w:p w:rsidR="00787500" w:rsidRDefault="00787500">
      <w:pPr>
        <w:spacing w:after="0" w:line="240" w:lineRule="auto"/>
        <w:jc w:val="both"/>
        <w:rPr>
          <w:rFonts w:ascii="Times New Roman" w:hAnsi="Times New Roman" w:cs="Times New Roman"/>
          <w:noProof/>
          <w:sz w:val="24"/>
          <w:szCs w:val="24"/>
        </w:rPr>
      </w:pPr>
    </w:p>
    <w:p w:rsidR="00787500" w:rsidRDefault="007C27D1">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4. Към общ дневен ред</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настоящото съобщение са изложени редица предложения за засилване на партньорството между Европейския съюз и ЛАК. То отразява силния интерес на ЕС да задълбочи отношенията с държавите и регионалните групи от ЛАК и да </w:t>
      </w:r>
      <w:r>
        <w:rPr>
          <w:rFonts w:ascii="Times New Roman" w:hAnsi="Times New Roman"/>
          <w:noProof/>
          <w:sz w:val="24"/>
        </w:rPr>
        <w:t>продължи да бъде стабилен и надежден партньор на региона.</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ЕС счита, че в рамките на партньорството следва да се заеме по-силна позиция по ценностите и жизненоважните интереси — благоденствие, демокрация, устойчивост и ефективно глобално управление — и за т</w:t>
      </w:r>
      <w:r>
        <w:rPr>
          <w:rFonts w:ascii="Times New Roman" w:hAnsi="Times New Roman"/>
          <w:noProof/>
          <w:sz w:val="24"/>
        </w:rPr>
        <w:t>ази цел да се използват по-добре и по-целенасочено различните измерения на взаимоотношенията между ЕС и ЛАК. ЕС ще работи за по-стратегически политически ангажимент, като активизира усилията за партньорство с тези държави или регионални групи, които желаят</w:t>
      </w:r>
      <w:r>
        <w:rPr>
          <w:rFonts w:ascii="Times New Roman" w:hAnsi="Times New Roman"/>
          <w:noProof/>
          <w:sz w:val="24"/>
        </w:rPr>
        <w:t xml:space="preserve"> да работят по-активно за общите цели. Той ще се стреми да оказва подкрепа за прогресивни търговски и инвестиционни политики, основани на правила, и ще работи с ЛАК за запазване и реформиране на стабилната многостранна търговска система. Съюзът ще сътрудни</w:t>
      </w:r>
      <w:r>
        <w:rPr>
          <w:rFonts w:ascii="Times New Roman" w:hAnsi="Times New Roman"/>
          <w:noProof/>
          <w:sz w:val="24"/>
        </w:rPr>
        <w:t>чи в действия, които ще имат голямо въздействие в рамките на общи приоритети и Програмата до 2030 г. за устойчиво развитие.</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В същото време партньорството между ЕС и ЛАК далеч не се ограничава до правителствата. И днес връзките между народите на двата регио</w:t>
      </w:r>
      <w:r>
        <w:rPr>
          <w:rFonts w:ascii="Times New Roman" w:hAnsi="Times New Roman"/>
          <w:noProof/>
          <w:sz w:val="24"/>
        </w:rPr>
        <w:t>на са динамични както всякога; гражданите са тези, които градят мостове между регионите, извършват научни изследвания и иновации, създават нови работни места и държат отговорни вземащите решения. Трябва да се направи повече, за да ги подпомогнем да реализи</w:t>
      </w:r>
      <w:r>
        <w:rPr>
          <w:rFonts w:ascii="Times New Roman" w:hAnsi="Times New Roman"/>
          <w:noProof/>
          <w:sz w:val="24"/>
        </w:rPr>
        <w:t>рат своя потенциал.</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Това следва да доведе до </w:t>
      </w:r>
      <w:r>
        <w:rPr>
          <w:rFonts w:ascii="Times New Roman" w:hAnsi="Times New Roman"/>
          <w:b/>
          <w:noProof/>
          <w:sz w:val="24"/>
        </w:rPr>
        <w:t>по-съгласувана и последователна външна дейност на ЕС в ЛАК</w:t>
      </w:r>
      <w:r>
        <w:rPr>
          <w:rFonts w:ascii="Times New Roman" w:hAnsi="Times New Roman"/>
          <w:noProof/>
          <w:sz w:val="24"/>
        </w:rPr>
        <w:t xml:space="preserve"> с обединяване на предимствата и ресурсите. Изпълнението на настоящото съобщение ще се осъществява в тясно сътрудничество с държавите — членки на ЕС, чии</w:t>
      </w:r>
      <w:r>
        <w:rPr>
          <w:rFonts w:ascii="Times New Roman" w:hAnsi="Times New Roman"/>
          <w:noProof/>
          <w:sz w:val="24"/>
        </w:rPr>
        <w:t>то разнообразни връзки с региона на ЛАК засилват уникалния характер на партньорството между ЕС и ЛАК. Възможностите за съвместно планиране и общи инициативи, които да направят по-ефективно външните действия на Европа, трябва да бъдат проучвани винаги, кога</w:t>
      </w:r>
      <w:r>
        <w:rPr>
          <w:rFonts w:ascii="Times New Roman" w:hAnsi="Times New Roman"/>
          <w:noProof/>
          <w:sz w:val="24"/>
        </w:rPr>
        <w:t>то е възможно.</w:t>
      </w:r>
    </w:p>
    <w:p w:rsidR="00787500" w:rsidRDefault="007C27D1">
      <w:pPr>
        <w:spacing w:after="120" w:line="240" w:lineRule="auto"/>
        <w:jc w:val="both"/>
        <w:rPr>
          <w:rFonts w:ascii="Times New Roman" w:hAnsi="Times New Roman" w:cs="Times New Roman"/>
          <w:noProof/>
          <w:sz w:val="24"/>
          <w:szCs w:val="24"/>
        </w:rPr>
      </w:pPr>
      <w:r>
        <w:rPr>
          <w:rFonts w:ascii="Times New Roman" w:hAnsi="Times New Roman"/>
          <w:noProof/>
          <w:sz w:val="24"/>
        </w:rPr>
        <w:t>Това е визията на ЕС за бъдещето на партньорството между ЕС и ЛАК. Диалогът с партньорите от ЛАК ще позволи да обединим силите си за изграждане на общо бъдеще.</w:t>
      </w:r>
    </w:p>
    <w:p w:rsidR="00787500" w:rsidRDefault="00787500">
      <w:pPr>
        <w:spacing w:after="120" w:line="240" w:lineRule="auto"/>
        <w:jc w:val="both"/>
        <w:rPr>
          <w:rFonts w:ascii="Times New Roman" w:hAnsi="Times New Roman" w:cs="Times New Roman"/>
          <w:noProof/>
          <w:sz w:val="24"/>
          <w:szCs w:val="24"/>
        </w:rPr>
      </w:pPr>
    </w:p>
    <w:p w:rsidR="00787500" w:rsidRDefault="007C27D1">
      <w:pPr>
        <w:rPr>
          <w:rFonts w:ascii="Times New Roman" w:hAnsi="Times New Roman" w:cs="Times New Roman"/>
          <w:noProof/>
          <w:sz w:val="24"/>
          <w:szCs w:val="24"/>
        </w:rPr>
      </w:pPr>
      <w:r>
        <w:rPr>
          <w:noProof/>
        </w:rPr>
        <w:br w:type="page"/>
      </w:r>
    </w:p>
    <w:p w:rsidR="00787500" w:rsidRDefault="007C27D1">
      <w:pPr>
        <w:jc w:val="center"/>
        <w:rPr>
          <w:rFonts w:ascii="Times New Roman" w:hAnsi="Times New Roman" w:cs="Times New Roman"/>
          <w:i/>
          <w:noProof/>
        </w:rPr>
      </w:pPr>
      <w:r>
        <w:rPr>
          <w:rFonts w:ascii="Times New Roman" w:hAnsi="Times New Roman"/>
          <w:i/>
          <w:noProof/>
        </w:rPr>
        <w:t>Списък на съкращенията (по азбучен ред)</w:t>
      </w:r>
    </w:p>
    <w:p w:rsidR="00787500" w:rsidRDefault="00787500">
      <w:pPr>
        <w:jc w:val="center"/>
        <w:rPr>
          <w:rFonts w:ascii="Times New Roman" w:hAnsi="Times New Roman" w:cs="Times New Roman"/>
          <w:i/>
          <w:noProof/>
        </w:rPr>
      </w:pPr>
    </w:p>
    <w:tbl>
      <w:tblPr>
        <w:tblStyle w:val="TableGrid"/>
        <w:tblW w:w="0" w:type="auto"/>
        <w:tblInd w:w="720" w:type="dxa"/>
        <w:tblLook w:val="04A0" w:firstRow="1" w:lastRow="0" w:firstColumn="1" w:lastColumn="0" w:noHBand="0" w:noVBand="1"/>
      </w:tblPr>
      <w:tblGrid>
        <w:gridCol w:w="4250"/>
        <w:gridCol w:w="4318"/>
      </w:tblGrid>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5G</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 xml:space="preserve">5-о поколение (клетъчни мобилни </w:t>
            </w:r>
            <w:r>
              <w:rPr>
                <w:rFonts w:ascii="Times New Roman" w:hAnsi="Times New Roman"/>
                <w:i/>
                <w:noProof/>
              </w:rPr>
              <w:t>комуникации)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АКТБ</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Държави от Африка, Карибите и Тихоокеанския басейн</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AMERIPOL</w:t>
            </w:r>
          </w:p>
        </w:tc>
        <w:tc>
          <w:tcPr>
            <w:tcW w:w="4318" w:type="dxa"/>
          </w:tcPr>
          <w:p w:rsidR="00787500" w:rsidRDefault="007C27D1">
            <w:pPr>
              <w:pStyle w:val="ListParagraph"/>
              <w:ind w:left="0"/>
              <w:jc w:val="both"/>
              <w:rPr>
                <w:rFonts w:ascii="Times New Roman" w:hAnsi="Times New Roman" w:cs="Times New Roman"/>
                <w:i/>
                <w:noProof/>
              </w:rPr>
            </w:pPr>
            <w:r>
              <w:rPr>
                <w:rFonts w:ascii="Times New Roman" w:hAnsi="Times New Roman"/>
                <w:i/>
                <w:noProof/>
              </w:rPr>
              <w:t>Comunidad de Policías de América</w:t>
            </w:r>
          </w:p>
          <w:p w:rsidR="00787500" w:rsidRDefault="007C27D1">
            <w:pPr>
              <w:pStyle w:val="ListParagraph"/>
              <w:ind w:left="0"/>
              <w:jc w:val="both"/>
              <w:rPr>
                <w:rFonts w:ascii="Times New Roman" w:hAnsi="Times New Roman" w:cs="Times New Roman"/>
                <w:i/>
                <w:noProof/>
              </w:rPr>
            </w:pPr>
            <w:r>
              <w:rPr>
                <w:rFonts w:ascii="Times New Roman" w:hAnsi="Times New Roman"/>
                <w:i/>
                <w:noProof/>
              </w:rPr>
              <w:t>Общност на полицейските служби на Северна и Южна Америка</w:t>
            </w:r>
          </w:p>
        </w:tc>
      </w:tr>
      <w:tr w:rsidR="00787500">
        <w:tc>
          <w:tcPr>
            <w:tcW w:w="4250" w:type="dxa"/>
          </w:tcPr>
          <w:p w:rsidR="00787500" w:rsidRDefault="007C27D1">
            <w:pPr>
              <w:pStyle w:val="ListParagraph"/>
              <w:ind w:left="0"/>
              <w:jc w:val="both"/>
              <w:rPr>
                <w:rFonts w:ascii="Times New Roman" w:hAnsi="Times New Roman" w:cs="Times New Roman"/>
                <w:noProof/>
              </w:rPr>
            </w:pPr>
            <w:r>
              <w:rPr>
                <w:rFonts w:ascii="Times New Roman" w:hAnsi="Times New Roman"/>
                <w:noProof/>
              </w:rPr>
              <w:t>CARICOM IMPACS</w:t>
            </w:r>
          </w:p>
        </w:tc>
        <w:tc>
          <w:tcPr>
            <w:tcW w:w="4318" w:type="dxa"/>
          </w:tcPr>
          <w:p w:rsidR="00787500" w:rsidRDefault="007C27D1">
            <w:pPr>
              <w:pStyle w:val="ListParagraph"/>
              <w:ind w:left="0"/>
              <w:jc w:val="both"/>
              <w:rPr>
                <w:rFonts w:ascii="Times New Roman" w:hAnsi="Times New Roman" w:cs="Times New Roman"/>
                <w:i/>
                <w:noProof/>
              </w:rPr>
            </w:pPr>
            <w:r>
              <w:rPr>
                <w:rFonts w:ascii="Times New Roman" w:hAnsi="Times New Roman"/>
                <w:i/>
                <w:noProof/>
              </w:rPr>
              <w:t xml:space="preserve">Изпълнителна агенция за сигурност и борба с престъпността (IMPACS) на </w:t>
            </w:r>
            <w:r>
              <w:rPr>
                <w:rFonts w:ascii="Times New Roman" w:hAnsi="Times New Roman"/>
                <w:i/>
                <w:noProof/>
              </w:rPr>
              <w:t>Карибската общност</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CELAC</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Общност на латиноамериканските и карибските държави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CEPOL</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Агенция на Европейския съюз за обучение в областта на правоприлагането</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COPOLAD</w:t>
            </w:r>
          </w:p>
        </w:tc>
        <w:tc>
          <w:tcPr>
            <w:tcW w:w="4318" w:type="dxa"/>
          </w:tcPr>
          <w:p w:rsidR="00787500" w:rsidRDefault="007C27D1">
            <w:pPr>
              <w:rPr>
                <w:rFonts w:ascii="Times New Roman" w:hAnsi="Times New Roman" w:cs="Times New Roman"/>
                <w:i/>
                <w:noProof/>
              </w:rPr>
            </w:pPr>
            <w:r>
              <w:rPr>
                <w:rFonts w:ascii="Times New Roman" w:hAnsi="Times New Roman"/>
                <w:i/>
                <w:noProof/>
              </w:rPr>
              <w:t>Programa de Cooperación entre América Latina, el Caribe y la Unión Europea en Políticas sob</w:t>
            </w:r>
            <w:r>
              <w:rPr>
                <w:rFonts w:ascii="Times New Roman" w:hAnsi="Times New Roman"/>
                <w:i/>
                <w:noProof/>
              </w:rPr>
              <w:t>re Drogas</w:t>
            </w:r>
          </w:p>
          <w:p w:rsidR="00787500" w:rsidRDefault="007C27D1">
            <w:pPr>
              <w:rPr>
                <w:rFonts w:ascii="Times New Roman" w:hAnsi="Times New Roman" w:cs="Times New Roman"/>
                <w:i/>
                <w:noProof/>
              </w:rPr>
            </w:pPr>
            <w:r>
              <w:rPr>
                <w:rFonts w:ascii="Times New Roman" w:hAnsi="Times New Roman"/>
                <w:i/>
                <w:noProof/>
              </w:rPr>
              <w:t>Програма за сътрудничество между</w:t>
            </w:r>
          </w:p>
          <w:p w:rsidR="00787500" w:rsidRDefault="007C27D1">
            <w:pPr>
              <w:rPr>
                <w:rFonts w:ascii="Times New Roman" w:hAnsi="Times New Roman" w:cs="Times New Roman"/>
                <w:i/>
                <w:noProof/>
              </w:rPr>
            </w:pPr>
            <w:r>
              <w:rPr>
                <w:rFonts w:ascii="Times New Roman" w:hAnsi="Times New Roman"/>
                <w:i/>
                <w:noProof/>
              </w:rPr>
              <w:t>Латинска Америка, Карибския басейн и Европейския съюз</w:t>
            </w:r>
          </w:p>
          <w:p w:rsidR="00787500" w:rsidRDefault="007C27D1">
            <w:pPr>
              <w:rPr>
                <w:rFonts w:ascii="Times New Roman" w:hAnsi="Times New Roman" w:cs="Times New Roman"/>
                <w:i/>
                <w:noProof/>
              </w:rPr>
            </w:pPr>
            <w:r>
              <w:rPr>
                <w:rFonts w:ascii="Times New Roman" w:hAnsi="Times New Roman"/>
                <w:i/>
                <w:noProof/>
              </w:rPr>
              <w:t>по отношение на политиките в областта на наркотиците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ОПСО</w:t>
            </w:r>
            <w:r>
              <w:rPr>
                <w:rFonts w:ascii="Times New Roman" w:hAnsi="Times New Roman"/>
                <w:noProof/>
                <w:lang w:val="en-GB"/>
              </w:rPr>
              <w:t xml:space="preserve"> (</w:t>
            </w:r>
            <w:r>
              <w:rPr>
                <w:rFonts w:ascii="Times New Roman" w:hAnsi="Times New Roman" w:cs="Times New Roman"/>
                <w:noProof/>
              </w:rPr>
              <w:t>CSDP</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Обща политика за сигурност и отбрана (ЕС)</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ИКЛАК</w:t>
            </w:r>
            <w:r>
              <w:rPr>
                <w:rFonts w:ascii="Times New Roman" w:hAnsi="Times New Roman"/>
                <w:noProof/>
                <w:lang w:val="en-GB"/>
              </w:rPr>
              <w:t xml:space="preserve"> (</w:t>
            </w:r>
            <w:r>
              <w:rPr>
                <w:rFonts w:ascii="Times New Roman" w:hAnsi="Times New Roman" w:cs="Times New Roman"/>
                <w:noProof/>
              </w:rPr>
              <w:t>ECLAC</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 xml:space="preserve">Икономическа комисия „Латинска </w:t>
            </w:r>
            <w:r>
              <w:rPr>
                <w:rFonts w:ascii="Times New Roman" w:hAnsi="Times New Roman"/>
                <w:i/>
                <w:noProof/>
              </w:rPr>
              <w:t>Америка и Карибите“ на ООН</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EGNOS</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Европейска геостационарна служба за навигационно покритие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ЕИБ</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Европейска инвестиционна банка</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EL PAcCTO</w:t>
            </w:r>
          </w:p>
        </w:tc>
        <w:tc>
          <w:tcPr>
            <w:tcW w:w="4318" w:type="dxa"/>
          </w:tcPr>
          <w:p w:rsidR="00787500" w:rsidRDefault="007C27D1">
            <w:pPr>
              <w:rPr>
                <w:rFonts w:ascii="Times New Roman" w:hAnsi="Times New Roman" w:cs="Times New Roman"/>
                <w:i/>
                <w:noProof/>
              </w:rPr>
            </w:pPr>
            <w:r>
              <w:rPr>
                <w:rFonts w:ascii="Times New Roman" w:hAnsi="Times New Roman"/>
                <w:i/>
                <w:noProof/>
              </w:rPr>
              <w:t>Europa Latinoamérica Programa de Asistencia contra el Crimen Transnacional Organizado</w:t>
            </w:r>
          </w:p>
          <w:p w:rsidR="00787500" w:rsidRDefault="007C27D1">
            <w:pPr>
              <w:rPr>
                <w:rFonts w:ascii="Times New Roman" w:hAnsi="Times New Roman" w:cs="Times New Roman"/>
                <w:i/>
                <w:noProof/>
              </w:rPr>
            </w:pPr>
            <w:r>
              <w:rPr>
                <w:rFonts w:ascii="Times New Roman" w:hAnsi="Times New Roman"/>
                <w:i/>
                <w:noProof/>
              </w:rPr>
              <w:t xml:space="preserve">Програма на Европейския съюз и </w:t>
            </w:r>
            <w:r>
              <w:rPr>
                <w:rFonts w:ascii="Times New Roman" w:hAnsi="Times New Roman"/>
                <w:i/>
                <w:noProof/>
              </w:rPr>
              <w:t>Латинска Америка за помощ в борбата с транснационалната организирана престъпност</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ЕС</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Европейски съюз</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 xml:space="preserve">EUR </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Евро — €</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EUROCLIMA +</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Programa Regional de Sostenibilidad Ambiental y Cambio Climático para América Latina</w:t>
            </w:r>
          </w:p>
          <w:p w:rsidR="00787500" w:rsidRDefault="007C27D1">
            <w:pPr>
              <w:pStyle w:val="ListParagraph"/>
              <w:ind w:left="0"/>
              <w:rPr>
                <w:rFonts w:ascii="Times New Roman" w:hAnsi="Times New Roman" w:cs="Times New Roman"/>
                <w:i/>
                <w:noProof/>
              </w:rPr>
            </w:pPr>
            <w:r>
              <w:rPr>
                <w:rFonts w:ascii="Times New Roman" w:hAnsi="Times New Roman"/>
                <w:i/>
                <w:noProof/>
              </w:rPr>
              <w:t xml:space="preserve">Изменение на климата и устойчивост на </w:t>
            </w:r>
            <w:r>
              <w:rPr>
                <w:rFonts w:ascii="Times New Roman" w:hAnsi="Times New Roman"/>
                <w:i/>
                <w:noProof/>
              </w:rPr>
              <w:t>околната среда на регионално равнище — програма за Латинска Америка</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ЕВРОПОЛ</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 xml:space="preserve">Агенция на Европейския съюз за сътрудничество в областта на правоприлагането </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EUROsociAL</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Programa para la Cohesión Social en América Latina</w:t>
            </w:r>
          </w:p>
          <w:p w:rsidR="00787500" w:rsidRDefault="007C27D1">
            <w:pPr>
              <w:pStyle w:val="ListParagraph"/>
              <w:ind w:left="0"/>
              <w:rPr>
                <w:rFonts w:ascii="Times New Roman" w:hAnsi="Times New Roman" w:cs="Times New Roman"/>
                <w:i/>
                <w:noProof/>
              </w:rPr>
            </w:pPr>
            <w:r>
              <w:rPr>
                <w:rFonts w:ascii="Times New Roman" w:hAnsi="Times New Roman"/>
                <w:i/>
                <w:noProof/>
              </w:rPr>
              <w:t>Програма за социално сближаване в Лати</w:t>
            </w:r>
            <w:r>
              <w:rPr>
                <w:rFonts w:ascii="Times New Roman" w:hAnsi="Times New Roman"/>
                <w:i/>
                <w:noProof/>
              </w:rPr>
              <w:t>нска Америка</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ПЧИ</w:t>
            </w:r>
            <w:r>
              <w:rPr>
                <w:rFonts w:ascii="Times New Roman" w:hAnsi="Times New Roman"/>
                <w:noProof/>
                <w:lang w:val="en-GB"/>
              </w:rPr>
              <w:t xml:space="preserve"> (</w:t>
            </w:r>
            <w:r>
              <w:rPr>
                <w:rFonts w:ascii="Times New Roman" w:hAnsi="Times New Roman" w:cs="Times New Roman"/>
                <w:noProof/>
              </w:rPr>
              <w:t>FDI</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Преки чуждестранни инвестиции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Г-20</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Група на двадесетте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МБР</w:t>
            </w:r>
            <w:r>
              <w:rPr>
                <w:rFonts w:ascii="Times New Roman" w:hAnsi="Times New Roman"/>
                <w:noProof/>
                <w:lang w:val="en-GB"/>
              </w:rPr>
              <w:t xml:space="preserve"> (</w:t>
            </w:r>
            <w:r>
              <w:rPr>
                <w:rFonts w:ascii="Times New Roman" w:hAnsi="Times New Roman" w:cs="Times New Roman"/>
                <w:noProof/>
              </w:rPr>
              <w:t>IDB</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Междуамериканска банка за развитие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ЛАК</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Латинска Америка и Карибски басейн</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ЛГБТИ</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Лесбийки, гейове, бисексуални, трансполови и интерсексуални лица</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ММСП</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 xml:space="preserve">Микро-, </w:t>
            </w:r>
            <w:r>
              <w:rPr>
                <w:rFonts w:ascii="Times New Roman" w:hAnsi="Times New Roman"/>
                <w:i/>
                <w:noProof/>
              </w:rPr>
              <w:t>малки и средни предприятия</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НОП</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Национално определени приноси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ОАД</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Организация на американските държави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ОПР</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Официална помощ за развитие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ОИСР</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Организация за икономическо сътрудничество и развитие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ЦУР</w:t>
            </w:r>
            <w:r>
              <w:rPr>
                <w:rFonts w:ascii="Times New Roman" w:hAnsi="Times New Roman"/>
                <w:noProof/>
                <w:lang w:val="en-GB"/>
              </w:rPr>
              <w:t xml:space="preserve"> (</w:t>
            </w:r>
            <w:r>
              <w:rPr>
                <w:rFonts w:ascii="Times New Roman" w:hAnsi="Times New Roman" w:cs="Times New Roman"/>
                <w:noProof/>
              </w:rPr>
              <w:t>SDG(s)</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Цели за устойчиво развитие</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SICA</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Sistema de la</w:t>
            </w:r>
            <w:r>
              <w:rPr>
                <w:rFonts w:ascii="Times New Roman" w:hAnsi="Times New Roman"/>
                <w:i/>
                <w:noProof/>
              </w:rPr>
              <w:t xml:space="preserve"> Integración Centroamericana</w:t>
            </w:r>
          </w:p>
          <w:p w:rsidR="00787500" w:rsidRDefault="007C27D1">
            <w:pPr>
              <w:pStyle w:val="ListParagraph"/>
              <w:ind w:left="0"/>
              <w:rPr>
                <w:rFonts w:ascii="Times New Roman" w:hAnsi="Times New Roman" w:cs="Times New Roman"/>
                <w:i/>
                <w:noProof/>
              </w:rPr>
            </w:pPr>
            <w:r>
              <w:rPr>
                <w:rFonts w:ascii="Times New Roman" w:hAnsi="Times New Roman"/>
                <w:i/>
                <w:noProof/>
              </w:rPr>
              <w:t>Система за интегриране на Централна Америка</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ООН</w:t>
            </w:r>
            <w:r>
              <w:rPr>
                <w:rFonts w:ascii="Times New Roman" w:hAnsi="Times New Roman"/>
                <w:noProof/>
                <w:lang w:val="en-GB"/>
              </w:rPr>
              <w:t xml:space="preserve"> (</w:t>
            </w:r>
            <w:r>
              <w:rPr>
                <w:rFonts w:ascii="Times New Roman" w:hAnsi="Times New Roman"/>
                <w:noProof/>
              </w:rPr>
              <w:t>UN</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Организацията на обединените нации</w:t>
            </w:r>
          </w:p>
        </w:tc>
      </w:tr>
      <w:tr w:rsidR="00787500">
        <w:tc>
          <w:tcPr>
            <w:tcW w:w="4250" w:type="dxa"/>
          </w:tcPr>
          <w:p w:rsidR="00787500" w:rsidRDefault="007C27D1">
            <w:pPr>
              <w:pStyle w:val="ListParagraph"/>
              <w:ind w:left="0"/>
              <w:rPr>
                <w:rFonts w:ascii="Times New Roman" w:hAnsi="Times New Roman" w:cs="Times New Roman"/>
                <w:noProof/>
              </w:rPr>
            </w:pPr>
            <w:r>
              <w:rPr>
                <w:rFonts w:ascii="Times New Roman" w:hAnsi="Times New Roman"/>
                <w:noProof/>
              </w:rPr>
              <w:t>СТО</w:t>
            </w:r>
            <w:r>
              <w:rPr>
                <w:rFonts w:ascii="Times New Roman" w:hAnsi="Times New Roman"/>
                <w:noProof/>
                <w:lang w:val="en-GB"/>
              </w:rPr>
              <w:t xml:space="preserve"> (</w:t>
            </w:r>
            <w:r>
              <w:rPr>
                <w:rFonts w:ascii="Times New Roman" w:hAnsi="Times New Roman" w:cs="Times New Roman"/>
                <w:noProof/>
              </w:rPr>
              <w:t>WTO</w:t>
            </w:r>
            <w:r>
              <w:rPr>
                <w:rFonts w:ascii="Times New Roman" w:hAnsi="Times New Roman"/>
                <w:noProof/>
                <w:lang w:val="en-GB"/>
              </w:rPr>
              <w:t>)</w:t>
            </w:r>
          </w:p>
        </w:tc>
        <w:tc>
          <w:tcPr>
            <w:tcW w:w="4318" w:type="dxa"/>
          </w:tcPr>
          <w:p w:rsidR="00787500" w:rsidRDefault="007C27D1">
            <w:pPr>
              <w:pStyle w:val="ListParagraph"/>
              <w:ind w:left="0"/>
              <w:rPr>
                <w:rFonts w:ascii="Times New Roman" w:hAnsi="Times New Roman" w:cs="Times New Roman"/>
                <w:i/>
                <w:noProof/>
              </w:rPr>
            </w:pPr>
            <w:r>
              <w:rPr>
                <w:rFonts w:ascii="Times New Roman" w:hAnsi="Times New Roman"/>
                <w:i/>
                <w:noProof/>
              </w:rPr>
              <w:t>Световна търговска организация</w:t>
            </w:r>
          </w:p>
        </w:tc>
      </w:tr>
    </w:tbl>
    <w:p w:rsidR="00787500" w:rsidRDefault="00787500">
      <w:pPr>
        <w:spacing w:after="120" w:line="240" w:lineRule="auto"/>
        <w:jc w:val="both"/>
        <w:rPr>
          <w:rFonts w:ascii="Times New Roman" w:hAnsi="Times New Roman" w:cs="Times New Roman"/>
          <w:b/>
          <w:noProof/>
          <w:sz w:val="24"/>
          <w:szCs w:val="24"/>
        </w:rPr>
      </w:pPr>
    </w:p>
    <w:sectPr w:rsidR="00787500" w:rsidSect="007C27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39825" w16cid:durableId="202C23CB"/>
  <w16cid:commentId w16cid:paraId="64ED99D0" w16cid:durableId="202C23CC"/>
  <w16cid:commentId w16cid:paraId="66E9C3D6" w16cid:durableId="202C23CD"/>
  <w16cid:commentId w16cid:paraId="300B68C6" w16cid:durableId="202C23CE"/>
  <w16cid:commentId w16cid:paraId="22A65D4A" w16cid:durableId="202C23CF"/>
  <w16cid:commentId w16cid:paraId="58A637D4" w16cid:durableId="202C23D0"/>
  <w16cid:commentId w16cid:paraId="1F560C5C" w16cid:durableId="202C23D1"/>
  <w16cid:commentId w16cid:paraId="5B1C1F37" w16cid:durableId="202C23D2"/>
  <w16cid:commentId w16cid:paraId="04A303F7" w16cid:durableId="202C23D3"/>
  <w16cid:commentId w16cid:paraId="4CEC985F" w16cid:durableId="202C23D4"/>
  <w16cid:commentId w16cid:paraId="462B7D18" w16cid:durableId="202C23D5"/>
  <w16cid:commentId w16cid:paraId="7B99B632" w16cid:durableId="202C23D6"/>
  <w16cid:commentId w16cid:paraId="0A794E57" w16cid:durableId="202C23D7"/>
  <w16cid:commentId w16cid:paraId="562B9CDB" w16cid:durableId="202C23D8"/>
  <w16cid:commentId w16cid:paraId="75B650D2" w16cid:durableId="202C23D9"/>
  <w16cid:commentId w16cid:paraId="3893A6E4" w16cid:durableId="202C23DA"/>
  <w16cid:commentId w16cid:paraId="14A6D3E3" w16cid:durableId="202C23DB"/>
  <w16cid:commentId w16cid:paraId="6D8C10B1" w16cid:durableId="202C23DC"/>
  <w16cid:commentId w16cid:paraId="5C0AA631" w16cid:durableId="202C23DD"/>
  <w16cid:commentId w16cid:paraId="10D3518A" w16cid:durableId="202C23DE"/>
  <w16cid:commentId w16cid:paraId="03E0A523" w16cid:durableId="202C23DF"/>
  <w16cid:commentId w16cid:paraId="0A562C6D" w16cid:durableId="202C23E0"/>
  <w16cid:commentId w16cid:paraId="1A41ECEF" w16cid:durableId="202C23E1"/>
  <w16cid:commentId w16cid:paraId="670AF2B5" w16cid:durableId="202C23E2"/>
  <w16cid:commentId w16cid:paraId="5DA69134" w16cid:durableId="202C23E3"/>
  <w16cid:commentId w16cid:paraId="14770AE7" w16cid:durableId="202C23E4"/>
  <w16cid:commentId w16cid:paraId="4F180AC9" w16cid:durableId="202C23E5"/>
  <w16cid:commentId w16cid:paraId="6EA3404E" w16cid:durableId="202C23E6"/>
  <w16cid:commentId w16cid:paraId="501D14CC" w16cid:durableId="202C23E7"/>
  <w16cid:commentId w16cid:paraId="35884627" w16cid:durableId="202C23E8"/>
  <w16cid:commentId w16cid:paraId="3B8B7F5B" w16cid:durableId="202C23E9"/>
  <w16cid:commentId w16cid:paraId="2129E51F" w16cid:durableId="202C23EA"/>
  <w16cid:commentId w16cid:paraId="4FA24C0E" w16cid:durableId="202C23EB"/>
  <w16cid:commentId w16cid:paraId="2D7DD1D0" w16cid:durableId="202C23EC"/>
  <w16cid:commentId w16cid:paraId="24CF5ACE" w16cid:durableId="202C23ED"/>
  <w16cid:commentId w16cid:paraId="2F3E46CA" w16cid:durableId="202C23EE"/>
  <w16cid:commentId w16cid:paraId="6ED59537" w16cid:durableId="202C23EF"/>
  <w16cid:commentId w16cid:paraId="20E13B46" w16cid:durableId="202C23F0"/>
  <w16cid:commentId w16cid:paraId="51AB9870" w16cid:durableId="202C23F1"/>
  <w16cid:commentId w16cid:paraId="6ACE449F" w16cid:durableId="202C23F2"/>
  <w16cid:commentId w16cid:paraId="0D785081" w16cid:durableId="202C23F3"/>
  <w16cid:commentId w16cid:paraId="36EB2BAE" w16cid:durableId="202C23F4"/>
  <w16cid:commentId w16cid:paraId="0F3C22B6" w16cid:durableId="202C23F5"/>
  <w16cid:commentId w16cid:paraId="68325D5A" w16cid:durableId="202C23F6"/>
  <w16cid:commentId w16cid:paraId="5D73CCBF" w16cid:durableId="202C23F7"/>
  <w16cid:commentId w16cid:paraId="7FB39319" w16cid:durableId="202C23F8"/>
  <w16cid:commentId w16cid:paraId="7BF1A2F5" w16cid:durableId="202C23F9"/>
  <w16cid:commentId w16cid:paraId="6BF0B2D6" w16cid:durableId="202C23FA"/>
  <w16cid:commentId w16cid:paraId="3577F7FF" w16cid:durableId="202C23FB"/>
  <w16cid:commentId w16cid:paraId="357DD0FA" w16cid:durableId="202C23FC"/>
  <w16cid:commentId w16cid:paraId="37BF9D5F" w16cid:durableId="202C23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00" w:rsidRDefault="007C27D1">
      <w:pPr>
        <w:spacing w:after="0" w:line="240" w:lineRule="auto"/>
      </w:pPr>
      <w:r>
        <w:separator/>
      </w:r>
    </w:p>
  </w:endnote>
  <w:endnote w:type="continuationSeparator" w:id="0">
    <w:p w:rsidR="00787500" w:rsidRDefault="007C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font268">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C27D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89315"/>
      <w:docPartObj>
        <w:docPartGallery w:val="Page Numbers (Bottom of Page)"/>
        <w:docPartUnique/>
      </w:docPartObj>
    </w:sdtPr>
    <w:sdtEndPr>
      <w:rPr>
        <w:noProof/>
        <w:sz w:val="18"/>
        <w:szCs w:val="18"/>
      </w:rPr>
    </w:sdtEndPr>
    <w:sdtContent>
      <w:bookmarkStart w:id="1" w:name="_GoBack" w:displacedByCustomXml="prev"/>
      <w:bookmarkEnd w:id="1" w:displacedByCustomXml="prev"/>
      <w:p w:rsidR="00787500" w:rsidRDefault="007C27D1">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sdtContent>
  </w:sdt>
  <w:p w:rsidR="00787500" w:rsidRDefault="007875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00" w:rsidRDefault="007C27D1">
      <w:pPr>
        <w:spacing w:after="0" w:line="240" w:lineRule="auto"/>
      </w:pPr>
      <w:r>
        <w:separator/>
      </w:r>
    </w:p>
  </w:footnote>
  <w:footnote w:type="continuationSeparator" w:id="0">
    <w:p w:rsidR="00787500" w:rsidRDefault="007C27D1">
      <w:pPr>
        <w:spacing w:after="0" w:line="240" w:lineRule="auto"/>
      </w:pPr>
      <w:r>
        <w:continuationSeparator/>
      </w:r>
    </w:p>
  </w:footnote>
  <w:footnote w:id="1">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Обща визия, общи действия: по-силна Европа. Глобална стратегия за външната политика и политиката на сигурност на Европейския съюз (2016 г.).</w:t>
      </w:r>
    </w:p>
  </w:footnote>
  <w:footnote w:id="2">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Всички държави от ЛАК, с изключение на Аржентина, Боливия, Бразилия, Парагвай, Уругвай и Венесуела. Най-важните </w:t>
      </w:r>
      <w:r>
        <w:rPr>
          <w:rFonts w:ascii="Times New Roman" w:hAnsi="Times New Roman"/>
        </w:rPr>
        <w:t>от тях са споразуменията за асоцииране с Мексико, Чили и Централна Америка, споразумението за икономическо партньорство с Карибския форум (КАРИФОРУМ) и споразуменията за свободна търговия с Колумбия, Перу и Еквадор.</w:t>
      </w:r>
    </w:p>
  </w:footnote>
  <w:footnote w:id="3">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Парижко споразумение (2015 г.).</w:t>
      </w:r>
    </w:p>
  </w:footnote>
  <w:footnote w:id="4">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„Да преобразим света: програма до 2030 г. за устойчиво развитие“ (2015 г.).</w:t>
      </w:r>
    </w:p>
  </w:footnote>
  <w:footnote w:id="5">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на ООН за международната миграция, 2017 г.</w:t>
      </w:r>
    </w:p>
  </w:footnote>
  <w:footnote w:id="6">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Евростат, 2019 г. Инвестициите на ЕС в ЛАК са по-високи от преките чуждестранни инвестиции на ЕС в Китай (176,1 милиарда евро</w:t>
      </w:r>
      <w:r>
        <w:rPr>
          <w:rFonts w:ascii="Times New Roman" w:hAnsi="Times New Roman"/>
        </w:rPr>
        <w:t>, с изключение на Хонконг), Индия (76,7 милиарда евро ) и Русия (216,1 милиарда евро), взети заедно.</w:t>
      </w:r>
    </w:p>
  </w:footnote>
  <w:footnote w:id="7">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Съсредоточени в ключови области, като сигурността и върховенството на закона, устойчивостта на околната среда и изменението на климата, селското стопанст</w:t>
      </w:r>
      <w:r>
        <w:rPr>
          <w:rFonts w:ascii="Times New Roman" w:hAnsi="Times New Roman"/>
        </w:rPr>
        <w:t>во, продоволствената и хранителната сигурност, приобщаващия икономически растеж за създаване на работни места, реформите на управлението на публичните финанси, модернизирането на публичния сектор и регионалната интеграция.</w:t>
      </w:r>
    </w:p>
  </w:footnote>
  <w:footnote w:id="8">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Годишни доклади на ЕИБ на разпо</w:t>
      </w:r>
      <w:r>
        <w:rPr>
          <w:rFonts w:ascii="Times New Roman" w:hAnsi="Times New Roman"/>
        </w:rPr>
        <w:t xml:space="preserve">ложение на адрес </w:t>
      </w:r>
      <w:hyperlink r:id="rId1">
        <w:r>
          <w:rPr>
            <w:rStyle w:val="Hyperlink"/>
            <w:rFonts w:ascii="Times New Roman" w:hAnsi="Times New Roman"/>
          </w:rPr>
          <w:t>http://www.eib.org/en/infocentre/publications/all/index.htm</w:t>
        </w:r>
      </w:hyperlink>
      <w:r>
        <w:rPr>
          <w:rFonts w:ascii="Times New Roman" w:hAnsi="Times New Roman"/>
        </w:rPr>
        <w:t xml:space="preserve">. </w:t>
      </w:r>
    </w:p>
  </w:footnote>
  <w:footnote w:id="9">
    <w:p w:rsidR="00787500" w:rsidRDefault="007C27D1">
      <w:pPr>
        <w:pStyle w:val="ti-grseq-1"/>
        <w:shd w:val="clear" w:color="auto" w:fill="FFFFFF"/>
        <w:spacing w:before="0" w:beforeAutospacing="0" w:after="0" w:afterAutospacing="0"/>
        <w:jc w:val="both"/>
      </w:pPr>
      <w:r>
        <w:rPr>
          <w:rStyle w:val="FootnoteReference"/>
          <w:sz w:val="20"/>
        </w:rPr>
        <w:footnoteRef/>
      </w:r>
      <w:r>
        <w:rPr>
          <w:color w:val="444444"/>
          <w:sz w:val="20"/>
          <w:shd w:val="clear" w:color="auto" w:fill="FFFFFF"/>
        </w:rPr>
        <w:t xml:space="preserve"> </w:t>
      </w:r>
      <w:r>
        <w:rPr>
          <w:rFonts w:eastAsiaTheme="minorEastAsia"/>
          <w:sz w:val="20"/>
        </w:rPr>
        <w:t>„Новият европейски консенсус за развитие: нашият свят, нашето достойнство, нашето бъдеще“, ОВ 20</w:t>
      </w:r>
      <w:r>
        <w:rPr>
          <w:rFonts w:eastAsiaTheme="minorEastAsia"/>
          <w:sz w:val="20"/>
        </w:rPr>
        <w:t>17/C 210/01.</w:t>
      </w:r>
    </w:p>
  </w:footnote>
  <w:footnote w:id="10">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„Търговията — за всички. Към една по-отговорна търговска и инвестиционна политика“, COM(2015) 0497; Указания за водене на преговори за споразумение за партньорство между Европейския съюз и неговите държави членки, от една страна, и групата н</w:t>
      </w:r>
      <w:r>
        <w:rPr>
          <w:rFonts w:ascii="Times New Roman" w:hAnsi="Times New Roman"/>
        </w:rPr>
        <w:t>а държавите от Африка, Карибите и Тихоокеанския басейн, от друга страна, Документ 8094/18/ADD1 (2018) на Съвета. Настоящото съобщение следва също така да се чете в светлината на споразуменията, които съществуват или са в процес на договаряне между ЕС и отд</w:t>
      </w:r>
      <w:r>
        <w:rPr>
          <w:rFonts w:ascii="Times New Roman" w:hAnsi="Times New Roman"/>
        </w:rPr>
        <w:t>елни държави или подрегиони на ЛАК. Обхващащи на практика целия регион, те представляват важно средство за реализирането на визията, изложена в настоящия документ.</w:t>
      </w:r>
    </w:p>
  </w:footnote>
  <w:footnote w:id="11">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съответствие с плана за действие на Комисията „Финансиране за устойчив растеж“. „План за</w:t>
      </w:r>
      <w:r>
        <w:rPr>
          <w:rFonts w:ascii="Times New Roman" w:hAnsi="Times New Roman"/>
        </w:rPr>
        <w:t xml:space="preserve"> действие: финансиране за устойчив растеж“ COM (2018) 97</w:t>
      </w:r>
    </w:p>
  </w:footnote>
  <w:footnote w:id="12">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Инициативата осигурява дългосрочна рамка за подпомагането на островите за генериране на собствена устойчива и евтина енергия. </w:t>
      </w:r>
    </w:p>
  </w:footnote>
  <w:footnote w:id="13">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2018 г. 81 % от населението в ЛАК живееше в градски райони, а в</w:t>
      </w:r>
      <w:r>
        <w:rPr>
          <w:rFonts w:ascii="Times New Roman" w:hAnsi="Times New Roman"/>
        </w:rPr>
        <w:t xml:space="preserve"> Европа — 74 %. UN Department of Economic and Social Affairs (2018) Revision of World Urbanization Prospects (ООН, Департамент по икономически и социални въпроси (2018 г.), Перспективи пред урбанизацията в света).</w:t>
      </w:r>
    </w:p>
  </w:footnote>
  <w:footnote w:id="14">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Според МОТ през 2014 г. недекларираната </w:t>
      </w:r>
      <w:r>
        <w:rPr>
          <w:rFonts w:ascii="Times New Roman" w:hAnsi="Times New Roman"/>
        </w:rPr>
        <w:t>заетост е представлявала 46,8 % от общата заетост извън селското стопанство. През 2012 г. делът на сивата икономика в ЕС-27 е бил 18,4 %. European Commission &amp; OECD (2017) Policy Brief on Informal Entrepreneurship (Европейска комисия &amp; ОИСР (2017 г.), Обзо</w:t>
      </w:r>
      <w:r>
        <w:rPr>
          <w:rFonts w:ascii="Times New Roman" w:hAnsi="Times New Roman"/>
        </w:rPr>
        <w:t xml:space="preserve">р на политиките относно неофициалното предприемачество) </w:t>
      </w:r>
    </w:p>
  </w:footnote>
  <w:footnote w:id="15">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Вече са подписани договорености с Бразилия, Чили и Колумбия</w:t>
      </w:r>
    </w:p>
  </w:footnote>
  <w:footnote w:id="16">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EUROCLIMA+ е програма, финансирана от ЕС, която подкрепя изпълнението на Парижкото споразумение, </w:t>
      </w:r>
      <w:hyperlink r:id="rId2">
        <w:r>
          <w:rPr>
            <w:rStyle w:val="Hyperlink"/>
            <w:rFonts w:ascii="Times New Roman" w:hAnsi="Times New Roman"/>
          </w:rPr>
          <w:t>http://euroclimaplus.org/</w:t>
        </w:r>
      </w:hyperlink>
      <w:r>
        <w:rPr>
          <w:rFonts w:ascii="Times New Roman" w:hAnsi="Times New Roman"/>
        </w:rPr>
        <w:t xml:space="preserve"> </w:t>
      </w:r>
    </w:p>
  </w:footnote>
  <w:footnote w:id="17">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Междуамериканска банка за развитие (2012 г.), Leveraging opportunities for sustaining growth: IDB biodiversity platform for the Latin America and the Caribbean. (Увеличаване на възможностите за подпомагане на растежа: платформа на МБР за биологично разноо</w:t>
      </w:r>
      <w:r>
        <w:rPr>
          <w:rFonts w:ascii="Times New Roman" w:hAnsi="Times New Roman"/>
        </w:rPr>
        <w:t>бразие за Латинска Америка и Карибския регион).</w:t>
      </w:r>
    </w:p>
  </w:footnote>
  <w:footnote w:id="18">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ИКЛАК (2018 г.), Социална панорама на Латинска Америка.</w:t>
      </w:r>
    </w:p>
  </w:footnote>
  <w:footnote w:id="19">
    <w:p w:rsidR="00787500" w:rsidRDefault="007C27D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ИКЛАК, Социална панорама на Латинска Америка, 2018 г.</w:t>
      </w:r>
    </w:p>
  </w:footnote>
  <w:footnote w:id="20">
    <w:p w:rsidR="00787500" w:rsidRDefault="007C27D1">
      <w:pPr>
        <w:pStyle w:val="Heading4"/>
        <w:spacing w:before="0"/>
        <w:jc w:val="both"/>
        <w:rPr>
          <w:rFonts w:ascii="Times New Roman" w:hAnsi="Times New Roman" w:cs="Times New Roman"/>
        </w:rPr>
      </w:pPr>
      <w:r>
        <w:rPr>
          <w:rStyle w:val="FootnoteReference"/>
          <w:rFonts w:ascii="Times New Roman" w:hAnsi="Times New Roman"/>
          <w:i w:val="0"/>
          <w:color w:val="auto"/>
          <w:sz w:val="20"/>
        </w:rPr>
        <w:footnoteRef/>
      </w:r>
      <w:r>
        <w:rPr>
          <w:rFonts w:ascii="Times New Roman" w:hAnsi="Times New Roman"/>
          <w:i w:val="0"/>
          <w:color w:val="auto"/>
          <w:sz w:val="20"/>
        </w:rPr>
        <w:t xml:space="preserve"> </w:t>
      </w:r>
      <w:r>
        <w:rPr>
          <w:rFonts w:ascii="Times New Roman" w:hAnsi="Times New Roman"/>
          <w:b w:val="0"/>
          <w:i w:val="0"/>
          <w:color w:val="auto"/>
          <w:sz w:val="20"/>
        </w:rPr>
        <w:t>Свиването на данъчната основа и прехвърлянето на печалби са стратегии за избягване на данъци</w:t>
      </w:r>
      <w:r>
        <w:rPr>
          <w:rFonts w:ascii="Times New Roman" w:hAnsi="Times New Roman"/>
          <w:b w:val="0"/>
          <w:i w:val="0"/>
          <w:color w:val="auto"/>
          <w:sz w:val="20"/>
        </w:rPr>
        <w:t>, които се възползват от пропуски и несъответствия в данъчните правила, за да се прехвърлят изкуствено печалбите към места с ниско данъчно облагане или без данъчно облагане (ОИСР).</w:t>
      </w:r>
    </w:p>
  </w:footnote>
  <w:footnote w:id="21">
    <w:p w:rsidR="00787500" w:rsidRDefault="007C27D1">
      <w:pPr>
        <w:pStyle w:val="FootnoteText"/>
        <w:jc w:val="both"/>
      </w:pPr>
      <w:r>
        <w:rPr>
          <w:rStyle w:val="FootnoteReference"/>
          <w:rFonts w:ascii="Times New Roman" w:hAnsi="Times New Roman"/>
        </w:rPr>
        <w:footnoteRef/>
      </w:r>
      <w:r>
        <w:rPr>
          <w:rFonts w:ascii="Times New Roman" w:hAnsi="Times New Roman"/>
        </w:rPr>
        <w:t xml:space="preserve"> В съответствие с декларацията от втората среща на министрите на външните </w:t>
      </w:r>
      <w:r>
        <w:rPr>
          <w:rFonts w:ascii="Times New Roman" w:hAnsi="Times New Roman"/>
        </w:rPr>
        <w:t>работи от CELAC и ЕС, проведена през юли 2018 г., и Стратегията от 2014 г. за сигурността на гражданите.</w:t>
      </w:r>
    </w:p>
  </w:footnote>
  <w:footnote w:id="22">
    <w:p w:rsidR="00787500" w:rsidRDefault="007C27D1">
      <w:pPr>
        <w:pStyle w:val="FootnoteText"/>
      </w:pPr>
      <w:r>
        <w:rPr>
          <w:rStyle w:val="FootnoteReference"/>
        </w:rPr>
        <w:footnoteRef/>
      </w:r>
      <w:r>
        <w:t xml:space="preserve"> ВКБООН, 2019 г.</w:t>
      </w:r>
    </w:p>
  </w:footnote>
  <w:footnote w:id="23">
    <w:p w:rsidR="00787500" w:rsidRDefault="007C27D1">
      <w:pPr>
        <w:pStyle w:val="FootnoteText"/>
        <w:jc w:val="both"/>
        <w:rPr>
          <w:rFonts w:ascii="Times New Roman" w:hAnsi="Times New Roman" w:cs="Times New Roman"/>
          <w:b/>
        </w:rPr>
      </w:pPr>
      <w:r>
        <w:rPr>
          <w:rStyle w:val="FootnoteReference"/>
          <w:rFonts w:ascii="Times New Roman" w:hAnsi="Times New Roman"/>
        </w:rPr>
        <w:footnoteRef/>
      </w:r>
      <w:r>
        <w:rPr>
          <w:rFonts w:ascii="Times New Roman" w:hAnsi="Times New Roman"/>
        </w:rPr>
        <w:t xml:space="preserve"> Договор за забрана на ядрените оръжия (Договор от Тлателолко), в сила от 1968 г.</w:t>
      </w:r>
    </w:p>
  </w:footnote>
  <w:footnote w:id="24">
    <w:p w:rsidR="00787500" w:rsidRDefault="007C27D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Световният алианс за борба с изменението на клим</w:t>
      </w:r>
      <w:r>
        <w:rPr>
          <w:rFonts w:ascii="Times New Roman" w:hAnsi="Times New Roman"/>
        </w:rPr>
        <w:t>ата е инициатива на ЕС, насочена към оказване на съдействие на най-уязвимите държави в света, включително малките островни развиващи се страни и най-слабо развитите страни, да се справят с изменението на климата.</w:t>
      </w:r>
    </w:p>
  </w:footnote>
  <w:footnote w:id="25">
    <w:p w:rsidR="00787500" w:rsidRDefault="007C27D1">
      <w:pPr>
        <w:pStyle w:val="FootnoteText"/>
        <w:jc w:val="both"/>
      </w:pPr>
      <w:r>
        <w:rPr>
          <w:rStyle w:val="FootnoteReference"/>
          <w:rFonts w:ascii="Times New Roman" w:hAnsi="Times New Roman"/>
        </w:rPr>
        <w:footnoteRef/>
      </w:r>
      <w:r>
        <w:rPr>
          <w:rFonts w:ascii="Times New Roman" w:hAnsi="Times New Roman"/>
        </w:rPr>
        <w:t xml:space="preserve"> Тази програма подкрепя европейското сътру</w:t>
      </w:r>
      <w:r>
        <w:rPr>
          <w:rFonts w:ascii="Times New Roman" w:hAnsi="Times New Roman"/>
        </w:rPr>
        <w:t>дничество по политиката в областта на климата с най-големите икономики в света, с акцент върху Г-20, по-специално чрез подкрепа за прилагането на национално определените приноси (НОП).</w:t>
      </w:r>
    </w:p>
  </w:footnote>
  <w:footnote w:id="26">
    <w:p w:rsidR="00787500" w:rsidRDefault="007C27D1">
      <w:pPr>
        <w:pStyle w:val="FootnoteText"/>
      </w:pPr>
      <w:r>
        <w:rPr>
          <w:rStyle w:val="FootnoteReference"/>
        </w:rPr>
        <w:footnoteRef/>
      </w:r>
      <w:r>
        <w:t xml:space="preserve"> </w:t>
      </w:r>
      <w:r>
        <w:rPr>
          <w:rFonts w:ascii="Times New Roman" w:hAnsi="Times New Roman"/>
        </w:rPr>
        <w:t>Мексико, Чили, Централна Америка, Меркосур.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00" w:rsidRDefault="0078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065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Times New Roman"/>
      </w:rPr>
    </w:lvl>
    <w:lvl w:ilvl="1">
      <w:start w:val="1"/>
      <w:numFmt w:val="bullet"/>
      <w:lvlText w:val="-"/>
      <w:lvlJc w:val="left"/>
      <w:pPr>
        <w:tabs>
          <w:tab w:val="num" w:pos="0"/>
        </w:tabs>
        <w:ind w:left="1440" w:hanging="360"/>
      </w:pPr>
      <w:rPr>
        <w:rFonts w:ascii="Calibri" w:hAnsi="Calibri"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Num6"/>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490FB7"/>
    <w:multiLevelType w:val="hybridMultilevel"/>
    <w:tmpl w:val="3E745A2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2727E"/>
    <w:multiLevelType w:val="hybridMultilevel"/>
    <w:tmpl w:val="42840D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5C0109"/>
    <w:multiLevelType w:val="hybridMultilevel"/>
    <w:tmpl w:val="DFAA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82106"/>
    <w:multiLevelType w:val="hybridMultilevel"/>
    <w:tmpl w:val="3692D79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F66B1"/>
    <w:multiLevelType w:val="hybridMultilevel"/>
    <w:tmpl w:val="2E3ABBDC"/>
    <w:lvl w:ilvl="0" w:tplc="04326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97BDB"/>
    <w:multiLevelType w:val="hybridMultilevel"/>
    <w:tmpl w:val="B74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9336C"/>
    <w:multiLevelType w:val="hybridMultilevel"/>
    <w:tmpl w:val="0062065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54F50BE"/>
    <w:multiLevelType w:val="hybridMultilevel"/>
    <w:tmpl w:val="8682ABDA"/>
    <w:lvl w:ilvl="0" w:tplc="08090005">
      <w:start w:val="1"/>
      <w:numFmt w:val="bullet"/>
      <w:lvlText w:val=""/>
      <w:lvlJc w:val="left"/>
      <w:pPr>
        <w:ind w:left="770" w:hanging="360"/>
      </w:pPr>
      <w:rPr>
        <w:rFonts w:ascii="Wingdings" w:hAnsi="Wingdings"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8734091"/>
    <w:multiLevelType w:val="hybridMultilevel"/>
    <w:tmpl w:val="3E86E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91DCA"/>
    <w:multiLevelType w:val="hybridMultilevel"/>
    <w:tmpl w:val="FDF07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642A33"/>
    <w:multiLevelType w:val="hybridMultilevel"/>
    <w:tmpl w:val="400EE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3386C9A"/>
    <w:multiLevelType w:val="hybridMultilevel"/>
    <w:tmpl w:val="0916DB7E"/>
    <w:lvl w:ilvl="0" w:tplc="08090001">
      <w:start w:val="1"/>
      <w:numFmt w:val="bullet"/>
      <w:lvlText w:val=""/>
      <w:lvlJc w:val="left"/>
      <w:pPr>
        <w:ind w:left="720" w:hanging="360"/>
      </w:pPr>
      <w:rPr>
        <w:rFonts w:ascii="Symbol" w:hAnsi="Symbol" w:hint="default"/>
      </w:rPr>
    </w:lvl>
    <w:lvl w:ilvl="1" w:tplc="1ECCBECE">
      <w:start w:val="4"/>
      <w:numFmt w:val="bullet"/>
      <w:lvlText w:val="•"/>
      <w:lvlJc w:val="left"/>
      <w:pPr>
        <w:ind w:left="1800" w:hanging="720"/>
      </w:pPr>
      <w:rPr>
        <w:rFonts w:ascii="Arial" w:eastAsia="SimSun" w:hAnsi="Arial" w:cs="Arial" w:hint="default"/>
        <w:color w:val="385623"/>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3C2921"/>
    <w:multiLevelType w:val="hybridMultilevel"/>
    <w:tmpl w:val="8E606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A53D4A"/>
    <w:multiLevelType w:val="hybridMultilevel"/>
    <w:tmpl w:val="FC9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642B3"/>
    <w:multiLevelType w:val="hybridMultilevel"/>
    <w:tmpl w:val="36F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1511D"/>
    <w:multiLevelType w:val="hybridMultilevel"/>
    <w:tmpl w:val="BF78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A15DF4"/>
    <w:multiLevelType w:val="hybridMultilevel"/>
    <w:tmpl w:val="6AB4DDB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DDF2D16"/>
    <w:multiLevelType w:val="hybridMultilevel"/>
    <w:tmpl w:val="A6AA6C9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FB4752C"/>
    <w:multiLevelType w:val="hybridMultilevel"/>
    <w:tmpl w:val="BC82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001"/>
    <w:multiLevelType w:val="hybridMultilevel"/>
    <w:tmpl w:val="4B22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A182B"/>
    <w:multiLevelType w:val="hybridMultilevel"/>
    <w:tmpl w:val="744A9F32"/>
    <w:lvl w:ilvl="0" w:tplc="6988224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B45C9"/>
    <w:multiLevelType w:val="hybridMultilevel"/>
    <w:tmpl w:val="EA5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1169C"/>
    <w:multiLevelType w:val="hybridMultilevel"/>
    <w:tmpl w:val="13B0850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83B709E"/>
    <w:multiLevelType w:val="hybridMultilevel"/>
    <w:tmpl w:val="4AEC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9D1E1C"/>
    <w:multiLevelType w:val="hybridMultilevel"/>
    <w:tmpl w:val="BD08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B7806"/>
    <w:multiLevelType w:val="hybridMultilevel"/>
    <w:tmpl w:val="4376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06F98"/>
    <w:multiLevelType w:val="hybridMultilevel"/>
    <w:tmpl w:val="D67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420BF"/>
    <w:multiLevelType w:val="hybridMultilevel"/>
    <w:tmpl w:val="128E25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07E6D87"/>
    <w:multiLevelType w:val="hybridMultilevel"/>
    <w:tmpl w:val="6C18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6704A"/>
    <w:multiLevelType w:val="hybridMultilevel"/>
    <w:tmpl w:val="1DDAB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D590AC1"/>
    <w:multiLevelType w:val="hybridMultilevel"/>
    <w:tmpl w:val="A1E6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415C48"/>
    <w:multiLevelType w:val="hybridMultilevel"/>
    <w:tmpl w:val="B86442DE"/>
    <w:lvl w:ilvl="0" w:tplc="67AA3A7A">
      <w:start w:val="2"/>
      <w:numFmt w:val="bullet"/>
      <w:lvlText w:val="-"/>
      <w:lvlJc w:val="left"/>
      <w:pPr>
        <w:ind w:left="720" w:hanging="360"/>
      </w:pPr>
      <w:rPr>
        <w:rFonts w:ascii="Arial" w:eastAsia="SimSun" w:hAnsi="Arial" w:cs="Aria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6"/>
  </w:num>
  <w:num w:numId="4">
    <w:abstractNumId w:val="14"/>
  </w:num>
  <w:num w:numId="5">
    <w:abstractNumId w:val="24"/>
  </w:num>
  <w:num w:numId="6">
    <w:abstractNumId w:val="7"/>
  </w:num>
  <w:num w:numId="7">
    <w:abstractNumId w:val="23"/>
  </w:num>
  <w:num w:numId="8">
    <w:abstractNumId w:val="0"/>
  </w:num>
  <w:num w:numId="9">
    <w:abstractNumId w:val="19"/>
  </w:num>
  <w:num w:numId="10">
    <w:abstractNumId w:val="36"/>
  </w:num>
  <w:num w:numId="11">
    <w:abstractNumId w:val="16"/>
  </w:num>
  <w:num w:numId="12">
    <w:abstractNumId w:val="1"/>
  </w:num>
  <w:num w:numId="13">
    <w:abstractNumId w:val="2"/>
  </w:num>
  <w:num w:numId="14">
    <w:abstractNumId w:val="3"/>
  </w:num>
  <w:num w:numId="15">
    <w:abstractNumId w:val="4"/>
  </w:num>
  <w:num w:numId="16">
    <w:abstractNumId w:val="20"/>
  </w:num>
  <w:num w:numId="17">
    <w:abstractNumId w:val="28"/>
  </w:num>
  <w:num w:numId="18">
    <w:abstractNumId w:val="35"/>
  </w:num>
  <w:num w:numId="19">
    <w:abstractNumId w:val="32"/>
  </w:num>
  <w:num w:numId="20">
    <w:abstractNumId w:val="30"/>
  </w:num>
  <w:num w:numId="21">
    <w:abstractNumId w:val="27"/>
  </w:num>
  <w:num w:numId="22">
    <w:abstractNumId w:val="11"/>
  </w:num>
  <w:num w:numId="23">
    <w:abstractNumId w:val="21"/>
  </w:num>
  <w:num w:numId="24">
    <w:abstractNumId w:val="33"/>
  </w:num>
  <w:num w:numId="25">
    <w:abstractNumId w:val="25"/>
  </w:num>
  <w:num w:numId="26">
    <w:abstractNumId w:val="18"/>
  </w:num>
  <w:num w:numId="27">
    <w:abstractNumId w:val="9"/>
  </w:num>
  <w:num w:numId="28">
    <w:abstractNumId w:val="5"/>
  </w:num>
  <w:num w:numId="29">
    <w:abstractNumId w:val="8"/>
  </w:num>
  <w:num w:numId="30">
    <w:abstractNumId w:val="12"/>
  </w:num>
  <w:num w:numId="31">
    <w:abstractNumId w:val="29"/>
  </w:num>
  <w:num w:numId="32">
    <w:abstractNumId w:val="17"/>
  </w:num>
  <w:num w:numId="33">
    <w:abstractNumId w:val="15"/>
  </w:num>
  <w:num w:numId="34">
    <w:abstractNumId w:val="34"/>
  </w:num>
  <w:num w:numId="35">
    <w:abstractNumId w:val="26"/>
  </w:num>
  <w:num w:numId="36">
    <w:abstractNumId w:val="10"/>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BAD5E2-2433-4FBD-9DCF-C3164D31CDCA"/>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Страсбург,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5?\u1074?\u1088?\u1086?\u1087?\u1077?\u1081?\u1089?\u1082?\u1080?\u1103?\u1090? \u1089?\u1098?\u1102?\u1079?, \u1051?\u1072?\u1090?\u1080?\u1085?\u1089?\u1082?\u1072? \u1040?\u1084?\u1077?\u1088?\u1080?\u1082?\u1072? \u1080? \u1050?\u1072?\u1088?\u1080?\u1073?\u1089?\u1082?\u1080?\u1103?\u1090? \u1073?\u1072?\u1089?\u1077?\u1081?\u1085? \u8212? \u1089? \u1086?\u1073?\u1077?\u1076?\u1080?\u1085?\u1077?\u1085?\u1080? \u1089?\u1080?\u1083?\u1080? \u1079?\u1072? \u1086?\u1073?\u1097?\u1086? \u1073?\u1098?\u1076?\u1077?\u1097?\u1077?&lt;/FMT&gt;_x000d__x000d__x000d__x000b_"/>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w:rsids>
    <w:rsidRoot w:val="00787500"/>
    <w:rsid w:val="00787500"/>
    <w:rsid w:val="007C2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254C512-72D5-4DA3-9C66-06F213AD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bg-BG"/>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rPr>
      <w:rFonts w:eastAsiaTheme="minorEastAsia"/>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styleId="BalloonText">
    <w:name w:val="Balloon Text"/>
    <w:basedOn w:val="Normal"/>
    <w:link w:val="BalloonTextChar"/>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rPr>
      <w:rFonts w:ascii="Tahoma" w:eastAsiaTheme="minorEastAsi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 w:type="character" w:styleId="Hyperlink">
    <w:name w:val="Hyperlink"/>
    <w:basedOn w:val="DefaultParagraphFont"/>
    <w:uiPriority w:val="99"/>
    <w:unhideWhenUsed/>
    <w:rPr>
      <w:color w:val="0000FF" w:themeColor="hyperlink"/>
      <w:u w:val="single"/>
    </w:rPr>
  </w:style>
  <w:style w:type="paragraph" w:customStyle="1" w:styleId="Char">
    <w:name w:val="Char"/>
    <w:basedOn w:val="Normal"/>
    <w:next w:val="Normal"/>
    <w:pPr>
      <w:spacing w:after="160" w:line="240" w:lineRule="exact"/>
    </w:pPr>
    <w:rPr>
      <w:rFonts w:ascii="Tahoma" w:eastAsia="Times New Roman" w:hAnsi="Tahoma" w:cs="Times New Roman"/>
      <w:sz w:val="24"/>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380" w:after="920" w:line="346" w:lineRule="exact"/>
      <w:ind w:hanging="420"/>
    </w:p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pPr>
      <w:spacing w:after="0" w:line="240" w:lineRule="auto"/>
    </w:pPr>
    <w:rPr>
      <w:rFonts w:ascii="Times New Roman" w:hAnsi="Times New Roman" w:cs="Times New Roman"/>
      <w:sz w:val="24"/>
      <w:szCs w:val="24"/>
    </w:rPr>
  </w:style>
  <w:style w:type="character" w:styleId="FootnoteReference">
    <w:name w:val="footnote reference"/>
    <w:basedOn w:val="DefaultParagraphFont"/>
    <w:unhideWhenUsed/>
    <w:rPr>
      <w:vertAlign w:val="superscript"/>
    </w:rPr>
  </w:style>
  <w:style w:type="character" w:styleId="Strong">
    <w:name w:val="Strong"/>
    <w:basedOn w:val="DefaultParagraphFont"/>
    <w:uiPriority w:val="22"/>
    <w:qFormat/>
    <w:rPr>
      <w:b/>
      <w:bCs/>
    </w:rPr>
  </w:style>
  <w:style w:type="paragraph" w:styleId="FootnoteText">
    <w:name w:val="footnote text"/>
    <w:basedOn w:val="Normal"/>
    <w:link w:val="FootnoteTextChar"/>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rPr>
      <w:rFonts w:eastAsiaTheme="minorEastAsia"/>
      <w:sz w:val="20"/>
      <w:szCs w:val="20"/>
      <w:lang w:eastAsia="bg-BG"/>
    </w:rPr>
  </w:style>
  <w:style w:type="character" w:customStyle="1" w:styleId="st">
    <w:name w:val="st"/>
    <w:basedOn w:val="DefaultParagraphFont"/>
  </w:style>
  <w:style w:type="character" w:customStyle="1" w:styleId="Bodytext5">
    <w:name w:val="Body text (5)_"/>
    <w:basedOn w:val="DefaultParagraphFont"/>
    <w:link w:val="Bodytext50"/>
    <w:rPr>
      <w:b/>
      <w:bCs/>
      <w:shd w:val="clear" w:color="auto" w:fill="FFFFFF"/>
    </w:rPr>
  </w:style>
  <w:style w:type="paragraph" w:customStyle="1" w:styleId="Bodytext50">
    <w:name w:val="Body text (5)"/>
    <w:basedOn w:val="Normal"/>
    <w:link w:val="Bodytext5"/>
    <w:pPr>
      <w:widowControl w:val="0"/>
      <w:shd w:val="clear" w:color="auto" w:fill="FFFFFF"/>
      <w:spacing w:before="920" w:after="920" w:line="326" w:lineRule="exact"/>
    </w:pPr>
    <w:rPr>
      <w:b/>
      <w:bCs/>
    </w:rPr>
  </w:style>
  <w:style w:type="character" w:customStyle="1" w:styleId="A4">
    <w:name w:val="A4"/>
    <w:uiPriority w:val="99"/>
    <w:rPr>
      <w:rFonts w:cs="Chronicle Text G1"/>
      <w:color w:val="000000"/>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eastAsia="bg-BG"/>
    </w:rPr>
  </w:style>
  <w:style w:type="character" w:styleId="EndnoteReference">
    <w:name w:val="endnote reference"/>
    <w:basedOn w:val="DefaultParagraphFont"/>
    <w:unhideWhenUsed/>
    <w:rPr>
      <w:vertAlign w:val="superscript"/>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semiHidden/>
    <w:unhideWhenUsed/>
    <w:qFormat/>
    <w:pPr>
      <w:spacing w:after="100"/>
    </w:pPr>
    <w:rPr>
      <w:rFonts w:eastAsiaTheme="minorEastAsia"/>
    </w:rPr>
  </w:style>
  <w:style w:type="paragraph" w:styleId="TOC3">
    <w:name w:val="toc 3"/>
    <w:basedOn w:val="Normal"/>
    <w:next w:val="Normal"/>
    <w:autoRedefine/>
    <w:uiPriority w:val="39"/>
    <w:semiHidden/>
    <w:unhideWhenUsed/>
    <w:qFormat/>
    <w:pPr>
      <w:spacing w:after="100"/>
      <w:ind w:left="440"/>
    </w:pPr>
    <w:rPr>
      <w:rFonts w:eastAsiaTheme="minorEastAsia"/>
    </w:rPr>
  </w:style>
  <w:style w:type="character" w:customStyle="1" w:styleId="FootnoteTextChar1">
    <w:name w:val="Footnote Text Char1"/>
    <w:basedOn w:val="DefaultParagraphFont"/>
    <w:locked/>
    <w:rPr>
      <w:rFonts w:ascii="Calibri" w:eastAsia="SimSun" w:hAnsi="Calibri" w:cs="font268"/>
      <w:sz w:val="20"/>
      <w:szCs w:val="20"/>
      <w:lang w:eastAsia="bg-BG"/>
    </w:rPr>
  </w:style>
  <w:style w:type="character" w:customStyle="1" w:styleId="CommentTextChar1">
    <w:name w:val="Comment Text Char1"/>
    <w:basedOn w:val="DefaultParagraphFont"/>
    <w:uiPriority w:val="99"/>
    <w:locked/>
    <w:rPr>
      <w:rFonts w:ascii="Calibri" w:eastAsia="SimSun" w:hAnsi="Calibri" w:cs="font268"/>
      <w:sz w:val="20"/>
      <w:szCs w:val="20"/>
      <w:lang w:eastAsia="bg-BG"/>
    </w:rPr>
  </w:style>
  <w:style w:type="character" w:styleId="Emphasis">
    <w:name w:val="Emphasis"/>
    <w:basedOn w:val="DefaultParagraphFont"/>
    <w:uiPriority w:val="20"/>
    <w:qFormat/>
    <w:rPr>
      <w:i/>
      <w:iCs/>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1">
    <w:name w:val="Titre1"/>
    <w:basedOn w:val="Normal"/>
    <w:next w:val="BodyText"/>
    <w:pPr>
      <w:keepNext/>
      <w:suppressAutoHyphens/>
      <w:spacing w:before="240" w:after="120"/>
    </w:pPr>
    <w:rPr>
      <w:rFonts w:ascii="Arial" w:eastAsia="Microsoft YaHei" w:hAnsi="Arial" w:cs="Mangal"/>
      <w:sz w:val="28"/>
      <w:szCs w:val="28"/>
    </w:rPr>
  </w:style>
  <w:style w:type="paragraph" w:styleId="BodyText">
    <w:name w:val="Body Text"/>
    <w:basedOn w:val="Normal"/>
    <w:link w:val="BodyTextChar"/>
    <w:pPr>
      <w:suppressAutoHyphens/>
      <w:spacing w:after="120"/>
    </w:pPr>
    <w:rPr>
      <w:rFonts w:ascii="Calibri" w:eastAsia="SimSun" w:hAnsi="Calibri" w:cs="font268"/>
    </w:rPr>
  </w:style>
  <w:style w:type="character" w:customStyle="1" w:styleId="BodyTextChar">
    <w:name w:val="Body Text Char"/>
    <w:basedOn w:val="DefaultParagraphFont"/>
    <w:link w:val="BodyText"/>
    <w:rPr>
      <w:rFonts w:ascii="Calibri" w:eastAsia="SimSun" w:hAnsi="Calibri" w:cs="font268"/>
      <w:lang w:eastAsia="bg-BG"/>
    </w:rPr>
  </w:style>
  <w:style w:type="paragraph" w:styleId="List">
    <w:name w:val="List"/>
    <w:basedOn w:val="BodyText"/>
    <w:rPr>
      <w:rFonts w:cs="Mangal"/>
    </w:rPr>
  </w:style>
  <w:style w:type="paragraph" w:customStyle="1" w:styleId="Lgende1">
    <w:name w:val="Légende1"/>
    <w:basedOn w:val="Normal"/>
    <w:pPr>
      <w:suppressLineNumbers/>
      <w:suppressAutoHyphens/>
      <w:spacing w:before="120" w:after="120"/>
    </w:pPr>
    <w:rPr>
      <w:rFonts w:ascii="Calibri" w:eastAsia="SimSun" w:hAnsi="Calibri" w:cs="Mangal"/>
      <w:i/>
      <w:iCs/>
      <w:sz w:val="24"/>
      <w:szCs w:val="24"/>
    </w:rPr>
  </w:style>
  <w:style w:type="paragraph" w:customStyle="1" w:styleId="Index">
    <w:name w:val="Index"/>
    <w:basedOn w:val="Normal"/>
    <w:pPr>
      <w:suppressLineNumbers/>
      <w:suppressAutoHyphens/>
    </w:pPr>
    <w:rPr>
      <w:rFonts w:ascii="Calibri" w:eastAsia="SimSun" w:hAnsi="Calibri" w:cs="Mangal"/>
    </w:rPr>
  </w:style>
  <w:style w:type="character" w:customStyle="1" w:styleId="BalloonTextChar1">
    <w:name w:val="Balloon Text Char1"/>
    <w:basedOn w:val="DefaultParagraphFont"/>
    <w:rPr>
      <w:rFonts w:ascii="Tahoma" w:eastAsia="SimSun" w:hAnsi="Tahoma" w:cs="Tahoma"/>
      <w:sz w:val="16"/>
      <w:szCs w:val="16"/>
      <w:lang w:val="bg-BG" w:eastAsia="bg-BG"/>
    </w:rPr>
  </w:style>
  <w:style w:type="paragraph" w:customStyle="1" w:styleId="CommentText1">
    <w:name w:val="Comment Text1"/>
    <w:basedOn w:val="Normal"/>
    <w:pPr>
      <w:suppressAutoHyphens/>
      <w:spacing w:line="100" w:lineRule="atLeast"/>
    </w:pPr>
    <w:rPr>
      <w:rFonts w:ascii="Calibri" w:eastAsia="SimSun" w:hAnsi="Calibri" w:cs="font268"/>
      <w:sz w:val="20"/>
      <w:szCs w:val="20"/>
    </w:rPr>
  </w:style>
  <w:style w:type="paragraph" w:customStyle="1" w:styleId="CommentSubject1">
    <w:name w:val="Comment Subject1"/>
    <w:basedOn w:val="CommentText1"/>
    <w:rPr>
      <w:b/>
      <w:bCs/>
    </w:rPr>
  </w:style>
  <w:style w:type="paragraph" w:customStyle="1" w:styleId="FootnoteText1">
    <w:name w:val="Footnote Text1"/>
    <w:basedOn w:val="Normal"/>
    <w:pPr>
      <w:suppressAutoHyphens/>
      <w:spacing w:after="0" w:line="100" w:lineRule="atLeast"/>
    </w:pPr>
    <w:rPr>
      <w:rFonts w:ascii="Calibri" w:eastAsia="SimSun" w:hAnsi="Calibri" w:cs="font268"/>
      <w:sz w:val="20"/>
      <w:szCs w:val="20"/>
    </w:rPr>
  </w:style>
  <w:style w:type="character" w:customStyle="1" w:styleId="CommentSubjectChar1">
    <w:name w:val="Comment Subject Char1"/>
    <w:basedOn w:val="CommentTextChar1"/>
    <w:uiPriority w:val="99"/>
    <w:semiHidden/>
    <w:rPr>
      <w:rFonts w:ascii="Calibri" w:eastAsia="SimSun" w:hAnsi="Calibri" w:cs="font268"/>
      <w:b/>
      <w:bCs/>
      <w:sz w:val="20"/>
      <w:szCs w:val="20"/>
      <w:lang w:eastAsia="bg-BG"/>
    </w:rPr>
  </w:style>
  <w:style w:type="paragraph" w:styleId="ListBullet">
    <w:name w:val="List Bullet"/>
    <w:basedOn w:val="Normal"/>
    <w:uiPriority w:val="99"/>
    <w:unhideWhenUsed/>
    <w:pPr>
      <w:numPr>
        <w:numId w:val="8"/>
      </w:numPr>
      <w:suppressAutoHyphens/>
      <w:contextualSpacing/>
    </w:pPr>
    <w:rPr>
      <w:rFonts w:ascii="Calibri" w:eastAsia="SimSun" w:hAnsi="Calibri" w:cs="font268"/>
    </w:rPr>
  </w:style>
  <w:style w:type="character" w:customStyle="1" w:styleId="ilfuvd">
    <w:name w:val="ilfuv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9542">
      <w:bodyDiv w:val="1"/>
      <w:marLeft w:val="0"/>
      <w:marRight w:val="0"/>
      <w:marTop w:val="0"/>
      <w:marBottom w:val="0"/>
      <w:divBdr>
        <w:top w:val="none" w:sz="0" w:space="0" w:color="auto"/>
        <w:left w:val="none" w:sz="0" w:space="0" w:color="auto"/>
        <w:bottom w:val="none" w:sz="0" w:space="0" w:color="auto"/>
        <w:right w:val="none" w:sz="0" w:space="0" w:color="auto"/>
      </w:divBdr>
    </w:div>
    <w:div w:id="370039099">
      <w:bodyDiv w:val="1"/>
      <w:marLeft w:val="0"/>
      <w:marRight w:val="0"/>
      <w:marTop w:val="0"/>
      <w:marBottom w:val="0"/>
      <w:divBdr>
        <w:top w:val="none" w:sz="0" w:space="0" w:color="auto"/>
        <w:left w:val="none" w:sz="0" w:space="0" w:color="auto"/>
        <w:bottom w:val="none" w:sz="0" w:space="0" w:color="auto"/>
        <w:right w:val="none" w:sz="0" w:space="0" w:color="auto"/>
      </w:divBdr>
    </w:div>
    <w:div w:id="625426986">
      <w:bodyDiv w:val="1"/>
      <w:marLeft w:val="0"/>
      <w:marRight w:val="0"/>
      <w:marTop w:val="0"/>
      <w:marBottom w:val="0"/>
      <w:divBdr>
        <w:top w:val="none" w:sz="0" w:space="0" w:color="auto"/>
        <w:left w:val="none" w:sz="0" w:space="0" w:color="auto"/>
        <w:bottom w:val="none" w:sz="0" w:space="0" w:color="auto"/>
        <w:right w:val="none" w:sz="0" w:space="0" w:color="auto"/>
      </w:divBdr>
    </w:div>
    <w:div w:id="675575769">
      <w:bodyDiv w:val="1"/>
      <w:marLeft w:val="0"/>
      <w:marRight w:val="0"/>
      <w:marTop w:val="0"/>
      <w:marBottom w:val="0"/>
      <w:divBdr>
        <w:top w:val="none" w:sz="0" w:space="0" w:color="auto"/>
        <w:left w:val="none" w:sz="0" w:space="0" w:color="auto"/>
        <w:bottom w:val="none" w:sz="0" w:space="0" w:color="auto"/>
        <w:right w:val="none" w:sz="0" w:space="0" w:color="auto"/>
      </w:divBdr>
    </w:div>
    <w:div w:id="882207039">
      <w:bodyDiv w:val="1"/>
      <w:marLeft w:val="0"/>
      <w:marRight w:val="0"/>
      <w:marTop w:val="0"/>
      <w:marBottom w:val="0"/>
      <w:divBdr>
        <w:top w:val="none" w:sz="0" w:space="0" w:color="auto"/>
        <w:left w:val="none" w:sz="0" w:space="0" w:color="auto"/>
        <w:bottom w:val="none" w:sz="0" w:space="0" w:color="auto"/>
        <w:right w:val="none" w:sz="0" w:space="0" w:color="auto"/>
      </w:divBdr>
    </w:div>
    <w:div w:id="996226828">
      <w:bodyDiv w:val="1"/>
      <w:marLeft w:val="0"/>
      <w:marRight w:val="0"/>
      <w:marTop w:val="0"/>
      <w:marBottom w:val="0"/>
      <w:divBdr>
        <w:top w:val="none" w:sz="0" w:space="0" w:color="auto"/>
        <w:left w:val="none" w:sz="0" w:space="0" w:color="auto"/>
        <w:bottom w:val="none" w:sz="0" w:space="0" w:color="auto"/>
        <w:right w:val="none" w:sz="0" w:space="0" w:color="auto"/>
      </w:divBdr>
    </w:div>
    <w:div w:id="1106317116">
      <w:bodyDiv w:val="1"/>
      <w:marLeft w:val="0"/>
      <w:marRight w:val="0"/>
      <w:marTop w:val="0"/>
      <w:marBottom w:val="0"/>
      <w:divBdr>
        <w:top w:val="none" w:sz="0" w:space="0" w:color="auto"/>
        <w:left w:val="none" w:sz="0" w:space="0" w:color="auto"/>
        <w:bottom w:val="none" w:sz="0" w:space="0" w:color="auto"/>
        <w:right w:val="none" w:sz="0" w:space="0" w:color="auto"/>
      </w:divBdr>
    </w:div>
    <w:div w:id="1339885465">
      <w:bodyDiv w:val="1"/>
      <w:marLeft w:val="0"/>
      <w:marRight w:val="0"/>
      <w:marTop w:val="0"/>
      <w:marBottom w:val="0"/>
      <w:divBdr>
        <w:top w:val="none" w:sz="0" w:space="0" w:color="auto"/>
        <w:left w:val="none" w:sz="0" w:space="0" w:color="auto"/>
        <w:bottom w:val="none" w:sz="0" w:space="0" w:color="auto"/>
        <w:right w:val="none" w:sz="0" w:space="0" w:color="auto"/>
      </w:divBdr>
    </w:div>
    <w:div w:id="1475829055">
      <w:bodyDiv w:val="1"/>
      <w:marLeft w:val="0"/>
      <w:marRight w:val="0"/>
      <w:marTop w:val="0"/>
      <w:marBottom w:val="0"/>
      <w:divBdr>
        <w:top w:val="none" w:sz="0" w:space="0" w:color="auto"/>
        <w:left w:val="none" w:sz="0" w:space="0" w:color="auto"/>
        <w:bottom w:val="none" w:sz="0" w:space="0" w:color="auto"/>
        <w:right w:val="none" w:sz="0" w:space="0" w:color="auto"/>
      </w:divBdr>
    </w:div>
    <w:div w:id="1500732242">
      <w:bodyDiv w:val="1"/>
      <w:marLeft w:val="0"/>
      <w:marRight w:val="0"/>
      <w:marTop w:val="0"/>
      <w:marBottom w:val="0"/>
      <w:divBdr>
        <w:top w:val="none" w:sz="0" w:space="0" w:color="auto"/>
        <w:left w:val="none" w:sz="0" w:space="0" w:color="auto"/>
        <w:bottom w:val="none" w:sz="0" w:space="0" w:color="auto"/>
        <w:right w:val="none" w:sz="0" w:space="0" w:color="auto"/>
      </w:divBdr>
    </w:div>
    <w:div w:id="1510607823">
      <w:bodyDiv w:val="1"/>
      <w:marLeft w:val="0"/>
      <w:marRight w:val="0"/>
      <w:marTop w:val="0"/>
      <w:marBottom w:val="0"/>
      <w:divBdr>
        <w:top w:val="none" w:sz="0" w:space="0" w:color="auto"/>
        <w:left w:val="none" w:sz="0" w:space="0" w:color="auto"/>
        <w:bottom w:val="none" w:sz="0" w:space="0" w:color="auto"/>
        <w:right w:val="none" w:sz="0" w:space="0" w:color="auto"/>
      </w:divBdr>
    </w:div>
    <w:div w:id="1666476370">
      <w:bodyDiv w:val="1"/>
      <w:marLeft w:val="0"/>
      <w:marRight w:val="0"/>
      <w:marTop w:val="0"/>
      <w:marBottom w:val="0"/>
      <w:divBdr>
        <w:top w:val="none" w:sz="0" w:space="0" w:color="auto"/>
        <w:left w:val="none" w:sz="0" w:space="0" w:color="auto"/>
        <w:bottom w:val="none" w:sz="0" w:space="0" w:color="auto"/>
        <w:right w:val="none" w:sz="0" w:space="0" w:color="auto"/>
      </w:divBdr>
    </w:div>
    <w:div w:id="1757705293">
      <w:bodyDiv w:val="1"/>
      <w:marLeft w:val="0"/>
      <w:marRight w:val="0"/>
      <w:marTop w:val="0"/>
      <w:marBottom w:val="0"/>
      <w:divBdr>
        <w:top w:val="none" w:sz="0" w:space="0" w:color="auto"/>
        <w:left w:val="none" w:sz="0" w:space="0" w:color="auto"/>
        <w:bottom w:val="none" w:sz="0" w:space="0" w:color="auto"/>
        <w:right w:val="none" w:sz="0" w:space="0" w:color="auto"/>
      </w:divBdr>
    </w:div>
    <w:div w:id="2070379176">
      <w:bodyDiv w:val="1"/>
      <w:marLeft w:val="0"/>
      <w:marRight w:val="0"/>
      <w:marTop w:val="0"/>
      <w:marBottom w:val="0"/>
      <w:divBdr>
        <w:top w:val="none" w:sz="0" w:space="0" w:color="auto"/>
        <w:left w:val="none" w:sz="0" w:space="0" w:color="auto"/>
        <w:bottom w:val="none" w:sz="0" w:space="0" w:color="auto"/>
        <w:right w:val="none" w:sz="0" w:space="0" w:color="auto"/>
      </w:divBdr>
    </w:div>
    <w:div w:id="2140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climaplus.org/" TargetMode="External"/><Relationship Id="rId1" Type="http://schemas.openxmlformats.org/officeDocument/2006/relationships/hyperlink" Target="http://www.eib.org/en/infocentre/publications/al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E91A-399E-47CA-A3F9-7F13815B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6705</Words>
  <Characters>53914</Characters>
  <Application>Microsoft Office Word</Application>
  <DocSecurity>0</DocSecurity>
  <Lines>883</Lines>
  <Paragraphs>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29</cp:revision>
  <cp:lastPrinted>2019-04-11T18:03:00Z</cp:lastPrinted>
  <dcterms:created xsi:type="dcterms:W3CDTF">2019-04-12T11:50:00Z</dcterms:created>
  <dcterms:modified xsi:type="dcterms:W3CDTF">2019-04-17T13:17:00Z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