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7A27A862-85A6-43F4-AC1E-B106201D290E" style="width:450.35pt;height:447.6pt">
            <v:imagedata r:id="rId9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24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szCs w:val="24"/>
        </w:rPr>
        <w:lastRenderedPageBreak/>
        <w:t xml:space="preserve">Приложение 1: </w:t>
      </w:r>
      <w:r>
        <w:rPr>
          <w:rFonts w:ascii="Times New Roman" w:hAnsi="Times New Roman"/>
          <w:b/>
          <w:noProof/>
          <w:sz w:val="24"/>
          <w:szCs w:val="24"/>
        </w:rPr>
        <w:tab/>
        <w:t>Исторически преглед</w:t>
      </w:r>
    </w:p>
    <w:p>
      <w:pPr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Договорите за ЕС възлагат на ЕС социална мисия. Това е така още от самото начало, въпреки че изготвянето на конкретно законодателство на ЕС бе постепенно: началото на социалната политика в широк смисъл бе поставено, за да се гарантира пазарната интеграция и тази политика впоследствие се превърна в начин за постигане на социални резултати като самостоятелни цели. През шестдесетте години на европейска интеграция социалната политика придоби все по-централно значение за ЕС и това бе отразено във всяко изменение на Договорите.</w:t>
      </w:r>
    </w:p>
    <w:p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Съгласно </w:t>
      </w:r>
      <w:r>
        <w:rPr>
          <w:rFonts w:ascii="Times New Roman" w:hAnsi="Times New Roman"/>
          <w:b/>
          <w:noProof/>
          <w:sz w:val="24"/>
          <w:szCs w:val="24"/>
        </w:rPr>
        <w:t>Договора от Рим</w:t>
      </w:r>
      <w:r>
        <w:rPr>
          <w:rFonts w:ascii="Times New Roman" w:hAnsi="Times New Roman"/>
          <w:noProof/>
          <w:sz w:val="24"/>
          <w:szCs w:val="24"/>
        </w:rPr>
        <w:t xml:space="preserve"> (1957 г.) по-голямата част от правомощията в областта на социалната политика останаха извън обхвата на действията на Общността, като последните бяха ограничени до насърчаване на тясно сътрудничество между държавите членки с подкрепата на Европейския социален фонд. Комисията можеше да издава становища относно здравословните и безопасни условия на труд. В Договора бяха предвидени свободата на движение на работниците и задължението за приемане на мерки за координация на системите за социална сигурност. Решенията в тези области бяха вземани с единодушие в Съвета без никакво участие на Парламента.</w:t>
      </w:r>
    </w:p>
    <w:p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Социалната политика претърпя развитие с </w:t>
      </w:r>
      <w:r>
        <w:rPr>
          <w:rFonts w:ascii="Times New Roman" w:hAnsi="Times New Roman"/>
          <w:b/>
          <w:noProof/>
          <w:sz w:val="24"/>
          <w:szCs w:val="24"/>
        </w:rPr>
        <w:t>Единния европейски акт</w:t>
      </w:r>
      <w:r>
        <w:rPr>
          <w:rFonts w:ascii="Times New Roman" w:hAnsi="Times New Roman"/>
          <w:noProof/>
          <w:sz w:val="24"/>
          <w:szCs w:val="24"/>
        </w:rPr>
        <w:t xml:space="preserve"> през 1986 г. чрез създаването на възможността за приемане на минимални изисквания относно здравето и безопасността на работниците, като Съветът действа с квалифицирано мнозинство в сътрудничество с Парламента.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Областите за действия на ЕС в сферата на социалната политика бяха разширени в Социалния протокол към </w:t>
      </w:r>
      <w:r>
        <w:rPr>
          <w:rFonts w:ascii="Times New Roman" w:hAnsi="Times New Roman"/>
          <w:b/>
          <w:noProof/>
          <w:sz w:val="24"/>
          <w:szCs w:val="24"/>
        </w:rPr>
        <w:t>Договора от Маастрихт</w:t>
      </w:r>
      <w:r>
        <w:rPr>
          <w:rFonts w:ascii="Times New Roman" w:hAnsi="Times New Roman"/>
          <w:noProof/>
          <w:sz w:val="24"/>
          <w:szCs w:val="24"/>
        </w:rPr>
        <w:t xml:space="preserve"> от 1992 г. и по същество останаха непроменени оттогава. В Социалния протокол бе предвидено </w:t>
      </w:r>
      <w:r>
        <w:rPr>
          <w:rFonts w:ascii="Times New Roman" w:hAnsi="Times New Roman"/>
          <w:b/>
          <w:noProof/>
          <w:sz w:val="24"/>
          <w:szCs w:val="24"/>
        </w:rPr>
        <w:t>гласуване с квалифицирано мнозинство</w:t>
      </w:r>
      <w:r>
        <w:rPr>
          <w:rFonts w:ascii="Times New Roman" w:hAnsi="Times New Roman"/>
          <w:noProof/>
          <w:sz w:val="24"/>
          <w:szCs w:val="24"/>
        </w:rPr>
        <w:t xml:space="preserve"> в следните области: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условия на труд;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информиране и консултиране на работниците;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равни възможности за мъжете и жените; и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интегриране на лицата, изключени от пазара на труда.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него бе предвидено Съветът да гласува с </w:t>
      </w:r>
      <w:r>
        <w:rPr>
          <w:rFonts w:ascii="Times New Roman" w:hAnsi="Times New Roman"/>
          <w:b/>
          <w:noProof/>
          <w:sz w:val="24"/>
          <w:szCs w:val="24"/>
        </w:rPr>
        <w:t>единодушие</w:t>
      </w:r>
      <w:r>
        <w:rPr>
          <w:rFonts w:ascii="Times New Roman" w:hAnsi="Times New Roman"/>
          <w:noProof/>
          <w:sz w:val="24"/>
          <w:szCs w:val="24"/>
        </w:rPr>
        <w:t xml:space="preserve"> по въпроси, отнасящи се до: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социалната сигурност и социалната закрила на работниците;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уволненията;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представителство и колективна защита на интересите на работниците и работодателите, включително съвместно вземане на решения; и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условия за заетост на граждани на трети страни, законно пребиваващи на територията на ЕС.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посочените по-горе области Парламентът трябваше да бъде консултиран (понастоящем това е специалната законодателна процедура). Социалният протокол изрично </w:t>
      </w:r>
      <w:r>
        <w:rPr>
          <w:rFonts w:ascii="Times New Roman" w:hAnsi="Times New Roman"/>
          <w:b/>
          <w:noProof/>
          <w:sz w:val="24"/>
          <w:szCs w:val="24"/>
        </w:rPr>
        <w:t>изключваше</w:t>
      </w:r>
      <w:r>
        <w:rPr>
          <w:rFonts w:ascii="Times New Roman" w:hAnsi="Times New Roman"/>
          <w:noProof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заплащането;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правото на сдружаване;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правото на стачка; и </w:t>
      </w:r>
    </w:p>
    <w:p>
      <w:pPr>
        <w:pStyle w:val="ListParagraph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правото да се налага локаут.</w:t>
      </w:r>
    </w:p>
    <w:p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Протоколът бе интегриран в </w:t>
      </w:r>
      <w:r>
        <w:rPr>
          <w:rFonts w:ascii="Times New Roman" w:hAnsi="Times New Roman"/>
          <w:b/>
          <w:noProof/>
          <w:sz w:val="24"/>
          <w:szCs w:val="24"/>
        </w:rPr>
        <w:t>Договора от Амстердам</w:t>
      </w:r>
      <w:r>
        <w:rPr>
          <w:rFonts w:ascii="Times New Roman" w:hAnsi="Times New Roman"/>
          <w:noProof/>
          <w:sz w:val="24"/>
          <w:szCs w:val="24"/>
        </w:rPr>
        <w:t xml:space="preserve"> през 1997 г., с което разпоредбите станаха приложими за всички държави членки и залегнаха в основата на настоящия дял X от ДФЕС. По този начин бе създадена нова правна основа за борба с дискриминацията, която остава непроменена до днес: в член 13 от Договора за създаване на Европейската общност (понастоящем член 19, параграф 1 от ДФЕС) бе предвидено, че Съветът, като действа с единодушие, по предложение на Комисията и след консултация с Европейския парламент, може да приема необходимите мерки за борба с дискриминацията, основана на пола, расата или етническия произход, религията или убежденията, наличието на физическо или умствено увреждане, възрастта или сексуалната ориентация.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 </w:t>
      </w:r>
      <w:r>
        <w:rPr>
          <w:rFonts w:ascii="Times New Roman" w:hAnsi="Times New Roman"/>
          <w:b/>
          <w:noProof/>
          <w:sz w:val="24"/>
          <w:szCs w:val="24"/>
        </w:rPr>
        <w:t>Договора от Ница</w:t>
      </w:r>
      <w:r>
        <w:rPr>
          <w:rFonts w:ascii="Times New Roman" w:hAnsi="Times New Roman"/>
          <w:noProof/>
          <w:sz w:val="24"/>
          <w:szCs w:val="24"/>
        </w:rPr>
        <w:t xml:space="preserve"> през 2001 г. в член 137 (понастоящем в букви й) и к) от член 153, параграф 1 от ДФЕС) бяха въведени две нови области на сътрудничество, като на Съюза бе предоставено правомощието да подкрепя и допълва дейностите на държавите членки в следните области:</w:t>
      </w:r>
    </w:p>
    <w:p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борба срещу социалното изключване и </w:t>
      </w:r>
    </w:p>
    <w:p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модернизация на системите за социална закрила. </w:t>
      </w:r>
    </w:p>
    <w:p>
      <w:pPr>
        <w:spacing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 него не бе предвидено правомощие за приемане на директиви за определяне на минимални стандарти в тези области</w:t>
      </w:r>
      <w:r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</w:rPr>
        <w:footnoteReference w:id="2"/>
      </w:r>
      <w:r>
        <w:rPr>
          <w:noProof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Освен това с този договор не бе променено нито едно от съществуващите изисквания за единодушие в областта на социалната политика, но бе въведена </w:t>
      </w:r>
      <w:r>
        <w:rPr>
          <w:rFonts w:ascii="Times New Roman" w:hAnsi="Times New Roman"/>
          <w:b/>
          <w:noProof/>
          <w:sz w:val="24"/>
          <w:szCs w:val="24"/>
        </w:rPr>
        <w:t>специалната клауза за преход</w:t>
      </w:r>
      <w:r>
        <w:rPr>
          <w:rFonts w:ascii="Times New Roman" w:hAnsi="Times New Roman"/>
          <w:noProof/>
          <w:sz w:val="24"/>
          <w:szCs w:val="24"/>
        </w:rPr>
        <w:t xml:space="preserve"> (понастоящем член 153, параграф 2 от ДФЕС).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</w:t>
      </w:r>
      <w:r>
        <w:rPr>
          <w:rFonts w:ascii="Times New Roman" w:hAnsi="Times New Roman"/>
          <w:b/>
          <w:noProof/>
          <w:sz w:val="24"/>
          <w:szCs w:val="24"/>
        </w:rPr>
        <w:t xml:space="preserve"> Договора от Лисабон</w:t>
      </w:r>
      <w:r>
        <w:rPr>
          <w:rFonts w:ascii="Times New Roman" w:hAnsi="Times New Roman"/>
          <w:noProof/>
          <w:sz w:val="24"/>
          <w:szCs w:val="24"/>
        </w:rPr>
        <w:t xml:space="preserve"> (който влезе в сила на 1 декември 2009 г.) бе предвидена целта на Съюза да изгради силно конкурентна социална пазарна икономика. По отношение на приемането на мерки за</w:t>
      </w:r>
      <w:r>
        <w:rPr>
          <w:rFonts w:ascii="Times New Roman" w:hAnsi="Times New Roman"/>
          <w:b/>
          <w:noProof/>
          <w:sz w:val="24"/>
          <w:szCs w:val="24"/>
        </w:rPr>
        <w:t xml:space="preserve"> координация на системите за социална сигурност в рамките на свободното движение на работници</w:t>
      </w:r>
      <w:r>
        <w:rPr>
          <w:rFonts w:ascii="Times New Roman" w:hAnsi="Times New Roman"/>
          <w:noProof/>
          <w:sz w:val="24"/>
          <w:szCs w:val="24"/>
        </w:rPr>
        <w:t xml:space="preserve"> (член 48 от ДФЕС) вместо единодушието започнаха да се прилагат гласуването с квалифицирано мнозинство и обикновената законодателна процедура. 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Изискванията за единодушие и консултиране с Парламента бяха запазени в следните области (понастоящем обхванати от член 153, параграф 1, букви в), г), е) и ж) и член 19 от ДФЕС):</w:t>
      </w:r>
    </w:p>
    <w:p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социалната сигурност и социалната закрила на работниците (извън трансгранични ситуации);</w:t>
      </w:r>
    </w:p>
    <w:p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уволненията;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представителство и колективна защита на интересите на работниците и работодателите, включително съвместно вземане на решения; </w:t>
      </w:r>
    </w:p>
    <w:p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условия за заетост на граждани на трети страни, законно пребиваващи на територията на ЕС и </w:t>
      </w:r>
    </w:p>
    <w:p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мерки за борба с дискриминацията. </w:t>
      </w:r>
    </w:p>
    <w:p>
      <w:pPr>
        <w:spacing w:after="24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Същевременно бе въведена </w:t>
      </w:r>
      <w:r>
        <w:rPr>
          <w:rFonts w:ascii="Times New Roman" w:hAnsi="Times New Roman"/>
          <w:b/>
          <w:noProof/>
          <w:sz w:val="24"/>
          <w:szCs w:val="24"/>
        </w:rPr>
        <w:t>общата клауза за преход</w:t>
      </w:r>
      <w:r>
        <w:rPr>
          <w:rFonts w:ascii="Times New Roman" w:hAnsi="Times New Roman"/>
          <w:noProof/>
          <w:sz w:val="24"/>
          <w:szCs w:val="24"/>
        </w:rPr>
        <w:t xml:space="preserve"> в член 48, параграф 7 от ДЕС, с което бе създадена възможност за преминаване от гласуване с единодушие към гласуване с квалифицирано мнозинство или от специалната към обикновената законодателна процедура в областите, по отношение на които не се прилага специална клауза за преход, като например недискриминацията и социалната сигурност и социалната закрила на работниците.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spacing w:after="240" w:line="240" w:lineRule="auto"/>
        <w:ind w:left="2127" w:hanging="2127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>Приложение 2: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  <w:t>Правни актове, предложени в социалната сфера в периода 2014–2019 г.</w:t>
      </w:r>
    </w:p>
    <w:p>
      <w:pPr>
        <w:spacing w:after="12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Настоящата комисия изготви 27 законодателни предложения за модернизиране на социалната пазарна икономика на ЕС и за постигане на социален рейтинг „ААА“ за Европа. По 24 от тях бе постигнато съгласие, а останалите три са в процес на обсъждане.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41"/>
        <w:gridCol w:w="6791"/>
        <w:gridCol w:w="2132"/>
      </w:tblGrid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679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Кратко заглавие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Публикуване 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Регламент (ЕС) 2015/779 за изменение на Регламент (ЕС) № 1304/2013, по отношение на първоначалната сума за допълнително предварително финансиране, изплащана за оперативни програми, подпомагани по линия на Инициативата за младежка заетост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126</w:t>
              </w:r>
            </w:hyperlink>
            <w:r>
              <w:rPr>
                <w:rStyle w:val="Hyperlink"/>
                <w:rFonts w:ascii="Times New Roman" w:hAnsi="Times New Roman"/>
                <w:noProof/>
                <w:color w:val="auto"/>
                <w:sz w:val="20"/>
                <w:szCs w:val="20"/>
                <w:u w:val="none"/>
              </w:rPr>
              <w:t>,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21.5.2015 г., стр. 1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Препоръка на Съвета относно интеграцията на дълготрайно безработните лица на пазара на труда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C 67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20.2.2016 г., стр. 1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Решение (ЕС) 2015/1848 на Съвета относно насоки за политиките по заетостта на държавите членки за 2015 г.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268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15.10.2015 г., стр. 28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Решение (ЕС) 2016/1838 на Съвета относно насоки за политиките по заетостта на държавите членки за 2016 г.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280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18.10.2016 г., стр. 30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Директива (ЕС) 2017/2398 за изменение на Директива 2004/37/ЕО относно защитата на работниците от рискове, свързани с експозицията на канцерогени или мутагени по време на работа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345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27.12.2017 г., стр. 87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Препоръка на Съвета относно Европейската квалификационна рамка за учене през целия живот и за отмяна на препоръката на Европейския парламент и на Съвета от 23 април 2008 г. за създаване на Европейска квалификационна рамка за обучение през целия живот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C 189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15.6.2017 г., стр. 15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Препоръка на Съвета относно повишаване на уменията: нови възможности за възрастните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C 484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24.12.2016 г., стр. 1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Директива (ЕС) 2017/159 за изпълнение на Споразумението във връзка с изпълнението на Конвенцията относно условията на труд в сектора на риболова от 2007 година на Международната организация на труда, сключено на 21 май 2012 година между Общата конфедерация на селскостопанските кооперации в Европейския съюз (COGECA), Европейската федерация на транспортните работници (ETF) и Сдружението на националните организации на риболовни предприятия в Европейския съюз (Europêche)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25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31.1.2017 г., стр. 12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Директива (ЕС) 2018/957 за изменение на Директива 96/71/ЕО относно командироването на работници в рамките на предоставянето на услуги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173</w:t>
              </w:r>
            </w:hyperlink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, 9.7.2018 г., стр. 16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t>Регламент (ЕС) 2017/2305 за изменение на Регламент (ЕС) № 1303/2013 по отношение на промените в средствата за икономическо, социално и териториално сближаване, както и в средствата по цел „Инвестиции за растеж и работни места“ и по цел „Европейско териториално сътрудничество“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335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15.12.2017 г., стр. 1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Директива (ЕС) 2018/131 за изпълнение на Споразумението, сключено между Асоциациите на корабособствениците от Европейската общност (ECSA) и Европейската федерация на транспортните работници (ETF) за изменение на Директива 2009/13/ЕО в съответствие с измененията от 2014 г. на Морската трудова конвенция от 2006 г., одобрени от Международната конференция на труда на 11 юни 2014 г.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22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26.1.2018 г., стр. 28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Препоръка на Съвета относно Европейска рамка за качествено и ефективно чиракуване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C 153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2.5.2018 г., стр. 1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Решение (ЕС) 2018/646 относно обща рамка за предоставяне на по-добри услуги в областта на уменията и квалификациите („Европас“) и за отмяна на Решение № 2241/2004/ЕО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OВ L 112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2.5.2018 г., стр. 42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Решение (ЕС) 2018/1215 на Съвета относно насоки за политиките за заетост на държавите членки</w:t>
            </w:r>
          </w:p>
        </w:tc>
        <w:tc>
          <w:tcPr>
            <w:tcW w:w="2132" w:type="dxa"/>
            <w:vAlign w:val="center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rFonts w:ascii="Times New Roman" w:hAnsi="Times New Roman"/>
                  <w:noProof/>
                  <w:color w:val="0000FF"/>
                  <w:sz w:val="20"/>
                  <w:szCs w:val="20"/>
                </w:rPr>
                <w:t>OВ L 224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>, 5.9.2018 г., стр. 4</w:t>
            </w:r>
          </w:p>
        </w:tc>
      </w:tr>
      <w:tr>
        <w:trPr>
          <w:trHeight w:val="273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Регламент (ЕС) 2019/128 за създаване на Европейски център за развитие на професионалното обучение (Cedefop) и за отмяна на Регламент (ЕИО) № 337/75</w:t>
            </w:r>
          </w:p>
        </w:tc>
        <w:tc>
          <w:tcPr>
            <w:tcW w:w="2132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  <w:bdr w:val="none" w:sz="0" w:space="0" w:color="auto" w:frame="1"/>
                </w:rPr>
                <w:t>OВ L 30</w:t>
              </w:r>
            </w:hyperlink>
            <w:r>
              <w:rPr>
                <w:rStyle w:val="epname"/>
                <w:rFonts w:ascii="Times New Roman" w:hAnsi="Times New Roman"/>
                <w:noProof/>
                <w:sz w:val="20"/>
                <w:szCs w:val="20"/>
                <w:bdr w:val="none" w:sz="0" w:space="0" w:color="auto" w:frame="1"/>
              </w:rPr>
              <w:t>, 31.1.2019 г., стр. 90</w:t>
            </w:r>
          </w:p>
        </w:tc>
      </w:tr>
      <w:tr>
        <w:trPr>
          <w:trHeight w:val="259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Регламент (ЕС) 2019/127 относно създаването на Европейската фондация за подобряване на условията на живот и труд (Eurofound) и за отмяна на Регламент (ЕИО) № 1365/75 на Съвета</w:t>
            </w:r>
          </w:p>
        </w:tc>
        <w:tc>
          <w:tcPr>
            <w:tcW w:w="2132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  <w:bdr w:val="none" w:sz="0" w:space="0" w:color="auto" w:frame="1"/>
                </w:rPr>
                <w:t>OВ L 30</w:t>
              </w:r>
            </w:hyperlink>
            <w:r>
              <w:rPr>
                <w:rStyle w:val="epname"/>
                <w:rFonts w:ascii="Times New Roman" w:hAnsi="Times New Roman"/>
                <w:noProof/>
                <w:sz w:val="20"/>
                <w:szCs w:val="20"/>
                <w:bdr w:val="none" w:sz="0" w:space="0" w:color="auto" w:frame="1"/>
              </w:rPr>
              <w:t>, 31.1.2019 г., стр. 74</w:t>
            </w:r>
          </w:p>
        </w:tc>
      </w:tr>
      <w:tr>
        <w:trPr>
          <w:trHeight w:val="273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Регламент (ЕС) 2019/126 за създаване на Агенцията на Европейския съюз за безопасност и здраве при работа (EU-OSHA) и за отмяна на Регламент № 2062/94 на Съвета</w:t>
            </w:r>
          </w:p>
        </w:tc>
        <w:tc>
          <w:tcPr>
            <w:tcW w:w="2132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  <w:bdr w:val="none" w:sz="0" w:space="0" w:color="auto" w:frame="1"/>
                </w:rPr>
                <w:t>OВ L 30</w:t>
              </w:r>
            </w:hyperlink>
            <w:r>
              <w:rPr>
                <w:rStyle w:val="epname"/>
                <w:rFonts w:ascii="Times New Roman" w:hAnsi="Times New Roman"/>
                <w:noProof/>
                <w:sz w:val="20"/>
                <w:szCs w:val="20"/>
                <w:bdr w:val="none" w:sz="0" w:space="0" w:color="auto" w:frame="1"/>
              </w:rPr>
              <w:t>, 31.1.2019 г., стр. 58</w:t>
            </w:r>
          </w:p>
        </w:tc>
      </w:tr>
      <w:tr>
        <w:trPr>
          <w:trHeight w:val="273"/>
        </w:trPr>
        <w:tc>
          <w:tcPr>
            <w:tcW w:w="541" w:type="dxa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Директива (ЕС) 2019/130 за изменение на Директива 2004/37/ЕО относно защитата на работниците от рискове, свързани с експозицията на канцерогени или мутагени по време на работа (Група II)</w:t>
            </w:r>
          </w:p>
        </w:tc>
        <w:tc>
          <w:tcPr>
            <w:tcW w:w="2132" w:type="dxa"/>
          </w:tcPr>
          <w:p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  <w:bdr w:val="none" w:sz="0" w:space="0" w:color="auto" w:frame="1"/>
                </w:rPr>
                <w:t>OВ L 30</w:t>
              </w:r>
            </w:hyperlink>
            <w:r>
              <w:rPr>
                <w:rStyle w:val="epname"/>
                <w:rFonts w:ascii="Times New Roman" w:hAnsi="Times New Roman"/>
                <w:noProof/>
                <w:sz w:val="20"/>
                <w:szCs w:val="20"/>
                <w:bdr w:val="none" w:sz="0" w:space="0" w:color="auto" w:frame="1"/>
              </w:rPr>
              <w:t>, 31.1.2019 г., стр. 112</w:t>
            </w:r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Директива за сближаване на законовите, подзаконовите и административните разпоредби на държавите членки по отношение на изискванията за достъпност за продукти и услуги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4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(2015) 615</w:t>
              </w:r>
            </w:hyperlink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Регламент изменение на Регламент (ЕО) № 883/2004 за координация на системите за социална сигурност и на Регламент (ЕО) № 987/2009 за установяване процедурата за прилагане на Регламент (ЕО) № 883/2004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5" w:history="1">
              <w:r>
                <w:rPr>
                  <w:rFonts w:ascii="Times New Roman" w:hAnsi="Times New Roman"/>
                  <w:noProof/>
                  <w:color w:val="0000FF"/>
                  <w:sz w:val="20"/>
                  <w:szCs w:val="20"/>
                  <w:u w:val="single"/>
                </w:rPr>
                <w:t>COM (2016) 815</w:t>
              </w:r>
            </w:hyperlink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Директива относно равновесието между професионалния и личния живот на родителите и лицата, полагащи грижи, и за отмяна на Директива 2010/18/ЕС на Съвета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6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(2017) 253</w:t>
              </w:r>
            </w:hyperlink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Директива на Европейския парламент и на Съвета за прозрачни и предвидими условия на труд в Европейския съюз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COM(2017) 797</w:t>
              </w:r>
            </w:hyperlink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Регламент на Европейския парламент и на Съвета за създаване на Европейски орган по труда</w:t>
            </w:r>
          </w:p>
        </w:tc>
        <w:tc>
          <w:tcPr>
            <w:tcW w:w="2132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(2018) 131</w:t>
              </w:r>
            </w:hyperlink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Препоръка относно достъпа на работниците и самостоятелно заетите лица до социална закрила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(2018) 132</w:t>
              </w:r>
            </w:hyperlink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Директива за изменение на Директива 2004/37/ЕО относно защитата на работниците от рискове, свързани с експозицията на канцерогени или мутагени по време на работа (Група III)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(2018) 171</w:t>
              </w:r>
            </w:hyperlink>
          </w:p>
        </w:tc>
      </w:tr>
      <w:tr>
        <w:trPr>
          <w:trHeight w:val="259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Регламент относно Европейския фонд за приспособяване към глобализацията (ЕФПГ)</w:t>
            </w:r>
          </w:p>
        </w:tc>
        <w:tc>
          <w:tcPr>
            <w:tcW w:w="2132" w:type="dxa"/>
            <w:vAlign w:val="center"/>
          </w:tcPr>
          <w:p>
            <w:pPr>
              <w:pStyle w:val="Default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(2018) 380</w:t>
              </w:r>
            </w:hyperlink>
          </w:p>
        </w:tc>
      </w:tr>
      <w:tr>
        <w:trPr>
          <w:trHeight w:val="273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791" w:type="dxa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Предложение за Регламент относно Европейския социален фонд плюс (ЕСФ+)</w:t>
            </w:r>
          </w:p>
        </w:tc>
        <w:tc>
          <w:tcPr>
            <w:tcW w:w="2132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hyperlink r:id="rId42" w:history="1">
              <w:r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COM (2018) 382</w:t>
              </w:r>
            </w:hyperlink>
          </w:p>
        </w:tc>
      </w:tr>
    </w:tbl>
    <w:p>
      <w:pPr>
        <w:rPr>
          <w:rFonts w:ascii="Times New Roman" w:hAnsi="Times New Roman" w:cs="Times New Roman"/>
          <w:noProof/>
        </w:rPr>
      </w:pPr>
    </w:p>
    <w:sectPr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13">
    <w:altName w:val="MS Gothic"/>
    <w:charset w:val="8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7863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1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Областта на социалната сигурност и социалната закрила на работниците (член 153, параграф 1, буква в) от ДФЕС) съвпада с областта на модернизацията на системите за социална закрила (член 153, параграф 1, буква к) от ДФЕС). За такива случаи в буква к) е предвидено правило за предимство, съгласно което тази буква не засяга прилагането на буква в).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302C"/>
    <w:multiLevelType w:val="hybridMultilevel"/>
    <w:tmpl w:val="AF9A16BC"/>
    <w:lvl w:ilvl="0" w:tplc="4634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371E6"/>
    <w:multiLevelType w:val="hybridMultilevel"/>
    <w:tmpl w:val="B542345E"/>
    <w:lvl w:ilvl="0" w:tplc="4634911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7D556E7A"/>
    <w:multiLevelType w:val="hybridMultilevel"/>
    <w:tmpl w:val="FD98557E"/>
    <w:lvl w:ilvl="0" w:tplc="46349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TONE Annelisa (EMPL)">
    <w15:presenceInfo w15:providerId="None" w15:userId="COTONE Annelisa (EMP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 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7A27A862-85A6-43F4-AC1E-B106201D290E"/>
    <w:docVar w:name="LW_COVERPAGE_TYPE" w:val="1"/>
    <w:docVar w:name="LW_CROSSREFERENCE" w:val="&lt;UNUSED&gt;"/>
    <w:docVar w:name="LW_DocType" w:val="NORMAL"/>
    <w:docVar w:name="LW_EMISSION" w:val="16.4.2019"/>
    <w:docVar w:name="LW_EMISSION_ISODATE" w:val="2019-04-16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5?\u1086?-\u1077?\u1092?\u1080?\u1082?\u1072?\u1089?\u1085?\u1086? \u1074?\u1079?\u1077?\u1084?\u1072?\u1085?\u1077? \u1085?\u1072? \u1088?\u1077?\u1096?\u1077?\u1085?\u1080?\u1103? \u1074? \u1086?\u1073?\u1083?\u1072?\u1089?\u1090?\u1090?\u1072? \u1085?\u1072? \u1089?\u1086?\u1094?\u1080?\u1072?\u1083?\u1085?\u1072?\u1090?\u1072? \u1087?\u1086?\u1083?\u1080?\u1090?\u1080?\u1082?\u1072?: _x000b__x000b_\u1086?\u1087?\u1088?\u1077?\u1076?\u1077?\u1083?\u1103?\u1085?\u1077? \u1085?\u1072? \u1086?\u1073?\u1083?\u1072?\u1089?\u1090?\u1080?, \u1074? \u1082?\u1086?\u1080?\u1090?\u1086? \u1076?\u1072? \u1089?\u1077? \u1087?\u1088?\u1077?\u1084?\u1080?\u1085?\u1077? \u1082?\u1098?\u1084? \u1079?\u1072?\u1089?\u1080?\u1083?\u1077?\u1085?\u1086? \u1080?\u1079?\u1087?\u1086?\u1083?\u1079?\u1074?\u1072?\u1085?\u1077? \u1085?\u1072? \u1075?\u1083?\u1072?\u1089?\u1091?\u1074?\u1072?\u1085?\u1077?\u1090?\u1086? \u1089? \u1082?\u1074?\u1072?\u1083?\u1080?\u1092?\u1080?\u1094?\u1080?\u1088?\u1072?\u1085?\u1086? \u1084?\u1085?\u1086?\u1079?\u1080?\u1085?\u1089?\u1090?\u1074?\u1086?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9) 18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FootnoteReference">
    <w:name w:val="footnote reference"/>
    <w:aliases w:val="Footnote symbol,Footnote reference number,Times 10 Point,Exposant 3 Point,EN Footnote Reference,note TESI,Footnote,BVI fnr,Footnote Reference Number,E FNZ,-E Fußnotenzeichen,Footnote#,Ref,de nota al pie,SUPERS,Footnotes refss,Fussnota"/>
    <w:uiPriority w:val="99"/>
    <w:qFormat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uppressAutoHyphens/>
      <w:spacing w:after="200" w:line="276" w:lineRule="auto"/>
      <w:ind w:left="720"/>
    </w:pPr>
    <w:rPr>
      <w:rFonts w:ascii="Calibri" w:eastAsia="SimSun" w:hAnsi="Calibri" w:cs="font413"/>
      <w:lang w:eastAsia="ar-SA"/>
    </w:rPr>
  </w:style>
  <w:style w:type="paragraph" w:customStyle="1" w:styleId="footnotetext1">
    <w:name w:val="footnote text1"/>
    <w:aliases w:val="footnote text,fußn,Fußnote,Footnotes,fn,Fussnote"/>
    <w:basedOn w:val="Normal"/>
    <w:uiPriority w:val="99"/>
    <w:qFormat/>
    <w:pPr>
      <w:suppressLineNumbers/>
      <w:suppressAutoHyphens/>
      <w:spacing w:after="200" w:line="276" w:lineRule="auto"/>
      <w:ind w:left="283" w:hanging="283"/>
    </w:pPr>
    <w:rPr>
      <w:rFonts w:ascii="Calibri" w:eastAsia="SimSun" w:hAnsi="Calibri" w:cs="font413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SimSun" w:hAnsi="Calibri" w:cs="font413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font413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SimSun" w:hAnsi="Calibri" w:cs="font413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font413"/>
      <w:lang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uppressAutoHyphens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Pr>
      <w:rFonts w:ascii="Calibri" w:eastAsia="SimSun" w:hAnsi="Calibri" w:cs="font413"/>
      <w:lang w:eastAsia="ar-SA"/>
    </w:rPr>
  </w:style>
  <w:style w:type="character" w:customStyle="1" w:styleId="epname">
    <w:name w:val="ep_name"/>
    <w:basedOn w:val="DefaultParagraphFont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FootnoteReference">
    <w:name w:val="footnote reference"/>
    <w:aliases w:val="Footnote symbol,Footnote reference number,Times 10 Point,Exposant 3 Point,EN Footnote Reference,note TESI,Footnote,BVI fnr,Footnote Reference Number,E FNZ,-E Fußnotenzeichen,Footnote#,Ref,de nota al pie,SUPERS,Footnotes refss,Fussnota"/>
    <w:uiPriority w:val="99"/>
    <w:qFormat/>
    <w:rPr>
      <w:vertAlign w:val="superscript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uppressAutoHyphens/>
      <w:spacing w:after="200" w:line="276" w:lineRule="auto"/>
      <w:ind w:left="720"/>
    </w:pPr>
    <w:rPr>
      <w:rFonts w:ascii="Calibri" w:eastAsia="SimSun" w:hAnsi="Calibri" w:cs="font413"/>
      <w:lang w:eastAsia="ar-SA"/>
    </w:rPr>
  </w:style>
  <w:style w:type="paragraph" w:customStyle="1" w:styleId="footnotetext1">
    <w:name w:val="footnote text1"/>
    <w:aliases w:val="footnote text,fußn,Fußnote,Footnotes,fn,Fussnote"/>
    <w:basedOn w:val="Normal"/>
    <w:uiPriority w:val="99"/>
    <w:qFormat/>
    <w:pPr>
      <w:suppressLineNumbers/>
      <w:suppressAutoHyphens/>
      <w:spacing w:after="200" w:line="276" w:lineRule="auto"/>
      <w:ind w:left="283" w:hanging="283"/>
    </w:pPr>
    <w:rPr>
      <w:rFonts w:ascii="Calibri" w:eastAsia="SimSun" w:hAnsi="Calibri" w:cs="font413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SimSun" w:hAnsi="Calibri" w:cs="font413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SimSun" w:hAnsi="Calibri" w:cs="font413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uppressAutoHyphens/>
      <w:spacing w:after="0" w:line="240" w:lineRule="auto"/>
    </w:pPr>
    <w:rPr>
      <w:rFonts w:ascii="Calibri" w:eastAsia="SimSun" w:hAnsi="Calibri" w:cs="font413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SimSun" w:hAnsi="Calibri" w:cs="font413"/>
      <w:lang w:eastAsia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uppressAutoHyphens/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uppressAutoHyphens/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Pr>
      <w:rFonts w:ascii="Calibri" w:eastAsia="SimSun" w:hAnsi="Calibri" w:cs="font413"/>
      <w:lang w:eastAsia="ar-SA"/>
    </w:rPr>
  </w:style>
  <w:style w:type="character" w:customStyle="1" w:styleId="epname">
    <w:name w:val="ep_name"/>
    <w:basedOn w:val="DefaultParagraphFont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ur-lex.europa.eu/legal-content/BG/ALL/?uri=OJ:L:2015:268:TOC" TargetMode="External"/><Relationship Id="rId26" Type="http://schemas.openxmlformats.org/officeDocument/2006/relationships/hyperlink" Target="https://eur-lex.europa.eu/legal-content/BG/ALL/?uri=OJ:L:2018:022:TOC" TargetMode="External"/><Relationship Id="rId39" Type="http://schemas.openxmlformats.org/officeDocument/2006/relationships/hyperlink" Target="https://eur-lex.europa.eu/legal-content/BG/TXT/?uri=CELEX:52018DC0132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BG/ALL/?uri=OJ:C:2017:189:TOC" TargetMode="External"/><Relationship Id="rId34" Type="http://schemas.openxmlformats.org/officeDocument/2006/relationships/hyperlink" Target="https://eur-lex.europa.eu/legal-content/BG/TXT/?uri=CELEX:52015PC0615" TargetMode="External"/><Relationship Id="rId42" Type="http://schemas.openxmlformats.org/officeDocument/2006/relationships/hyperlink" Target="https://eur-lex.europa.eu/legal-content/BG/TXT/?uri=CELEX:52018PC0382" TargetMode="Externa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ur-lex.europa.eu/legal-content/BG/ALL/?uri=OJ:C:2016:067:TOC" TargetMode="External"/><Relationship Id="rId25" Type="http://schemas.openxmlformats.org/officeDocument/2006/relationships/hyperlink" Target="https://eur-lex.europa.eu/legal-content/BG/ALL/?uri=OJ:L:2017:335:TOC" TargetMode="External"/><Relationship Id="rId33" Type="http://schemas.openxmlformats.org/officeDocument/2006/relationships/hyperlink" Target="https://eur-lex.europa.eu/legal-content/BG/TXT/?uri=OJ:L:2019:030:TOC" TargetMode="External"/><Relationship Id="rId38" Type="http://schemas.openxmlformats.org/officeDocument/2006/relationships/hyperlink" Target="https://eur-lex.europa.eu/legal-content/BG/TXT/?uri=CELEX:52018PC0131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BG/ALL/?uri=OJ:L:2015:126:TOC" TargetMode="External"/><Relationship Id="rId20" Type="http://schemas.openxmlformats.org/officeDocument/2006/relationships/hyperlink" Target="https://eur-lex.europa.eu/legal-content/BG/ALL/?uri=OJ:L:2017:345:TOC" TargetMode="External"/><Relationship Id="rId29" Type="http://schemas.openxmlformats.org/officeDocument/2006/relationships/hyperlink" Target="https://eur-lex.europa.eu/legal-content/BG/TXT/?qid=1555413759306&amp;uri=CELEX:32018D1215" TargetMode="External"/><Relationship Id="rId41" Type="http://schemas.openxmlformats.org/officeDocument/2006/relationships/hyperlink" Target="https://eur-lex.europa.eu/legal-content/BG/HIS/?uri=CELEX:52018PC03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ur-lex.europa.eu/legal-content/BG/TXT/?uri=OJ:L:2018:173:TOC" TargetMode="External"/><Relationship Id="rId32" Type="http://schemas.openxmlformats.org/officeDocument/2006/relationships/hyperlink" Target="https://eur-lex.europa.eu/legal-content/BG/TXT/?uri=OJ:L:2019:030:TOC" TargetMode="External"/><Relationship Id="rId37" Type="http://schemas.openxmlformats.org/officeDocument/2006/relationships/hyperlink" Target="https://eur-lex.europa.eu/legal-content/BG/TXT/?uri=CELEX:52017PC0797" TargetMode="External"/><Relationship Id="rId40" Type="http://schemas.openxmlformats.org/officeDocument/2006/relationships/hyperlink" Target="https://eur-lex.europa.eu/legal-content/BG/TXT/?uri=CELEX:52018PC0171" TargetMode="External"/><Relationship Id="rId45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s://eur-lex.europa.eu/legal-content/BG/ALL/?uri=OJ:L:2017:025:TOC" TargetMode="External"/><Relationship Id="rId28" Type="http://schemas.openxmlformats.org/officeDocument/2006/relationships/hyperlink" Target="https://eur-lex.europa.eu/legal-content/BG/ALL/?uri=OJ:L:2018:112:TOC" TargetMode="External"/><Relationship Id="rId36" Type="http://schemas.openxmlformats.org/officeDocument/2006/relationships/hyperlink" Target="https://eur-lex.europa.eu/legal-content/BG/TXT/?uri=CELEX:52017PC0253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ur-lex.europa.eu/legal-content/BG/ALL/?uri=OJ:L:2016:280:TOC" TargetMode="External"/><Relationship Id="rId31" Type="http://schemas.openxmlformats.org/officeDocument/2006/relationships/hyperlink" Target="https://eur-lex.europa.eu/legal-content/BG/TXT/?uri=OJ:L:2019:030:TOC" TargetMode="External"/><Relationship Id="rId44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yperlink" Target="https://eur-lex.europa.eu/legal-content/BG/ALL/?uri=OJ:C:2016:484:TOC" TargetMode="External"/><Relationship Id="rId27" Type="http://schemas.openxmlformats.org/officeDocument/2006/relationships/hyperlink" Target="https://eur-lex.europa.eu/legal-content/BG/ALL/?uri=OJ:C:2018:153:TOC" TargetMode="External"/><Relationship Id="rId30" Type="http://schemas.openxmlformats.org/officeDocument/2006/relationships/hyperlink" Target="https://eur-lex.europa.eu/legal-content/BG/TXT/?uri=OJ:L:2019:030:TOC" TargetMode="External"/><Relationship Id="rId35" Type="http://schemas.openxmlformats.org/officeDocument/2006/relationships/hyperlink" Target="https://eur-lex.europa.eu/legal-content/BG/TXT/?uri=CELEX:52016PC0815" TargetMode="Externa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8" Type="http://schemas.openxmlformats.org/officeDocument/2006/relationships/endnotes" Target="endnotes.xm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9FE0-2424-4B2F-BF76-BD7AE0A9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2044</Words>
  <Characters>11365</Characters>
  <Application>Microsoft Office Word</Application>
  <DocSecurity>0</DocSecurity>
  <Lines>307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 Marie Olga (EMPL)</dc:creator>
  <cp:keywords/>
  <dc:description/>
  <cp:lastModifiedBy>WES PDFC Administrator</cp:lastModifiedBy>
  <cp:revision>21</cp:revision>
  <dcterms:created xsi:type="dcterms:W3CDTF">2019-04-11T15:13:00Z</dcterms:created>
  <dcterms:modified xsi:type="dcterms:W3CDTF">2019-04-24T08:14:00Z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