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8DAB12-EE1A-4136-B4F0-B6735251CA71"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widowControl w:val="0"/>
        <w:shd w:val="clear" w:color="auto" w:fill="FFFFFF"/>
        <w:autoSpaceDE w:val="0"/>
        <w:autoSpaceDN w:val="0"/>
        <w:adjustRightInd w:val="0"/>
        <w:spacing w:before="230" w:after="0" w:line="269" w:lineRule="exact"/>
        <w:ind w:right="86"/>
        <w:rPr>
          <w:noProof/>
        </w:rPr>
      </w:pPr>
      <w:r>
        <w:rPr>
          <w:noProof/>
        </w:rPr>
        <w:t>Настоящото предложение се отнася до решението за определяне на позицията относно планираното приемане на процедурния правилник на Съвместния комитет и мандата на специализираните подкомитети, която да бъде заета от името на Съюза в рамките на Съвместния комитет, създаден по силата на Рамковото споразумение за партньорство и сътрудничество между Европейския съюз и неговите държави членки, от една страна, и Република Филипини, от друга страна, (наричано по-нататък „Споразумението“).</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Рамково споразумение за партньорство и сътрудничество между ЕС и Филипините</w:t>
      </w:r>
    </w:p>
    <w:p>
      <w:pPr>
        <w:widowControl w:val="0"/>
        <w:shd w:val="clear" w:color="auto" w:fill="FFFFFF"/>
        <w:autoSpaceDE w:val="0"/>
        <w:autoSpaceDN w:val="0"/>
        <w:adjustRightInd w:val="0"/>
        <w:spacing w:before="230" w:after="0" w:line="269" w:lineRule="exact"/>
        <w:ind w:right="86"/>
        <w:rPr>
          <w:noProof/>
        </w:rPr>
      </w:pPr>
      <w:r>
        <w:rPr>
          <w:noProof/>
        </w:rPr>
        <w:t xml:space="preserve">Целта на Споразумението е да се установи засилено партньорство между ЕС и неговите държави членки и Филипините, както и да се задълбочи и подобри двустранното сътрудничество по въпросите от взаимен интерес, като се вземат предвид споделените ценности и общите принципи, включително чрез засилване на диалога на високо равнище. Със Споразумението ще се създаде съгласувана, правно обвързваща рамка за отношенията на ЕС с Филипините. Споразумението беше подписано на 11 юли 2012 г. в </w:t>
      </w:r>
      <w:r>
        <w:rPr>
          <w:noProof/>
          <w:color w:val="000000"/>
        </w:rPr>
        <w:t>Пном Пен</w:t>
      </w:r>
      <w:r>
        <w:rPr>
          <w:noProof/>
        </w:rPr>
        <w:t xml:space="preserve"> и влезе в сила на 1 март 2018 г.</w:t>
      </w:r>
    </w:p>
    <w:p>
      <w:pPr>
        <w:pStyle w:val="ManualHeading2"/>
        <w:rPr>
          <w:noProof/>
        </w:rPr>
      </w:pPr>
      <w:r>
        <w:t>2.2.</w:t>
      </w:r>
      <w:r>
        <w:tab/>
      </w:r>
      <w:r>
        <w:rPr>
          <w:noProof/>
        </w:rPr>
        <w:t>Съвместен комитет</w:t>
      </w:r>
    </w:p>
    <w:p>
      <w:pPr>
        <w:widowControl w:val="0"/>
        <w:shd w:val="clear" w:color="auto" w:fill="FFFFFF"/>
        <w:autoSpaceDE w:val="0"/>
        <w:autoSpaceDN w:val="0"/>
        <w:adjustRightInd w:val="0"/>
        <w:spacing w:before="230" w:after="0" w:line="269" w:lineRule="exact"/>
        <w:ind w:right="86"/>
        <w:rPr>
          <w:noProof/>
        </w:rPr>
      </w:pPr>
      <w:r>
        <w:rPr>
          <w:noProof/>
        </w:rPr>
        <w:t>Съвместният комитет е създаден съгласно член 48 от Споразумението. Неговите основни задачи са да гарантира правилното действие и прилагане на Споразумението, да определя приоритети в съответствие с целите на Споразумението и да изготвя препоръки за подпомагане на изпълнението на целите на Споразумението. Сред другите задачи на Съвместния комитет е да следи за нормалното действие на секторните споразумения или протоколи, които са сключени или ще бъдат сключени между страните.</w:t>
      </w:r>
    </w:p>
    <w:p>
      <w:pPr>
        <w:widowControl w:val="0"/>
        <w:shd w:val="clear" w:color="auto" w:fill="FFFFFF"/>
        <w:autoSpaceDE w:val="0"/>
        <w:autoSpaceDN w:val="0"/>
        <w:adjustRightInd w:val="0"/>
        <w:spacing w:before="230" w:after="0" w:line="269" w:lineRule="exact"/>
        <w:ind w:right="86"/>
        <w:rPr>
          <w:noProof/>
        </w:rPr>
      </w:pPr>
      <w:r>
        <w:rPr>
          <w:noProof/>
        </w:rPr>
        <w:t>Съвместният комитет прави препоръки и взема решения, когато е уместно, за постигане на целите на Споразумението. Съвместният комитет заседава на равнище висши служители. Съвместният комитет приема свой процедурен правилник. Той може да създава специализирани подкомитети, които да се занимават с конкретни въпроси.</w:t>
      </w:r>
    </w:p>
    <w:p>
      <w:pPr>
        <w:pStyle w:val="ManualHeading2"/>
        <w:rPr>
          <w:noProof/>
        </w:rPr>
      </w:pPr>
      <w:r>
        <w:t>2.3.</w:t>
      </w:r>
      <w:r>
        <w:tab/>
      </w:r>
      <w:r>
        <w:rPr>
          <w:noProof/>
        </w:rPr>
        <w:t>Предвиденият акт на Съвместния комитет</w:t>
      </w:r>
    </w:p>
    <w:p>
      <w:pPr>
        <w:widowControl w:val="0"/>
        <w:shd w:val="clear" w:color="auto" w:fill="FFFFFF"/>
        <w:autoSpaceDE w:val="0"/>
        <w:autoSpaceDN w:val="0"/>
        <w:adjustRightInd w:val="0"/>
        <w:spacing w:before="230" w:after="0" w:line="269" w:lineRule="exact"/>
        <w:ind w:right="86"/>
        <w:rPr>
          <w:noProof/>
        </w:rPr>
      </w:pPr>
      <w:r>
        <w:rPr>
          <w:noProof/>
        </w:rPr>
        <w:t>На първото си заседание Съвместният комитет следва да приеме решение относно приемането на своя процедурен правилник и решение относно мандата на специализираните подкомитети (наричани по-нататък „предвидените актове“).</w:t>
      </w:r>
    </w:p>
    <w:p>
      <w:pPr>
        <w:widowControl w:val="0"/>
        <w:shd w:val="clear" w:color="auto" w:fill="FFFFFF"/>
        <w:autoSpaceDE w:val="0"/>
        <w:autoSpaceDN w:val="0"/>
        <w:adjustRightInd w:val="0"/>
        <w:spacing w:before="230" w:after="0" w:line="269" w:lineRule="exact"/>
        <w:ind w:right="86"/>
        <w:rPr>
          <w:noProof/>
        </w:rPr>
      </w:pPr>
      <w:r>
        <w:rPr>
          <w:noProof/>
        </w:rPr>
        <w:t>Целта на предвидените актове е, в съответствие с член 48, параграф 5 от Споразумението, да бъдат приети процедурният правилник за организацията на Съвместния комитет и мандатът на специализираните подкомитети, за да се даде възможност за прилагане на Споразумението.</w:t>
      </w:r>
    </w:p>
    <w:p>
      <w:pPr>
        <w:pStyle w:val="ManualHeading1"/>
        <w:rPr>
          <w:noProof/>
        </w:rPr>
      </w:pPr>
      <w:r>
        <w:t>3.</w:t>
      </w:r>
      <w:r>
        <w:tab/>
      </w:r>
      <w:r>
        <w:rPr>
          <w:noProof/>
        </w:rPr>
        <w:t>ПОЗИЦИЯ, КОЯТО ДА БЪДЕ ЗАЕТА ОТ ИМЕТО НА СЪЮЗА</w:t>
      </w:r>
    </w:p>
    <w:p>
      <w:pPr>
        <w:widowControl w:val="0"/>
        <w:shd w:val="clear" w:color="auto" w:fill="FFFFFF"/>
        <w:autoSpaceDE w:val="0"/>
        <w:autoSpaceDN w:val="0"/>
        <w:adjustRightInd w:val="0"/>
        <w:spacing w:before="230" w:after="0" w:line="269" w:lineRule="exact"/>
        <w:ind w:right="86"/>
        <w:rPr>
          <w:noProof/>
        </w:rPr>
      </w:pPr>
      <w:r>
        <w:rPr>
          <w:noProof/>
        </w:rPr>
        <w:t>Позицията, която да бъде заета от името на Съюза, следва да има за цел приемането на процедурния правилник на Съвместния комитет ЕС—Филипини и на мандата на специализираните подкомитети. Позицията следва да се основава на проектите на решения на Съвместния комитет.</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widowControl w:val="0"/>
        <w:shd w:val="clear" w:color="auto" w:fill="FFFFFF"/>
        <w:autoSpaceDE w:val="0"/>
        <w:autoSpaceDN w:val="0"/>
        <w:adjustRightInd w:val="0"/>
        <w:spacing w:before="230" w:after="0" w:line="269" w:lineRule="exact"/>
        <w:ind w:right="86"/>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widowControl w:val="0"/>
        <w:shd w:val="clear" w:color="auto" w:fill="FFFFFF"/>
        <w:autoSpaceDE w:val="0"/>
        <w:autoSpaceDN w:val="0"/>
        <w:adjustRightInd w:val="0"/>
        <w:spacing w:before="230" w:after="0" w:line="269" w:lineRule="exact"/>
        <w:ind w:right="86"/>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1"/>
      </w:r>
      <w:r>
        <w:rPr>
          <w:noProof/>
        </w:rPr>
        <w:t>.</w:t>
      </w:r>
    </w:p>
    <w:p>
      <w:pPr>
        <w:pStyle w:val="ManualHeading3"/>
        <w:rPr>
          <w:noProof/>
        </w:rPr>
      </w:pPr>
      <w:r>
        <w:t>4.1.2.</w:t>
      </w:r>
      <w:r>
        <w:tab/>
      </w:r>
      <w:r>
        <w:rPr>
          <w:noProof/>
        </w:rPr>
        <w:t>Прилагане в конкретния случай</w:t>
      </w:r>
    </w:p>
    <w:p>
      <w:pPr>
        <w:widowControl w:val="0"/>
        <w:shd w:val="clear" w:color="auto" w:fill="FFFFFF"/>
        <w:autoSpaceDE w:val="0"/>
        <w:autoSpaceDN w:val="0"/>
        <w:adjustRightInd w:val="0"/>
        <w:spacing w:before="230" w:after="0" w:line="269" w:lineRule="exact"/>
        <w:ind w:right="86"/>
        <w:rPr>
          <w:noProof/>
        </w:rPr>
      </w:pPr>
      <w:r>
        <w:rPr>
          <w:noProof/>
        </w:rPr>
        <w:t>Съвместният комитет е орган, създаден по силата на споразумение, а именно Рамковото споразумение за партньорство и сътрудничество между Европейския съюз и неговите държави членки, от една страна, и Република Филипини, от друга страна.</w:t>
      </w:r>
    </w:p>
    <w:p>
      <w:pPr>
        <w:widowControl w:val="0"/>
        <w:shd w:val="clear" w:color="auto" w:fill="FFFFFF"/>
        <w:autoSpaceDE w:val="0"/>
        <w:autoSpaceDN w:val="0"/>
        <w:adjustRightInd w:val="0"/>
        <w:spacing w:before="230" w:after="0" w:line="269" w:lineRule="exact"/>
        <w:ind w:right="86"/>
        <w:rPr>
          <w:noProof/>
        </w:rPr>
      </w:pPr>
      <w:r>
        <w:rPr>
          <w:noProof/>
        </w:rPr>
        <w:t>Актът, който Съвместният комитет има за задача да приеме, представлява акт с правно действие. Това е така, тъй като по силата на член 48, параграф 5 от Споразумението Съвместният комитет е задължен да приеме своя процедурен правилник, който е обвързващ за Съюза.</w:t>
      </w:r>
    </w:p>
    <w:p>
      <w:pPr>
        <w:widowControl w:val="0"/>
        <w:shd w:val="clear" w:color="auto" w:fill="FFFFFF"/>
        <w:autoSpaceDE w:val="0"/>
        <w:autoSpaceDN w:val="0"/>
        <w:adjustRightInd w:val="0"/>
        <w:spacing w:before="230" w:after="0" w:line="269" w:lineRule="exact"/>
        <w:ind w:right="86"/>
        <w:rPr>
          <w:noProof/>
        </w:rPr>
      </w:pPr>
      <w:r>
        <w:rPr>
          <w:noProof/>
        </w:rPr>
        <w:t>Предвидените актове не допълват, нито изменят институционалната рамка на Споразумението.</w:t>
      </w:r>
    </w:p>
    <w:p>
      <w:pPr>
        <w:widowControl w:val="0"/>
        <w:shd w:val="clear" w:color="auto" w:fill="FFFFFF"/>
        <w:autoSpaceDE w:val="0"/>
        <w:autoSpaceDN w:val="0"/>
        <w:adjustRightInd w:val="0"/>
        <w:spacing w:before="230" w:after="0" w:line="269" w:lineRule="exact"/>
        <w:ind w:right="86"/>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widowControl w:val="0"/>
        <w:shd w:val="clear" w:color="auto" w:fill="FFFFFF"/>
        <w:autoSpaceDE w:val="0"/>
        <w:autoSpaceDN w:val="0"/>
        <w:adjustRightInd w:val="0"/>
        <w:spacing w:before="230" w:after="0" w:line="269" w:lineRule="exact"/>
        <w:ind w:right="86"/>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предвидените актове, във връзка с които се заема позиция от името на Съюза. Ако един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widowControl w:val="0"/>
        <w:shd w:val="clear" w:color="auto" w:fill="FFFFFF"/>
        <w:autoSpaceDE w:val="0"/>
        <w:autoSpaceDN w:val="0"/>
        <w:adjustRightInd w:val="0"/>
        <w:spacing w:before="230" w:after="0" w:line="269" w:lineRule="exact"/>
        <w:ind w:right="86"/>
        <w:rPr>
          <w:noProof/>
        </w:rPr>
      </w:pPr>
      <w:r>
        <w:rPr>
          <w:noProof/>
        </w:rPr>
        <w:t>По отношение на акт, който преследва едновременно няколко цели или се състои от няколко части, които са неразривно свързани, без никоя от тях да е акцесорна по отношение на другите, материалноправното основание за решение съгласно член 218, параграф 9 от ДФЕС ще трябва, по изключение, да включва съответните различни правни основания.</w:t>
      </w:r>
    </w:p>
    <w:p>
      <w:pPr>
        <w:pStyle w:val="ManualHeading3"/>
        <w:rPr>
          <w:noProof/>
        </w:rPr>
      </w:pPr>
      <w:r>
        <w:t>4.2.2.</w:t>
      </w:r>
      <w:r>
        <w:tab/>
      </w:r>
      <w:r>
        <w:rPr>
          <w:noProof/>
        </w:rPr>
        <w:t>Прилагане в конкретния случай</w:t>
      </w:r>
    </w:p>
    <w:p>
      <w:pPr>
        <w:widowControl w:val="0"/>
        <w:shd w:val="clear" w:color="auto" w:fill="FFFFFF"/>
        <w:autoSpaceDE w:val="0"/>
        <w:autoSpaceDN w:val="0"/>
        <w:adjustRightInd w:val="0"/>
        <w:spacing w:before="230" w:after="0" w:line="269" w:lineRule="exact"/>
        <w:ind w:right="86"/>
        <w:rPr>
          <w:noProof/>
        </w:rPr>
      </w:pPr>
      <w:r>
        <w:rPr>
          <w:noProof/>
        </w:rPr>
        <w:t>Целта на предвидените актове е да се съдейства за постигането на целите на Споразумението и да се улесни неговото изпълнение. Един процедурен правилник се отнася до общото функциониране на орган, създаден въз основа на споразумение. Поради това областта, в която попада обжалваното решение, трябва да се определи с оглед на Споразумението като цяло</w:t>
      </w:r>
      <w:r>
        <w:rPr>
          <w:rStyle w:val="FootnoteReference"/>
          <w:noProof/>
        </w:rPr>
        <w:footnoteReference w:id="2"/>
      </w:r>
      <w:r>
        <w:rPr>
          <w:noProof/>
        </w:rPr>
        <w:t>.</w:t>
      </w:r>
    </w:p>
    <w:p>
      <w:pPr>
        <w:widowControl w:val="0"/>
        <w:shd w:val="clear" w:color="auto" w:fill="FFFFFF"/>
        <w:autoSpaceDE w:val="0"/>
        <w:autoSpaceDN w:val="0"/>
        <w:adjustRightInd w:val="0"/>
        <w:spacing w:before="230" w:after="0" w:line="269" w:lineRule="exact"/>
        <w:ind w:right="86"/>
        <w:rPr>
          <w:noProof/>
        </w:rPr>
      </w:pPr>
      <w:r>
        <w:rPr>
          <w:noProof/>
        </w:rPr>
        <w:t>В този конкретен случай преобладаващата цел и част на Споразумението е сътрудничество с развиваща се държава (член 209 от ДФЕС)</w:t>
      </w:r>
      <w:r>
        <w:rPr>
          <w:rStyle w:val="FootnoteReference"/>
          <w:noProof/>
        </w:rPr>
        <w:footnoteReference w:id="3"/>
      </w:r>
      <w:r>
        <w:rPr>
          <w:noProof/>
        </w:rPr>
        <w:t>. Поради това подходящото правно основание следва да бъде член 209 от ДФЕС.</w:t>
      </w:r>
    </w:p>
    <w:p>
      <w:pPr>
        <w:pStyle w:val="ManualHeading2"/>
        <w:rPr>
          <w:noProof/>
        </w:rPr>
      </w:pPr>
      <w:r>
        <w:t>4.3.</w:t>
      </w:r>
      <w:r>
        <w:tab/>
      </w:r>
      <w:r>
        <w:rPr>
          <w:noProof/>
        </w:rPr>
        <w:t>Заключение</w:t>
      </w:r>
    </w:p>
    <w:p>
      <w:pPr>
        <w:widowControl w:val="0"/>
        <w:shd w:val="clear" w:color="auto" w:fill="FFFFFF"/>
        <w:autoSpaceDE w:val="0"/>
        <w:autoSpaceDN w:val="0"/>
        <w:adjustRightInd w:val="0"/>
        <w:spacing w:before="230" w:after="0" w:line="269" w:lineRule="exact"/>
        <w:ind w:right="86"/>
        <w:rPr>
          <w:noProof/>
        </w:rPr>
      </w:pPr>
      <w:r>
        <w:rPr>
          <w:noProof/>
        </w:rPr>
        <w:t>Правното основание за предложеното решение следва да бъде член 209 от ДФЕС във връзка с член 218, параграф 9 от ДФЕС.</w:t>
      </w:r>
    </w:p>
    <w:p>
      <w:pPr>
        <w:pStyle w:val="ManualHeading1"/>
        <w:rPr>
          <w:noProof/>
        </w:rPr>
      </w:pPr>
      <w:r>
        <w:t>5.</w:t>
      </w:r>
      <w:r>
        <w:tab/>
      </w:r>
      <w:r>
        <w:rPr>
          <w:noProof/>
        </w:rPr>
        <w:t>ПУБЛИКУВАНЕ НА ПРЕДВИДЕНИТЕ АКТОВЕ</w:t>
      </w:r>
    </w:p>
    <w:p>
      <w:pPr>
        <w:widowControl w:val="0"/>
        <w:shd w:val="clear" w:color="auto" w:fill="FFFFFF"/>
        <w:autoSpaceDE w:val="0"/>
        <w:autoSpaceDN w:val="0"/>
        <w:adjustRightInd w:val="0"/>
        <w:spacing w:before="230" w:after="0" w:line="269" w:lineRule="exact"/>
        <w:ind w:right="86"/>
        <w:rPr>
          <w:noProof/>
        </w:rPr>
      </w:pPr>
      <w:r>
        <w:rPr>
          <w:noProof/>
        </w:rPr>
        <w:t xml:space="preserve">Тъй като с акта на Съвместния комитет ще се определи неговият процедурен правилник, целесъобразно е след приемането му той да се публикува в Официален вестник на Европейския съюз.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2019/0098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Съвместния комитет, създаден с Рамковото споразумение за партньорство и сътрудничеството между Европейския съюз и неговите държави членки, от една страна, и Република Филипини, от друга страна, във връзка с приемането на решения относно процедурния правилник на Съвместния комитет и относно мандата на специализираните подкомитети</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w:t>
      </w:r>
      <w:r>
        <w:rPr>
          <w:noProof/>
          <w:color w:val="000000" w:themeColor="text1"/>
        </w:rPr>
        <w:t>209 във връзка с член 218, параграф 9</w:t>
      </w:r>
      <w:r>
        <w:rPr>
          <w:noProof/>
        </w:rPr>
        <w:t xml:space="preserve">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color w:val="000000" w:themeColor="text1"/>
        </w:rPr>
        <w:t>Рамковото</w:t>
      </w:r>
      <w:r>
        <w:rPr>
          <w:noProof/>
        </w:rPr>
        <w:t xml:space="preserve"> споразумение за партньорство и сътрудничество между Европейския съюз и неговите държави членки, от една страна, и Република Филипини, от друга страна, </w:t>
      </w:r>
      <w:r>
        <w:rPr>
          <w:noProof/>
          <w:color w:val="000000" w:themeColor="text1"/>
        </w:rPr>
        <w:t>(наричано по-нататък „Споразумението“) влезе в сила на 1 март 2018</w:t>
      </w:r>
      <w:r>
        <w:rPr>
          <w:noProof/>
        </w:rPr>
        <w:t xml:space="preserve"> г</w:t>
      </w:r>
      <w:r>
        <w:t>.</w:t>
      </w:r>
    </w:p>
    <w:p>
      <w:pPr>
        <w:pStyle w:val="ManualConsidrant"/>
        <w:rPr>
          <w:noProof/>
        </w:rPr>
      </w:pPr>
      <w:r>
        <w:t>(2)</w:t>
      </w:r>
      <w:r>
        <w:tab/>
      </w:r>
      <w:r>
        <w:rPr>
          <w:noProof/>
        </w:rPr>
        <w:t>С член 48, параграф 1 от Споразумението се създава Съвместен комитет, който гарантира правилното действие и прилагане на Споразумението.</w:t>
      </w:r>
    </w:p>
    <w:p>
      <w:pPr>
        <w:pStyle w:val="ManualConsidrant"/>
        <w:rPr>
          <w:noProof/>
        </w:rPr>
      </w:pPr>
      <w:r>
        <w:t>(3)</w:t>
      </w:r>
      <w:r>
        <w:tab/>
      </w:r>
      <w:r>
        <w:rPr>
          <w:noProof/>
        </w:rPr>
        <w:t>В член 48, параграф 5 от Споразумението се предвижда, че Съвместният комитет следва да приеме свой процедурен правилник, а в член 48, параграф 3 — че той може да създава специализирани подкомитети.</w:t>
      </w:r>
    </w:p>
    <w:p>
      <w:pPr>
        <w:pStyle w:val="ManualConsidrant"/>
        <w:rPr>
          <w:noProof/>
        </w:rPr>
      </w:pPr>
      <w:r>
        <w:t>(4)</w:t>
      </w:r>
      <w:r>
        <w:tab/>
      </w:r>
      <w:r>
        <w:rPr>
          <w:noProof/>
        </w:rPr>
        <w:t>С цел да се гарантира ефективното прилагане на Споразумението, процедурният правилник на Съвместния комитет следва да бъде приет възможно най-скоро.</w:t>
      </w:r>
    </w:p>
    <w:p>
      <w:pPr>
        <w:pStyle w:val="ManualConsidrant"/>
        <w:rPr>
          <w:noProof/>
        </w:rPr>
      </w:pPr>
      <w:r>
        <w:t>(5)</w:t>
      </w:r>
      <w:r>
        <w:tab/>
      </w:r>
      <w:r>
        <w:rPr>
          <w:noProof/>
        </w:rPr>
        <w:t>Поради това е целесъобразно да се определи позицията, която да бъде заета от името на Съюза в рамките на Съвместния комитет. Позицията на Съюза в рамките на Съвместния комитет следва да се основава на приложените проекти на решения на Съвместния комитет,</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color w:val="000000" w:themeColor="text1"/>
        </w:rPr>
      </w:pPr>
      <w:r>
        <w:rPr>
          <w:noProof/>
        </w:rPr>
        <w:t>Позицията относно планираното приемане на процедурния правилник на Съвместния комитет и относно приемането на мандата на неговите подкомитети, която да бъде заета от името на Съюза на първото заседание на Съвместния комитет ЕС—Филипини, се основава на проектите на решения на Съвместния комитет, приложени към настоящото решение.</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Дело C-399/12 Германия/Съвет (OIV), ECLI:EU:C:2014:2258, т. 61—64.</w:t>
      </w:r>
    </w:p>
  </w:footnote>
  <w:footnote w:id="2">
    <w:p>
      <w:pPr>
        <w:pStyle w:val="FootnoteText"/>
      </w:pPr>
      <w:r>
        <w:rPr>
          <w:rStyle w:val="FootnoteReference"/>
        </w:rPr>
        <w:footnoteRef/>
      </w:r>
      <w:r>
        <w:tab/>
        <w:t xml:space="preserve">Дело C-244/17 Комисия/Съвет (Казахстан), </w:t>
      </w:r>
      <w:r>
        <w:rPr>
          <w:rStyle w:val="outputecli"/>
        </w:rPr>
        <w:t>ECLI:EU:C:2018:662, точка 40.</w:t>
      </w:r>
    </w:p>
  </w:footnote>
  <w:footnote w:id="3">
    <w:p>
      <w:pPr>
        <w:pStyle w:val="FootnoteText"/>
      </w:pPr>
      <w:r>
        <w:rPr>
          <w:rStyle w:val="FootnoteReference"/>
        </w:rPr>
        <w:footnoteRef/>
      </w:r>
      <w:r>
        <w:tab/>
        <w:t>За обхвата на политиката на развитие вж. дело C-377/12, Комисията/Съвет (Филипини), т. 36—37.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D466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24A9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240E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942A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7C42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3EFE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8A4318"/>
    <w:lvl w:ilvl="0">
      <w:start w:val="1"/>
      <w:numFmt w:val="decimal"/>
      <w:pStyle w:val="ListNumber"/>
      <w:lvlText w:val="%1."/>
      <w:lvlJc w:val="left"/>
      <w:pPr>
        <w:tabs>
          <w:tab w:val="num" w:pos="360"/>
        </w:tabs>
        <w:ind w:left="360" w:hanging="360"/>
      </w:pPr>
    </w:lvl>
  </w:abstractNum>
  <w:abstractNum w:abstractNumId="7">
    <w:nsid w:val="FFFFFF89"/>
    <w:multiLevelType w:val="singleLevel"/>
    <w:tmpl w:val="9F760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MGART Lukasz (SJ)">
    <w15:presenceInfo w15:providerId="None" w15:userId="BAUMGART Lukasz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5 11:43: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F8DAB12-EE1A-4136-B4F0-B6735251CA71"/>
    <w:docVar w:name="LW_COVERPAGE_TYPE" w:val="1"/>
    <w:docVar w:name="LW_CROSSREFERENCE" w:val="&lt;UNUSED&gt;"/>
    <w:docVar w:name="LW_DocType" w:val="COM"/>
    <w:docVar w:name="LW_EMISSION" w:val="29.4.2019"/>
    <w:docVar w:name="LW_EMISSION_ISODATE" w:val="2019-04-2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8"/>
    <w:docVar w:name="LW_REF.II.NEW.CP_YEAR" w:val="2019"/>
    <w:docVar w:name="LW_REF.INST.NEW" w:val="COM"/>
    <w:docVar w:name="LW_REF.INST.NEW_ADOPTED" w:val="final"/>
    <w:docVar w:name="LW_REF.INST.NEW_TEXT" w:val="(2019)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 \u1056?\u1072?\u1084?\u1082?\u1086?\u1074?\u1086?\u1090?\u1086? \u1089?\u1087?\u1086?\u1088?\u1072?\u1079?\u1091?\u1084?\u1077?\u1085?\u1080?\u1077? \u1079?\u1072? \u1087?\u1072?\u1088?\u1090?\u1085?\u1100?\u1086?\u1088?\u1089?\u1090?\u1074?\u1086? \u1080? \u1089?\u1098?\u1090?\u1088?\u1091?\u1076?\u1085?\u1080?\u1095?\u1077?\u1089?\u1090?\u1074?\u1086?\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60?\u1080?\u1083?\u1080?\u1087?\u1080?\u1085?\u1080?, \u1086?\u1090? \u1076?\u1088?\u1091?\u1075?\u1072? \u1089?\u1090?\u1088?\u1072?\u1085?\u1072?, \u1074?\u1098?\u1074? \u1074?\u1088?\u1098?\u1079?\u1082?\u1072? \u1089? \u1087?\u1088?\u1080?\u1077?\u1084?\u1072?\u1085?\u1077?\u1090?\u1086? \u1085?\u1072? \u1088?\u1077?\u1096?\u1077?\u1085?\u1080?\u1103? \u1086?\u1090?\u1085?\u1086?\u1089?\u1085?\u1086? \u1087?\u1088?\u1086?\u1094?\u1077?\u1076?\u1091?\u1088?\u1085?\u1080?\u1103? \u1087?\u1088?\u1072?\u1074?\u1080?\u1083?\u1085?\u1080?\u1082? \u1085?\u1072? \u1057?\u1098?\u1074?\u1084?\u1077?\u1089?\u1090?\u1085?\u1080?\u1103? \u1082?\u1086?\u1084?\u1080?\u1090?\u1077?\u1090? \u1080? \u1086?\u1090?\u1085?\u1086?\u1089?\u1085?\u1086? \u1084?\u1072?\u1085?\u1076?\u1072?\u1090?\u1072? \u1085?\u1072? \u1089?\u1087?\u1077?\u1094?\u1080?\u1072?\u1083?\u1080?\u1079?\u1080?\u1088?\u1072?\u1085?\u1080?\u1090?\u1077? \u1087?\u1086?\u1076?\u1082?\u1086?\u1084?\u1080?\u1090?\u1077?\u1090?\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qd">
    <w:name w:val="Heqd"/>
    <w:basedOn w:val="Normal"/>
    <w:pPr>
      <w:widowControl w:val="0"/>
      <w:shd w:val="clear" w:color="auto" w:fill="FFFFFF"/>
      <w:autoSpaceDE w:val="0"/>
      <w:autoSpaceDN w:val="0"/>
      <w:adjustRightInd w:val="0"/>
      <w:spacing w:before="230" w:after="0" w:line="269" w:lineRule="exact"/>
      <w:ind w:right="86"/>
    </w:pPr>
    <w:rPr>
      <w:rFonts w:eastAsiaTheme="majorEastAsia"/>
      <w:b/>
      <w:bCs/>
      <w:szCs w:val="2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outputecli">
    <w:name w:val="outputecli"/>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qd">
    <w:name w:val="Heqd"/>
    <w:basedOn w:val="Normal"/>
    <w:pPr>
      <w:widowControl w:val="0"/>
      <w:shd w:val="clear" w:color="auto" w:fill="FFFFFF"/>
      <w:autoSpaceDE w:val="0"/>
      <w:autoSpaceDN w:val="0"/>
      <w:adjustRightInd w:val="0"/>
      <w:spacing w:before="230" w:after="0" w:line="269" w:lineRule="exact"/>
      <w:ind w:right="86"/>
    </w:pPr>
    <w:rPr>
      <w:rFonts w:eastAsiaTheme="majorEastAsia"/>
      <w:b/>
      <w:bCs/>
      <w:szCs w:val="2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outputecli">
    <w:name w:val="outputecli"/>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5F0E0-C98A-49C4-AEC4-4AFE7739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1245</Words>
  <Characters>7202</Characters>
  <Application>Microsoft Office Word</Application>
  <DocSecurity>0</DocSecurity>
  <Lines>146</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2019-02-06T13:35:00Z</cp:lastPrinted>
  <dcterms:created xsi:type="dcterms:W3CDTF">2019-04-24T06:51:00Z</dcterms:created>
  <dcterms:modified xsi:type="dcterms:W3CDTF">2019-04-25T09:43:00Z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