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EBDB6D06-7315-4E67-9CE6-48DDAF94EB68"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des matières</w:t>
          </w:r>
        </w:p>
        <w:p>
          <w:pPr>
            <w:rPr>
              <w:noProof/>
            </w:rPr>
          </w:pP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5800866"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La procédure budgétaire 2019 pour le FEAGA</w:t>
            </w:r>
            <w:r>
              <w:rPr>
                <w:noProof/>
                <w:webHidden/>
              </w:rPr>
              <w:tab/>
            </w:r>
            <w:r>
              <w:rPr>
                <w:noProof/>
                <w:webHidden/>
              </w:rPr>
              <w:fldChar w:fldCharType="begin"/>
            </w:r>
            <w:r>
              <w:rPr>
                <w:noProof/>
                <w:webHidden/>
              </w:rPr>
              <w:instrText xml:space="preserve"> PAGEREF _Toc5800866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800867"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Recettes affectées au FEAGA</w:t>
            </w:r>
            <w:r>
              <w:rPr>
                <w:noProof/>
                <w:webHidden/>
              </w:rPr>
              <w:tab/>
            </w:r>
            <w:r>
              <w:rPr>
                <w:noProof/>
                <w:webHidden/>
              </w:rPr>
              <w:fldChar w:fldCharType="begin"/>
            </w:r>
            <w:r>
              <w:rPr>
                <w:noProof/>
                <w:webHidden/>
              </w:rPr>
              <w:instrText xml:space="preserve"> PAGEREF _Toc5800867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800868"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Commentaires sur l'exécution provisoire du budget 2019 du FEAGA</w:t>
            </w:r>
            <w:r>
              <w:rPr>
                <w:noProof/>
                <w:webHidden/>
              </w:rPr>
              <w:tab/>
            </w:r>
            <w:r>
              <w:rPr>
                <w:noProof/>
                <w:webHidden/>
              </w:rPr>
              <w:fldChar w:fldCharType="begin"/>
            </w:r>
            <w:r>
              <w:rPr>
                <w:noProof/>
                <w:webHidden/>
              </w:rPr>
              <w:instrText xml:space="preserve"> PAGEREF _Toc5800868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GB" w:eastAsia="en-GB" w:bidi="ar-SA"/>
            </w:rPr>
          </w:pPr>
          <w:hyperlink w:anchor="_Toc5800869" w:history="1">
            <w:r>
              <w:rPr>
                <w:rStyle w:val="Hyperlink"/>
                <w:noProof/>
              </w:rPr>
              <w:t>3.1.</w:t>
            </w:r>
            <w:r>
              <w:rPr>
                <w:rFonts w:asciiTheme="minorHAnsi" w:eastAsiaTheme="minorEastAsia" w:hAnsiTheme="minorHAnsi" w:cstheme="minorBidi"/>
                <w:noProof/>
                <w:lang w:val="en-GB" w:eastAsia="en-GB" w:bidi="ar-SA"/>
              </w:rPr>
              <w:tab/>
            </w:r>
            <w:r>
              <w:rPr>
                <w:rStyle w:val="Hyperlink"/>
                <w:noProof/>
              </w:rPr>
              <w:t>Mesures de marché</w:t>
            </w:r>
            <w:r>
              <w:rPr>
                <w:noProof/>
                <w:webHidden/>
              </w:rPr>
              <w:tab/>
            </w:r>
            <w:r>
              <w:rPr>
                <w:noProof/>
                <w:webHidden/>
              </w:rPr>
              <w:fldChar w:fldCharType="begin"/>
            </w:r>
            <w:r>
              <w:rPr>
                <w:noProof/>
                <w:webHidden/>
              </w:rPr>
              <w:instrText xml:space="preserve"> PAGEREF _Toc5800869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0" w:history="1">
            <w:r>
              <w:rPr>
                <w:rStyle w:val="Hyperlink"/>
                <w:noProof/>
              </w:rPr>
              <w:t>3.1.1.</w:t>
            </w:r>
            <w:r>
              <w:rPr>
                <w:rFonts w:asciiTheme="minorHAnsi" w:eastAsiaTheme="minorEastAsia" w:hAnsiTheme="minorHAnsi" w:cstheme="minorBidi"/>
                <w:noProof/>
                <w:lang w:val="en-GB" w:eastAsia="en-GB" w:bidi="ar-SA"/>
              </w:rPr>
              <w:tab/>
            </w:r>
            <w:r>
              <w:rPr>
                <w:rStyle w:val="Hyperlink"/>
                <w:noProof/>
              </w:rPr>
              <w:t>Promotion</w:t>
            </w:r>
            <w:r>
              <w:rPr>
                <w:noProof/>
                <w:webHidden/>
              </w:rPr>
              <w:tab/>
            </w:r>
            <w:r>
              <w:rPr>
                <w:noProof/>
                <w:webHidden/>
              </w:rPr>
              <w:fldChar w:fldCharType="begin"/>
            </w:r>
            <w:r>
              <w:rPr>
                <w:noProof/>
                <w:webHidden/>
              </w:rPr>
              <w:instrText xml:space="preserve"> PAGEREF _Toc5800870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1" w:history="1">
            <w:r>
              <w:rPr>
                <w:rStyle w:val="Hyperlink"/>
                <w:noProof/>
              </w:rPr>
              <w:t>3.1.2.</w:t>
            </w:r>
            <w:r>
              <w:rPr>
                <w:rFonts w:asciiTheme="minorHAnsi" w:eastAsiaTheme="minorEastAsia" w:hAnsiTheme="minorHAnsi" w:cstheme="minorBidi"/>
                <w:noProof/>
                <w:lang w:val="en-GB" w:eastAsia="en-GB" w:bidi="ar-SA"/>
              </w:rPr>
              <w:tab/>
            </w:r>
            <w:r>
              <w:rPr>
                <w:rStyle w:val="Hyperlink"/>
                <w:noProof/>
              </w:rPr>
              <w:t>Fruits et légumes</w:t>
            </w:r>
            <w:r>
              <w:rPr>
                <w:noProof/>
                <w:webHidden/>
              </w:rPr>
              <w:tab/>
            </w:r>
            <w:r>
              <w:rPr>
                <w:noProof/>
                <w:webHidden/>
              </w:rPr>
              <w:fldChar w:fldCharType="begin"/>
            </w:r>
            <w:r>
              <w:rPr>
                <w:noProof/>
                <w:webHidden/>
              </w:rPr>
              <w:instrText xml:space="preserve"> PAGEREF _Toc5800871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2" w:history="1">
            <w:r>
              <w:rPr>
                <w:rStyle w:val="Hyperlink"/>
                <w:noProof/>
              </w:rPr>
              <w:t>3.1.3.</w:t>
            </w:r>
            <w:r>
              <w:rPr>
                <w:rFonts w:asciiTheme="minorHAnsi" w:eastAsiaTheme="minorEastAsia" w:hAnsiTheme="minorHAnsi" w:cstheme="minorBidi"/>
                <w:noProof/>
                <w:lang w:val="en-GB" w:eastAsia="en-GB" w:bidi="ar-SA"/>
              </w:rPr>
              <w:tab/>
            </w:r>
            <w:r>
              <w:rPr>
                <w:rStyle w:val="Hyperlink"/>
                <w:noProof/>
              </w:rPr>
              <w:t>Produits du secteur vitivinicole</w:t>
            </w:r>
            <w:r>
              <w:rPr>
                <w:noProof/>
                <w:webHidden/>
              </w:rPr>
              <w:tab/>
            </w:r>
            <w:r>
              <w:rPr>
                <w:noProof/>
                <w:webHidden/>
              </w:rPr>
              <w:fldChar w:fldCharType="begin"/>
            </w:r>
            <w:r>
              <w:rPr>
                <w:noProof/>
                <w:webHidden/>
              </w:rPr>
              <w:instrText xml:space="preserve"> PAGEREF _Toc5800872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3" w:history="1">
            <w:r>
              <w:rPr>
                <w:rStyle w:val="Hyperlink"/>
                <w:noProof/>
              </w:rPr>
              <w:t>3.1.4.</w:t>
            </w:r>
            <w:r>
              <w:rPr>
                <w:rFonts w:asciiTheme="minorHAnsi" w:eastAsiaTheme="minorEastAsia" w:hAnsiTheme="minorHAnsi" w:cstheme="minorBidi"/>
                <w:noProof/>
                <w:lang w:val="en-GB" w:eastAsia="en-GB" w:bidi="ar-SA"/>
              </w:rPr>
              <w:tab/>
            </w:r>
            <w:r>
              <w:rPr>
                <w:rStyle w:val="Hyperlink"/>
                <w:noProof/>
              </w:rPr>
              <w:t>Autres produits végétaux et autres mesures</w:t>
            </w:r>
            <w:r>
              <w:rPr>
                <w:noProof/>
                <w:webHidden/>
              </w:rPr>
              <w:tab/>
            </w:r>
            <w:r>
              <w:rPr>
                <w:noProof/>
                <w:webHidden/>
              </w:rPr>
              <w:fldChar w:fldCharType="begin"/>
            </w:r>
            <w:r>
              <w:rPr>
                <w:noProof/>
                <w:webHidden/>
              </w:rPr>
              <w:instrText xml:space="preserve"> PAGEREF _Toc5800873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4" w:history="1">
            <w:r>
              <w:rPr>
                <w:rStyle w:val="Hyperlink"/>
                <w:noProof/>
              </w:rPr>
              <w:t>3.1.5.</w:t>
            </w:r>
            <w:r>
              <w:rPr>
                <w:rFonts w:asciiTheme="minorHAnsi" w:eastAsiaTheme="minorEastAsia" w:hAnsiTheme="minorHAnsi" w:cstheme="minorBidi"/>
                <w:noProof/>
                <w:lang w:val="en-GB" w:eastAsia="en-GB" w:bidi="ar-SA"/>
              </w:rPr>
              <w:tab/>
            </w:r>
            <w:r>
              <w:rPr>
                <w:rStyle w:val="Hyperlink"/>
                <w:noProof/>
              </w:rPr>
              <w:t>Lait et produits laitiers</w:t>
            </w:r>
            <w:r>
              <w:rPr>
                <w:noProof/>
                <w:webHidden/>
              </w:rPr>
              <w:tab/>
            </w:r>
            <w:r>
              <w:rPr>
                <w:noProof/>
                <w:webHidden/>
              </w:rPr>
              <w:fldChar w:fldCharType="begin"/>
            </w:r>
            <w:r>
              <w:rPr>
                <w:noProof/>
                <w:webHidden/>
              </w:rPr>
              <w:instrText xml:space="preserve"> PAGEREF _Toc5800874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val="en-GB" w:eastAsia="en-GB" w:bidi="ar-SA"/>
            </w:rPr>
          </w:pPr>
          <w:hyperlink w:anchor="_Toc5800875" w:history="1">
            <w:r>
              <w:rPr>
                <w:rStyle w:val="Hyperlink"/>
                <w:noProof/>
              </w:rPr>
              <w:t>3.2.</w:t>
            </w:r>
            <w:r>
              <w:rPr>
                <w:rFonts w:asciiTheme="minorHAnsi" w:eastAsiaTheme="minorEastAsia" w:hAnsiTheme="minorHAnsi" w:cstheme="minorBidi"/>
                <w:noProof/>
                <w:lang w:val="en-GB" w:eastAsia="en-GB" w:bidi="ar-SA"/>
              </w:rPr>
              <w:tab/>
            </w:r>
            <w:r>
              <w:rPr>
                <w:rStyle w:val="Hyperlink"/>
                <w:noProof/>
              </w:rPr>
              <w:t>Paiements directs</w:t>
            </w:r>
            <w:r>
              <w:rPr>
                <w:noProof/>
                <w:webHidden/>
              </w:rPr>
              <w:tab/>
            </w:r>
            <w:r>
              <w:rPr>
                <w:noProof/>
                <w:webHidden/>
              </w:rPr>
              <w:fldChar w:fldCharType="begin"/>
            </w:r>
            <w:r>
              <w:rPr>
                <w:noProof/>
                <w:webHidden/>
              </w:rPr>
              <w:instrText xml:space="preserve"> PAGEREF _Toc5800875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6" w:history="1">
            <w:r>
              <w:rPr>
                <w:rStyle w:val="Hyperlink"/>
                <w:noProof/>
              </w:rPr>
              <w:t>3.2.1.</w:t>
            </w:r>
            <w:r>
              <w:rPr>
                <w:rFonts w:asciiTheme="minorHAnsi" w:eastAsiaTheme="minorEastAsia" w:hAnsiTheme="minorHAnsi" w:cstheme="minorBidi"/>
                <w:noProof/>
                <w:lang w:val="en-GB" w:eastAsia="en-GB" w:bidi="ar-SA"/>
              </w:rPr>
              <w:tab/>
            </w:r>
            <w:r>
              <w:rPr>
                <w:rStyle w:val="Hyperlink"/>
                <w:noProof/>
              </w:rPr>
              <w:t>Paiements directs découplés</w:t>
            </w:r>
            <w:r>
              <w:rPr>
                <w:noProof/>
                <w:webHidden/>
              </w:rPr>
              <w:tab/>
            </w:r>
            <w:r>
              <w:rPr>
                <w:noProof/>
                <w:webHidden/>
              </w:rPr>
              <w:fldChar w:fldCharType="begin"/>
            </w:r>
            <w:r>
              <w:rPr>
                <w:noProof/>
                <w:webHidden/>
              </w:rPr>
              <w:instrText xml:space="preserve"> PAGEREF _Toc5800876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val="en-GB" w:eastAsia="en-GB" w:bidi="ar-SA"/>
            </w:rPr>
          </w:pPr>
          <w:hyperlink w:anchor="_Toc5800877" w:history="1">
            <w:r>
              <w:rPr>
                <w:rStyle w:val="Hyperlink"/>
                <w:noProof/>
              </w:rPr>
              <w:t>3.2.2.</w:t>
            </w:r>
            <w:r>
              <w:rPr>
                <w:rFonts w:asciiTheme="minorHAnsi" w:eastAsiaTheme="minorEastAsia" w:hAnsiTheme="minorHAnsi" w:cstheme="minorBidi"/>
                <w:noProof/>
                <w:lang w:val="en-GB" w:eastAsia="en-GB" w:bidi="ar-SA"/>
              </w:rPr>
              <w:tab/>
            </w:r>
            <w:r>
              <w:rPr>
                <w:rStyle w:val="Hyperlink"/>
                <w:noProof/>
              </w:rPr>
              <w:t>Autres paiements directs</w:t>
            </w:r>
            <w:r>
              <w:rPr>
                <w:noProof/>
                <w:webHidden/>
              </w:rPr>
              <w:tab/>
            </w:r>
            <w:r>
              <w:rPr>
                <w:noProof/>
                <w:webHidden/>
              </w:rPr>
              <w:fldChar w:fldCharType="begin"/>
            </w:r>
            <w:r>
              <w:rPr>
                <w:noProof/>
                <w:webHidden/>
              </w:rPr>
              <w:instrText xml:space="preserve"> PAGEREF _Toc5800877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800878"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_Toc5800878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5800879"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Conclusions</w:t>
            </w:r>
            <w:r>
              <w:rPr>
                <w:noProof/>
                <w:webHidden/>
              </w:rPr>
              <w:tab/>
            </w:r>
            <w:r>
              <w:rPr>
                <w:noProof/>
                <w:webHidden/>
              </w:rPr>
              <w:fldChar w:fldCharType="begin"/>
            </w:r>
            <w:r>
              <w:rPr>
                <w:noProof/>
                <w:webHidden/>
              </w:rPr>
              <w:instrText xml:space="preserve"> PAGEREF _Toc5800879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annexe 1:</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Consommation provisoire des crédits du FEAGA jusqu’au 31.1.2019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5008859"/>
      <w:bookmarkStart w:id="5" w:name="_Toc5800866"/>
      <w:bookmarkStart w:id="6" w:name="_Toc244054012"/>
      <w:bookmarkStart w:id="7" w:name="_Toc244054013"/>
      <w:r>
        <w:rPr>
          <w:noProof/>
        </w:rPr>
        <w:t>La procédure budgétaire 2019 pour le FEAGA</w:t>
      </w:r>
      <w:bookmarkEnd w:id="2"/>
      <w:bookmarkEnd w:id="3"/>
      <w:bookmarkEnd w:id="4"/>
      <w:bookmarkEnd w:id="5"/>
    </w:p>
    <w:p>
      <w:pPr>
        <w:pStyle w:val="Text1"/>
        <w:rPr>
          <w:noProof/>
        </w:rPr>
      </w:pPr>
      <w:r>
        <w:rPr>
          <w:noProof/>
        </w:rPr>
        <w:t>Le 12 décembre 2018, le Parlement européen a adopté le budget général 2019 de l’Union européenne. Le budget comprenait des crédits d’engagement et des crédits de paiement pour le Fonds européen agricole de garantie (FEAGA) s’élevant respectivement à 43 192 millions d’EUR et à 43 116 millions d’EUR pour les paiements directs et les dépenses relatives au marché.</w:t>
      </w:r>
    </w:p>
    <w:p>
      <w:pPr>
        <w:pStyle w:val="Text1"/>
        <w:rPr>
          <w:noProof/>
        </w:rPr>
      </w:pPr>
      <w:r>
        <w:rPr>
          <w:noProof/>
        </w:rPr>
        <w:t>La raison pour laquelle les montants sont différents pour les deux types de crédits réside dans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rPr>
      </w:pPr>
      <w:bookmarkStart w:id="8" w:name="_Toc413145208"/>
      <w:bookmarkStart w:id="9" w:name="_Toc5008860"/>
      <w:bookmarkStart w:id="10" w:name="_Toc5800867"/>
      <w:bookmarkEnd w:id="6"/>
      <w:r>
        <w:rPr>
          <w:noProof/>
        </w:rPr>
        <w:t>Recettes affectées au FEAGA</w:t>
      </w:r>
      <w:bookmarkEnd w:id="7"/>
      <w:bookmarkEnd w:id="8"/>
      <w:bookmarkEnd w:id="9"/>
      <w:bookmarkEnd w:id="10"/>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Conformément à ces dispositions, les recettes affectées peuvent couvrir les besoins de financement pour toutes les dépenses du FEAGA. Toute partie non utilisée de ces recettes dans le cadre de l'exercice budgétaire est automatiquement reportée sur l'exercice budgétaire suivant</w:t>
      </w:r>
      <w:r>
        <w:rPr>
          <w:rFonts w:ascii="Times New Roman" w:hAnsi="Times New Roman"/>
          <w:noProof/>
          <w:sz w:val="24"/>
          <w:vertAlign w:val="superscript"/>
        </w:rPr>
        <w:footnoteReference w:id="1"/>
      </w:r>
      <w:r>
        <w:rPr>
          <w:rFonts w:ascii="Times New Roman" w:hAnsi="Times New Roman"/>
          <w:noProof/>
          <w:sz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rPr>
        <w:t>Le budget du FEAGA pour 2019 comprend:</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estimations des recettes affectées à percevoir au cours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et 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sa proposition relative aux crédits à allouer au FEAGA pour le budget 2019,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Lors de l'établissement du budget pour 2019, les recettes affectées disponibles s'élevant, d'après les estimations de la Commission, à 1 078 millions d’EUR, se composaient: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qui devaient être générées durant l’exercice budgétaire 2019, estimé à 634 millions d’EUR (499 millions d’EUR au titre de corrections pour apurement de conformité et un montant de 135 millions d’EUR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du montant des recettes affectées à reporter de 2018, estimé à 444 millions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La Commission a affecté ces recettes estimées à 1 078 millions d’EUR aux régimes suivants: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140 millions d’EUR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 xml:space="preserve">un montant de 938 millions d’EUR au régime de paiement de base.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849 millions d’EUR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rPr>
        <w:t>un montant de 17 149 millions d’EUR affecté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Dans l'annexe, qui présente l'exécution provisoire du budget de 2019,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715 millions d’EUR et 34 388 millions d’EUR.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Si l’on inclut les recettes affectées à ces articles, les montants totaux prévus dans le cadre du budget 2019 s'élèvent à 855 millions d’EUR pour les fruits et légumes et à 35 326 millions d’EUR pour les paiements directs découplés. </w:t>
      </w:r>
    </w:p>
    <w:p>
      <w:pPr>
        <w:pStyle w:val="Heading1"/>
        <w:rPr>
          <w:noProof/>
        </w:rPr>
      </w:pPr>
      <w:bookmarkStart w:id="11" w:name="_Toc244054015"/>
      <w:bookmarkStart w:id="12" w:name="_Toc413145209"/>
      <w:bookmarkStart w:id="13" w:name="_Toc5008861"/>
      <w:bookmarkStart w:id="14" w:name="_Toc5800868"/>
      <w:r>
        <w:rPr>
          <w:noProof/>
        </w:rPr>
        <w:t>Commentaires sur l'exécution provisoire du budget 2019 du FEAGA</w:t>
      </w:r>
      <w:bookmarkEnd w:id="11"/>
      <w:bookmarkEnd w:id="12"/>
      <w:bookmarkEnd w:id="13"/>
      <w:bookmarkEnd w:id="14"/>
    </w:p>
    <w:p>
      <w:pPr>
        <w:spacing w:before="120" w:after="120" w:line="240" w:lineRule="auto"/>
        <w:ind w:left="850"/>
        <w:jc w:val="both"/>
        <w:rPr>
          <w:rFonts w:ascii="Times New Roman" w:eastAsia="Times New Roman" w:hAnsi="Times New Roman"/>
          <w:noProof/>
          <w:sz w:val="24"/>
          <w:szCs w:val="24"/>
        </w:rPr>
      </w:pPr>
      <w:bookmarkStart w:id="15" w:name="_Toc244054016"/>
      <w:r>
        <w:rPr>
          <w:rFonts w:ascii="Times New Roman" w:hAnsi="Times New Roman"/>
          <w:noProof/>
          <w:sz w:val="24"/>
        </w:rPr>
        <w:t>L’annexe du présent rapport montre l’exécution provisoire du budget pour la période allant du 16 octobre 2018 au 31 janvier 2019. Il est procédé à une comparaison du niveau d’exécution avec le profil des dépenses du système d’alerte précoce (SAP) établi conformément à l’article 28 du règlement (UE) n°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6" w:name="_Toc5008862"/>
      <w:bookmarkStart w:id="17" w:name="_Toc5800869"/>
      <w:r>
        <w:rPr>
          <w:noProof/>
        </w:rPr>
        <w:t>Mesures de marché</w:t>
      </w:r>
      <w:bookmarkEnd w:id="15"/>
      <w:bookmarkEnd w:id="16"/>
      <w:bookmarkEnd w:id="17"/>
    </w:p>
    <w:p>
      <w:pPr>
        <w:pStyle w:val="Text1"/>
        <w:rPr>
          <w:noProof/>
        </w:rPr>
      </w:pPr>
      <w:r>
        <w:rPr>
          <w:noProof/>
        </w:rPr>
        <w:t>L’exécution des crédits relatifs aux interventions sur les marchés agricoles a été inférieure aux prévisions, de 152 millions d’EUR. Cela s’explique principalement par une plus faible utilisation des crédits dans l’article budgétaire relatif à la promotion des produits agricoles (voir le point 3.1.1).</w:t>
      </w:r>
    </w:p>
    <w:p>
      <w:pPr>
        <w:pStyle w:val="Heading3"/>
        <w:rPr>
          <w:noProof/>
        </w:rPr>
      </w:pPr>
      <w:bookmarkStart w:id="18" w:name="_Toc525722902"/>
      <w:bookmarkStart w:id="19" w:name="_Toc525734906"/>
      <w:bookmarkStart w:id="20" w:name="_Toc525736637"/>
      <w:bookmarkStart w:id="21" w:name="_Toc526175165"/>
      <w:bookmarkStart w:id="22" w:name="_Toc5008863"/>
      <w:bookmarkStart w:id="23" w:name="_Toc5800870"/>
      <w:bookmarkEnd w:id="18"/>
      <w:bookmarkEnd w:id="19"/>
      <w:bookmarkEnd w:id="20"/>
      <w:bookmarkEnd w:id="21"/>
      <w:r>
        <w:rPr>
          <w:noProof/>
        </w:rPr>
        <w:t>Promotion</w:t>
      </w:r>
      <w:bookmarkEnd w:id="22"/>
      <w:bookmarkEnd w:id="23"/>
    </w:p>
    <w:p>
      <w:pPr>
        <w:pStyle w:val="Text1"/>
        <w:rPr>
          <w:noProof/>
        </w:rPr>
      </w:pPr>
      <w:r>
        <w:rPr>
          <w:noProof/>
        </w:rPr>
        <w:t>Le profil des dépenses prévoyait que l’engagement financier des crédits budgétaires pour les programmes dits «multiples» aurait lieu en janvier. Toutefois, seule une partie du montant total a été engagée avant la fin du mois de janvier, ce qui explique la différence de 112 millions d’EUR par rapport au profil.</w:t>
      </w:r>
    </w:p>
    <w:p>
      <w:pPr>
        <w:pStyle w:val="Heading3"/>
        <w:rPr>
          <w:noProof/>
        </w:rPr>
      </w:pPr>
      <w:bookmarkStart w:id="24" w:name="_Toc5008864"/>
      <w:bookmarkStart w:id="25" w:name="_Toc5800871"/>
      <w:r>
        <w:rPr>
          <w:noProof/>
        </w:rPr>
        <w:t>Fruits et légumes</w:t>
      </w:r>
      <w:bookmarkEnd w:id="24"/>
      <w:bookmarkEnd w:id="25"/>
    </w:p>
    <w:p>
      <w:pPr>
        <w:pStyle w:val="Text1"/>
        <w:rPr>
          <w:noProof/>
        </w:rPr>
      </w:pPr>
      <w:r>
        <w:rPr>
          <w:noProof/>
        </w:rPr>
        <w:t>L’exécution dans ce secteur est en bonne voie, les dépenses déclarées dépassant de 8 millions d’EUR le profil.</w:t>
      </w:r>
    </w:p>
    <w:p>
      <w:pPr>
        <w:pStyle w:val="Heading3"/>
        <w:rPr>
          <w:noProof/>
        </w:rPr>
      </w:pPr>
      <w:bookmarkStart w:id="26" w:name="_Toc5008865"/>
      <w:bookmarkStart w:id="27" w:name="_Toc5800872"/>
      <w:r>
        <w:rPr>
          <w:noProof/>
        </w:rPr>
        <w:t>Produits du secteur vitivinicole</w:t>
      </w:r>
      <w:bookmarkEnd w:id="26"/>
      <w:bookmarkEnd w:id="27"/>
    </w:p>
    <w:p>
      <w:pPr>
        <w:pStyle w:val="Text1"/>
        <w:rPr>
          <w:noProof/>
        </w:rPr>
      </w:pPr>
      <w:r>
        <w:rPr>
          <w:noProof/>
        </w:rPr>
        <w:t>Pour cet article, les dépenses déclarées jusqu’à présent sont inférieures de 2 points de pourcentage ou de 23 millions d’EUR par rapport au profil des dépenses.</w:t>
      </w:r>
    </w:p>
    <w:p>
      <w:pPr>
        <w:pStyle w:val="Text1"/>
        <w:rPr>
          <w:noProof/>
        </w:rPr>
      </w:pPr>
      <w:r>
        <w:rPr>
          <w:noProof/>
        </w:rPr>
        <w:t>Le faible écart est considéré comme temporaire et le montant budgétisé devrait être mis en œuvre vers la fin de l’année.</w:t>
      </w:r>
    </w:p>
    <w:p>
      <w:pPr>
        <w:pStyle w:val="Heading3"/>
        <w:rPr>
          <w:noProof/>
        </w:rPr>
      </w:pPr>
      <w:bookmarkStart w:id="28" w:name="_Toc5008866"/>
      <w:bookmarkStart w:id="29" w:name="_Toc5800873"/>
      <w:r>
        <w:rPr>
          <w:noProof/>
        </w:rPr>
        <w:t>Autres produits végétaux et autres mesures</w:t>
      </w:r>
      <w:bookmarkEnd w:id="28"/>
      <w:bookmarkEnd w:id="29"/>
    </w:p>
    <w:p>
      <w:pPr>
        <w:pStyle w:val="Text1"/>
        <w:rPr>
          <w:noProof/>
        </w:rPr>
      </w:pPr>
      <w:r>
        <w:rPr>
          <w:noProof/>
        </w:rPr>
        <w:t>Les dépenses déclarées sont inférieures de 6 points de pourcentage ou de 14 millions d’EUR par rapport au profil des dépenses. Les paiements POSEI (programmes spécifiques aux régions ultrapériphériques) sont inférieurs aux prévisions.</w:t>
      </w:r>
    </w:p>
    <w:p>
      <w:pPr>
        <w:pStyle w:val="Text1"/>
        <w:rPr>
          <w:noProof/>
        </w:rPr>
      </w:pPr>
      <w:r>
        <w:rPr>
          <w:noProof/>
        </w:rPr>
        <w:t>Pour cet article également, l’écart est considéré comme temporaire et le montant budgétisé devrait être mis en œuvre vers la fin de l’année.</w:t>
      </w:r>
    </w:p>
    <w:p>
      <w:pPr>
        <w:pStyle w:val="Heading3"/>
        <w:rPr>
          <w:noProof/>
        </w:rPr>
      </w:pPr>
      <w:bookmarkStart w:id="30" w:name="_Toc5008867"/>
      <w:bookmarkStart w:id="31" w:name="_Toc5800874"/>
      <w:r>
        <w:rPr>
          <w:noProof/>
        </w:rPr>
        <w:t>Lait et produits laitiers</w:t>
      </w:r>
      <w:bookmarkEnd w:id="30"/>
      <w:bookmarkEnd w:id="31"/>
      <w:r>
        <w:rPr>
          <w:noProof/>
        </w:rPr>
        <w:t xml:space="preserve"> </w:t>
      </w:r>
    </w:p>
    <w:p>
      <w:pPr>
        <w:pStyle w:val="Text1"/>
        <w:rPr>
          <w:noProof/>
        </w:rPr>
      </w:pPr>
      <w:r>
        <w:rPr>
          <w:noProof/>
        </w:rPr>
        <w:t>L’écart par rapport au profil des dépenses s’explique par la déclaration de gains par les États membres (par rapport à la valeur comptable) sur les ventes de lait écrémé en poudre.</w:t>
      </w:r>
    </w:p>
    <w:p>
      <w:pPr>
        <w:pStyle w:val="Text1"/>
        <w:rPr>
          <w:noProof/>
        </w:rPr>
      </w:pPr>
    </w:p>
    <w:p>
      <w:pPr>
        <w:pStyle w:val="Heading2"/>
        <w:rPr>
          <w:noProof/>
        </w:rPr>
      </w:pPr>
      <w:bookmarkStart w:id="32" w:name="_Toc5008868"/>
      <w:bookmarkStart w:id="33" w:name="_Toc5800875"/>
      <w:bookmarkStart w:id="34" w:name="_Toc244054022"/>
      <w:r>
        <w:rPr>
          <w:noProof/>
        </w:rPr>
        <w:t>Paiements directs</w:t>
      </w:r>
      <w:bookmarkEnd w:id="32"/>
      <w:bookmarkEnd w:id="33"/>
      <w:r>
        <w:rPr>
          <w:noProof/>
        </w:rPr>
        <w:t xml:space="preserve"> </w:t>
      </w:r>
      <w:bookmarkEnd w:id="34"/>
    </w:p>
    <w:p>
      <w:pPr>
        <w:spacing w:before="120" w:after="120" w:line="240" w:lineRule="auto"/>
        <w:ind w:left="850"/>
        <w:jc w:val="both"/>
        <w:rPr>
          <w:rFonts w:ascii="Times New Roman" w:eastAsia="Times New Roman" w:hAnsi="Times New Roman"/>
          <w:noProof/>
          <w:sz w:val="24"/>
          <w:szCs w:val="24"/>
        </w:rPr>
      </w:pPr>
      <w:bookmarkStart w:id="35" w:name="_Toc244054023"/>
      <w:r>
        <w:rPr>
          <w:rFonts w:ascii="Times New Roman" w:hAnsi="Times New Roman"/>
          <w:noProof/>
          <w:sz w:val="24"/>
        </w:rPr>
        <w:t>L’exécution des crédits pour les paiements directs a dépassé le profil de consommation de 1 347 millions d’EUR ou de 3,4 points de pourcentage.</w:t>
      </w:r>
    </w:p>
    <w:p>
      <w:pPr>
        <w:pStyle w:val="Heading3"/>
        <w:rPr>
          <w:noProof/>
        </w:rPr>
      </w:pPr>
      <w:bookmarkStart w:id="36" w:name="_Toc5008869"/>
      <w:bookmarkStart w:id="37" w:name="_Toc5800876"/>
      <w:r>
        <w:rPr>
          <w:noProof/>
        </w:rPr>
        <w:t>Paiements directs découplés</w:t>
      </w:r>
      <w:bookmarkEnd w:id="36"/>
      <w:bookmarkEnd w:id="37"/>
    </w:p>
    <w:p>
      <w:pPr>
        <w:pStyle w:val="Text1"/>
        <w:rPr>
          <w:noProof/>
        </w:rPr>
      </w:pPr>
      <w:r>
        <w:rPr>
          <w:noProof/>
        </w:rPr>
        <w:t>Les dépenses déclarées dépassent le profil de 1 359 millions d’EUR ou de 4 points de pourcentage. Le paiement en faveur des agriculteurs dans les zones soumises à des contraintes naturelles est conforme au profil des dépenses, tandis que les dépenses pour les cinq autres régimes sont supérieures au profil. Le régime de paiement de base et le paiement en faveur des pratiques agricoles bénéfiques pour le climat et l’environnement représentent la majeure partie du budget initial, avec respectivement + 977 millions d’EUR et + 278 millions d’EUR.</w:t>
      </w:r>
    </w:p>
    <w:p>
      <w:pPr>
        <w:pStyle w:val="Heading3"/>
        <w:rPr>
          <w:noProof/>
        </w:rPr>
      </w:pPr>
      <w:bookmarkStart w:id="38" w:name="_Toc525734915"/>
      <w:bookmarkStart w:id="39" w:name="_Toc525736646"/>
      <w:bookmarkStart w:id="40" w:name="_Toc526175174"/>
      <w:bookmarkStart w:id="41" w:name="_Toc525734916"/>
      <w:bookmarkStart w:id="42" w:name="_Toc525736647"/>
      <w:bookmarkStart w:id="43" w:name="_Toc526175175"/>
      <w:bookmarkStart w:id="44" w:name="_Toc525734917"/>
      <w:bookmarkStart w:id="45" w:name="_Toc525736648"/>
      <w:bookmarkStart w:id="46" w:name="_Toc526175176"/>
      <w:bookmarkStart w:id="47" w:name="_Toc5008870"/>
      <w:bookmarkStart w:id="48" w:name="_Toc5800877"/>
      <w:bookmarkEnd w:id="38"/>
      <w:bookmarkEnd w:id="39"/>
      <w:bookmarkEnd w:id="40"/>
      <w:bookmarkEnd w:id="41"/>
      <w:bookmarkEnd w:id="42"/>
      <w:bookmarkEnd w:id="43"/>
      <w:bookmarkEnd w:id="44"/>
      <w:bookmarkEnd w:id="45"/>
      <w:bookmarkEnd w:id="46"/>
      <w:r>
        <w:rPr>
          <w:noProof/>
        </w:rPr>
        <w:t>Autres paiements directs</w:t>
      </w:r>
      <w:bookmarkEnd w:id="47"/>
      <w:bookmarkEnd w:id="48"/>
    </w:p>
    <w:p>
      <w:pPr>
        <w:spacing w:before="120" w:after="120" w:line="240" w:lineRule="auto"/>
        <w:ind w:left="850"/>
        <w:jc w:val="both"/>
        <w:rPr>
          <w:rFonts w:ascii="Times New Roman" w:eastAsia="Times New Roman" w:hAnsi="Times New Roman"/>
          <w:noProof/>
          <w:sz w:val="24"/>
          <w:szCs w:val="24"/>
        </w:rPr>
      </w:pPr>
      <w:bookmarkStart w:id="49" w:name="_Toc244054027"/>
      <w:bookmarkEnd w:id="35"/>
      <w:r>
        <w:rPr>
          <w:rFonts w:ascii="Times New Roman" w:hAnsi="Times New Roman"/>
          <w:noProof/>
          <w:sz w:val="24"/>
        </w:rPr>
        <w:t>Les dépenses déclarées au titre de cet article budgétaire sont conformes au profil.</w:t>
      </w:r>
    </w:p>
    <w:p>
      <w:pPr>
        <w:pStyle w:val="Heading1"/>
        <w:rPr>
          <w:noProof/>
        </w:rPr>
      </w:pPr>
      <w:bookmarkStart w:id="50" w:name="_Toc413145210"/>
      <w:bookmarkStart w:id="51" w:name="_Toc5008871"/>
      <w:bookmarkStart w:id="52" w:name="_Toc5800878"/>
      <w:r>
        <w:rPr>
          <w:noProof/>
        </w:rPr>
        <w:t>Exécution des recettes affectées au FEAGA</w:t>
      </w:r>
      <w:bookmarkEnd w:id="49"/>
      <w:bookmarkEnd w:id="50"/>
      <w:bookmarkEnd w:id="51"/>
      <w:bookmarkEnd w:id="52"/>
    </w:p>
    <w:p>
      <w:pPr>
        <w:spacing w:before="90" w:after="120" w:line="240" w:lineRule="auto"/>
        <w:ind w:left="851"/>
        <w:jc w:val="both"/>
        <w:rPr>
          <w:rFonts w:ascii="Times New Roman" w:eastAsia="Times New Roman" w:hAnsi="Times New Roman"/>
          <w:noProof/>
          <w:sz w:val="24"/>
          <w:szCs w:val="24"/>
        </w:rPr>
      </w:pPr>
      <w:bookmarkStart w:id="53" w:name="_Toc244054028"/>
      <w:r>
        <w:rPr>
          <w:rFonts w:ascii="Times New Roman" w:hAnsi="Times New Roman"/>
          <w:noProof/>
          <w:sz w:val="24"/>
        </w:rPr>
        <w:t>Le tableau de l’annexe montre que des recettes affectées, d'un montant de 195 millions d’EUR, avaient été perçues à la fin de janvier 2019. Plus précisément: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les recettes provenant des corrections fondées sur des décisions d’apurement des comptes et d'apurement de conformité s’élevaient à 146 millions d’EUR, des montants supplémentaires étant prévus d’ici à la fin de l’exercice budgétaire;</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 xml:space="preserve">les recettes provenant d’irrégularités s’élevaient à un montant total de 48 millions d’EUR, des montants supplémentaires devant également être perçus d'ici à la fin de l'exercice budgétaire, et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rPr>
        <w:t>quelques recettes résiduelles provenant du prélèvement sur le lait pour un montant de 0,8 million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Enfin, le montant des recettes affectées finalement reportées de 2018 à 2019 s’élève à 449 millions d’EUR, montant supérieur de 4,8 millions d’EUR par rapport aux prévisions lors de l’adoption du budget 2019. </w:t>
      </w:r>
    </w:p>
    <w:p>
      <w:pPr>
        <w:pStyle w:val="Text1"/>
        <w:rPr>
          <w:noProof/>
        </w:rPr>
      </w:pPr>
      <w:r>
        <w:rPr>
          <w:noProof/>
        </w:rPr>
        <w:t>Par conséquent, le montant total des recettes affectées disponibles au 31 janvier 2019 pour financer les dépenses du FEAGA s’élevait à 644 millions d’EUR, des montants supplémentaires devant être perçus au cours de l’exercice budgétaire.</w:t>
      </w:r>
    </w:p>
    <w:p>
      <w:pPr>
        <w:pStyle w:val="Heading1"/>
        <w:rPr>
          <w:noProof/>
        </w:rPr>
      </w:pPr>
      <w:bookmarkStart w:id="54" w:name="_Toc244054030"/>
      <w:bookmarkStart w:id="55" w:name="_Toc413145211"/>
      <w:bookmarkStart w:id="56" w:name="_Toc5008872"/>
      <w:bookmarkStart w:id="57" w:name="_Toc5800879"/>
      <w:bookmarkEnd w:id="53"/>
      <w:r>
        <w:rPr>
          <w:noProof/>
        </w:rPr>
        <w:t>Conclusions</w:t>
      </w:r>
      <w:bookmarkEnd w:id="54"/>
      <w:bookmarkEnd w:id="55"/>
      <w:bookmarkEnd w:id="56"/>
      <w:bookmarkEnd w:id="57"/>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L’exécution provisoire des crédits budgétaires 2019 du FEAGA pour la période se terminant le 31 janvier 2019 indique que les remboursements mensuels aux États membres ont été supérieurs de 1 183 millions d’EUR par rapport au profil de consommation calculé.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rPr>
        <w:t xml:space="preserve">Un montant de 644 millions d’EUR de recettes affectées est déjà disponible et  des montants supplémentaires devraient être collectés au cours de l’exercice budgétaire. </w:t>
      </w:r>
    </w:p>
    <w:p>
      <w:pPr>
        <w:spacing w:before="120" w:after="120" w:line="240" w:lineRule="auto"/>
        <w:ind w:left="850"/>
        <w:jc w:val="both"/>
        <w:rPr>
          <w:noProof/>
        </w:rPr>
      </w:pPr>
      <w:r>
        <w:rPr>
          <w:rFonts w:ascii="Times New Roman" w:hAnsi="Times New Roman"/>
          <w:noProof/>
          <w:sz w:val="24"/>
        </w:rPr>
        <w:t>Pour l’heure, la Commission estime que les crédits votés ainsi que le montant des recettes affectées qui seront disponibles d’ici à la fin de l’exercice seront suffisants pour couvrir l’ensemble des dépenses.</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tab/>
      </w:r>
      <w:r>
        <w:rPr>
          <w:rFonts w:ascii="Times New Roman" w:hAnsi="Times New Roman"/>
        </w:rPr>
        <w:t>L’article 12, paragraphe 4, point b), du règlement (UE, Euratom) 2018/1046 du Parlement européen et du Conseil relatif aux règles financières applicables au budget général de l'Union dispose que les crédits correspondant aux recettes affectées internes peuvent faire l'objet d'un report limité à l’exercice suivant.</w:t>
      </w:r>
      <w:r>
        <w:t xml:space="preserve"> </w:t>
      </w:r>
      <w:r>
        <w:rPr>
          <w:rFonts w:ascii="Times New Roman" w:hAnsi="Times New Roman"/>
        </w:rPr>
        <w:t xml:space="preserve">Dans l'intérêt d'une bonne gestion budgétaire, les recettes affectées sont donc généralement utilisées avant tout crédit voté pour l’article budgétaire concerné.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428ECF3E"/>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BDB6D06-7315-4E67-9CE6-48DDAF94EB68"/>
    <w:docVar w:name="LW_COVERPAGE_TYPE" w:val="1"/>
    <w:docVar w:name="LW_CROSSREFERENCE" w:val="&lt;UNUSED&gt;"/>
    <w:docVar w:name="LW_DocType" w:val="NORMAL"/>
    <w:docVar w:name="LW_EMISSION" w:val="25.4.2019"/>
    <w:docVar w:name="LW_EMISSION_ISODATE" w:val="2019-04-25"/>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1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aux dépenses du FEAGA_x000d__x000d__x000d__x000d__x000d__x000d__x000d__x000d__x000d__x000d__x000d__x000d__x000b__x000d__x000d__x000d__x000d__x000d__x000d__x000d__x000d__x000d__x000d__x000d__x000d__x000b_Système d'alerte précoce n° 1-3/2019"/>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3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fr-FR"/>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semiHidden/>
    <w:rPr>
      <w:rFonts w:ascii="Times New Roman" w:eastAsia="Times New Roman" w:hAnsi="Times New Roman"/>
      <w:bCs/>
      <w:sz w:val="24"/>
      <w:szCs w:val="28"/>
      <w:lang w:eastAsia="fr-FR"/>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paragraph" w:customStyle="1" w:styleId="Text2">
    <w:name w:val="Text 2"/>
    <w:basedOn w:val="Normal"/>
    <w:pPr>
      <w:spacing w:before="120" w:after="120" w:line="240" w:lineRule="auto"/>
      <w:ind w:left="850"/>
      <w:jc w:val="both"/>
    </w:pPr>
    <w:rPr>
      <w:rFonts w:ascii="Times New Roman" w:hAnsi="Times New Roman"/>
      <w:sz w:val="24"/>
      <w:szCs w:val="24"/>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38A2-F019-424D-A53B-B575C4CD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1560</Words>
  <Characters>8553</Characters>
  <Application>Microsoft Office Word</Application>
  <DocSecurity>0</DocSecurity>
  <Lines>181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20</cp:revision>
  <cp:lastPrinted>2019-03-08T13:41:00Z</cp:lastPrinted>
  <dcterms:created xsi:type="dcterms:W3CDTF">2019-04-01T09:02:00Z</dcterms:created>
  <dcterms:modified xsi:type="dcterms:W3CDTF">2019-04-25T09:35:00Z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