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4" type="#_x0000_t75" alt="DCE5DD72-DA26-41B4-876F-7E3DD8911E6B" style="width:450.5pt;height:334pt">
            <v:imagedata r:id="rId9" o:title=""/>
          </v:shape>
        </w:pict>
      </w:r>
    </w:p>
    <w:bookmarkEnd w:id="0"/>
    <w:p>
      <w:pPr>
        <w:rPr>
          <w:noProof/>
        </w:rPr>
        <w:sectPr>
          <w:headerReference w:type="even" r:id="rId10"/>
          <w:headerReference w:type="default" r:id="rId11"/>
          <w:footerReference w:type="even" r:id="rId12"/>
          <w:footerReference w:type="default" r:id="rId13"/>
          <w:headerReference w:type="first" r:id="rId14"/>
          <w:footerReference w:type="first" r:id="rId15"/>
          <w:pgSz w:w="11907" w:h="16840"/>
          <w:pgMar w:top="1134" w:right="1417" w:bottom="1134" w:left="1417" w:header="709" w:footer="709" w:gutter="0"/>
          <w:pgNumType w:start="1"/>
          <w:cols w:space="720"/>
          <w:docGrid w:linePitch="299"/>
        </w:sectPr>
      </w:pPr>
    </w:p>
    <w:p>
      <w:pPr>
        <w:spacing w:after="0"/>
        <w:rPr>
          <w:rFonts w:ascii="Times New Roman" w:hAnsi="Times New Roman"/>
          <w:noProof/>
          <w:sz w:val="24"/>
          <w:szCs w:val="24"/>
        </w:rPr>
      </w:pPr>
      <w:bookmarkStart w:id="1" w:name="_GoBack"/>
      <w:bookmarkEnd w:id="1"/>
    </w:p>
    <w:p>
      <w:pPr>
        <w:spacing w:after="0"/>
        <w:rPr>
          <w:rFonts w:ascii="Times New Roman" w:hAnsi="Times New Roman"/>
          <w:noProof/>
          <w:sz w:val="24"/>
          <w:szCs w:val="24"/>
        </w:rPr>
      </w:pPr>
    </w:p>
    <w:p>
      <w:pPr>
        <w:spacing w:after="0"/>
        <w:rPr>
          <w:rFonts w:ascii="Times New Roman" w:hAnsi="Times New Roman"/>
          <w:noProof/>
          <w:sz w:val="24"/>
          <w:szCs w:val="24"/>
        </w:rPr>
      </w:pPr>
    </w:p>
    <w:p>
      <w:pPr>
        <w:spacing w:after="0"/>
        <w:rPr>
          <w:rFonts w:ascii="Times New Roman" w:hAnsi="Times New Roman"/>
          <w:noProof/>
          <w:sz w:val="24"/>
          <w:szCs w:val="24"/>
        </w:rPr>
      </w:pPr>
    </w:p>
    <w:p>
      <w:pPr>
        <w:spacing w:after="0"/>
        <w:rPr>
          <w:rFonts w:ascii="Times New Roman" w:hAnsi="Times New Roman"/>
          <w:noProof/>
          <w:sz w:val="24"/>
          <w:szCs w:val="24"/>
        </w:rPr>
      </w:pPr>
    </w:p>
    <w:p>
      <w:pPr>
        <w:spacing w:after="0"/>
        <w:rPr>
          <w:rFonts w:ascii="Times New Roman" w:hAnsi="Times New Roman"/>
          <w:noProof/>
          <w:sz w:val="24"/>
          <w:szCs w:val="24"/>
        </w:rPr>
      </w:pPr>
    </w:p>
    <w:sdt>
      <w:sdtPr>
        <w:rPr>
          <w:rFonts w:ascii="Calibri" w:eastAsia="Calibri" w:hAnsi="Calibri"/>
          <w:b w:val="0"/>
          <w:noProof/>
          <w:sz w:val="22"/>
          <w:szCs w:val="22"/>
        </w:rPr>
        <w:id w:val="670845034"/>
        <w:docPartObj>
          <w:docPartGallery w:val="Table of Contents"/>
          <w:docPartUnique/>
        </w:docPartObj>
      </w:sdtPr>
      <w:sdtEndPr>
        <w:rPr>
          <w:bCs/>
        </w:rPr>
      </w:sdtEndPr>
      <w:sdtContent>
        <w:p>
          <w:pPr>
            <w:pStyle w:val="TOCHeading"/>
            <w:rPr>
              <w:noProof/>
            </w:rPr>
          </w:pPr>
          <w:r>
            <w:rPr>
              <w:noProof/>
            </w:rPr>
            <w:t>Съдържание</w:t>
          </w:r>
        </w:p>
        <w:p>
          <w:pPr>
            <w:rPr>
              <w:noProof/>
            </w:rPr>
          </w:pPr>
        </w:p>
        <w:p>
          <w:pPr>
            <w:pStyle w:val="TOC1"/>
            <w:rPr>
              <w:rFonts w:asciiTheme="minorHAnsi" w:eastAsiaTheme="minorEastAsia" w:hAnsiTheme="minorHAnsi" w:cstheme="minorBidi"/>
              <w:noProof/>
              <w:sz w:val="22"/>
              <w:szCs w:val="22"/>
              <w:lang w:val="en-GB" w:eastAsia="en-GB" w:bidi="ar-SA"/>
            </w:rPr>
          </w:pPr>
          <w:r>
            <w:rPr>
              <w:noProof/>
            </w:rPr>
            <w:fldChar w:fldCharType="begin"/>
          </w:r>
          <w:r>
            <w:rPr>
              <w:noProof/>
            </w:rPr>
            <w:instrText xml:space="preserve"> TOC \o "1-3" \h \z \u </w:instrText>
          </w:r>
          <w:r>
            <w:rPr>
              <w:noProof/>
            </w:rPr>
            <w:fldChar w:fldCharType="separate"/>
          </w:r>
          <w:hyperlink w:anchor="_Toc5807637" w:history="1">
            <w:r>
              <w:rPr>
                <w:rStyle w:val="Hyperlink"/>
                <w:noProof/>
              </w:rPr>
              <w:t>1.</w:t>
            </w:r>
            <w:r>
              <w:rPr>
                <w:rFonts w:asciiTheme="minorHAnsi" w:eastAsiaTheme="minorEastAsia" w:hAnsiTheme="minorHAnsi" w:cstheme="minorBidi"/>
                <w:noProof/>
                <w:sz w:val="22"/>
                <w:szCs w:val="22"/>
                <w:lang w:val="en-GB" w:eastAsia="en-GB" w:bidi="ar-SA"/>
              </w:rPr>
              <w:tab/>
            </w:r>
            <w:r>
              <w:rPr>
                <w:rStyle w:val="Hyperlink"/>
                <w:noProof/>
              </w:rPr>
              <w:t>Бюджетната процедура за ЕФГЗ за 2019 г.</w:t>
            </w:r>
            <w:r>
              <w:rPr>
                <w:noProof/>
                <w:webHidden/>
              </w:rPr>
              <w:tab/>
            </w:r>
            <w:r>
              <w:rPr>
                <w:noProof/>
                <w:webHidden/>
              </w:rPr>
              <w:fldChar w:fldCharType="begin"/>
            </w:r>
            <w:r>
              <w:rPr>
                <w:noProof/>
                <w:webHidden/>
              </w:rPr>
              <w:instrText xml:space="preserve"> PAGEREF _Toc5807637 \h </w:instrText>
            </w:r>
            <w:r>
              <w:rPr>
                <w:noProof/>
                <w:webHidden/>
              </w:rPr>
            </w:r>
            <w:r>
              <w:rPr>
                <w:noProof/>
                <w:webHidden/>
              </w:rPr>
              <w:fldChar w:fldCharType="separate"/>
            </w:r>
            <w:r>
              <w:rPr>
                <w:noProof/>
                <w:webHidden/>
              </w:rPr>
              <w:t>2</w:t>
            </w:r>
            <w:r>
              <w:rPr>
                <w:noProof/>
                <w:webHidden/>
              </w:rPr>
              <w:fldChar w:fldCharType="end"/>
            </w:r>
          </w:hyperlink>
        </w:p>
        <w:p>
          <w:pPr>
            <w:pStyle w:val="TOC1"/>
            <w:rPr>
              <w:rFonts w:asciiTheme="minorHAnsi" w:eastAsiaTheme="minorEastAsia" w:hAnsiTheme="minorHAnsi" w:cstheme="minorBidi"/>
              <w:noProof/>
              <w:sz w:val="22"/>
              <w:szCs w:val="22"/>
              <w:lang w:val="en-GB" w:eastAsia="en-GB" w:bidi="ar-SA"/>
            </w:rPr>
          </w:pPr>
          <w:hyperlink w:anchor="_Toc5807638" w:history="1">
            <w:r>
              <w:rPr>
                <w:rStyle w:val="Hyperlink"/>
                <w:noProof/>
              </w:rPr>
              <w:t>2.</w:t>
            </w:r>
            <w:r>
              <w:rPr>
                <w:rFonts w:asciiTheme="minorHAnsi" w:eastAsiaTheme="minorEastAsia" w:hAnsiTheme="minorHAnsi" w:cstheme="minorBidi"/>
                <w:noProof/>
                <w:sz w:val="22"/>
                <w:szCs w:val="22"/>
                <w:lang w:val="en-GB" w:eastAsia="en-GB" w:bidi="ar-SA"/>
              </w:rPr>
              <w:tab/>
            </w:r>
            <w:r>
              <w:rPr>
                <w:rStyle w:val="Hyperlink"/>
                <w:noProof/>
              </w:rPr>
              <w:t>Целеви приходи за ЕФГЗ</w:t>
            </w:r>
            <w:r>
              <w:rPr>
                <w:noProof/>
                <w:webHidden/>
              </w:rPr>
              <w:tab/>
            </w:r>
            <w:r>
              <w:rPr>
                <w:noProof/>
                <w:webHidden/>
              </w:rPr>
              <w:fldChar w:fldCharType="begin"/>
            </w:r>
            <w:r>
              <w:rPr>
                <w:noProof/>
                <w:webHidden/>
              </w:rPr>
              <w:instrText xml:space="preserve"> PAGEREF _Toc5807638 \h </w:instrText>
            </w:r>
            <w:r>
              <w:rPr>
                <w:noProof/>
                <w:webHidden/>
              </w:rPr>
            </w:r>
            <w:r>
              <w:rPr>
                <w:noProof/>
                <w:webHidden/>
              </w:rPr>
              <w:fldChar w:fldCharType="separate"/>
            </w:r>
            <w:r>
              <w:rPr>
                <w:noProof/>
                <w:webHidden/>
              </w:rPr>
              <w:t>2</w:t>
            </w:r>
            <w:r>
              <w:rPr>
                <w:noProof/>
                <w:webHidden/>
              </w:rPr>
              <w:fldChar w:fldCharType="end"/>
            </w:r>
          </w:hyperlink>
        </w:p>
        <w:p>
          <w:pPr>
            <w:pStyle w:val="TOC1"/>
            <w:rPr>
              <w:rFonts w:asciiTheme="minorHAnsi" w:eastAsiaTheme="minorEastAsia" w:hAnsiTheme="minorHAnsi" w:cstheme="minorBidi"/>
              <w:noProof/>
              <w:sz w:val="22"/>
              <w:szCs w:val="22"/>
              <w:lang w:val="en-GB" w:eastAsia="en-GB" w:bidi="ar-SA"/>
            </w:rPr>
          </w:pPr>
          <w:hyperlink w:anchor="_Toc5807639" w:history="1">
            <w:r>
              <w:rPr>
                <w:rStyle w:val="Hyperlink"/>
                <w:noProof/>
              </w:rPr>
              <w:t>3.</w:t>
            </w:r>
            <w:r>
              <w:rPr>
                <w:rFonts w:asciiTheme="minorHAnsi" w:eastAsiaTheme="minorEastAsia" w:hAnsiTheme="minorHAnsi" w:cstheme="minorBidi"/>
                <w:noProof/>
                <w:sz w:val="22"/>
                <w:szCs w:val="22"/>
                <w:lang w:val="en-GB" w:eastAsia="en-GB" w:bidi="ar-SA"/>
              </w:rPr>
              <w:tab/>
            </w:r>
            <w:r>
              <w:rPr>
                <w:rStyle w:val="Hyperlink"/>
                <w:noProof/>
              </w:rPr>
              <w:t>Бележки относно предварителните данни за изпълнението на бюджета на ЕФГЗ за 2019 г.</w:t>
            </w:r>
            <w:r>
              <w:rPr>
                <w:noProof/>
                <w:webHidden/>
              </w:rPr>
              <w:tab/>
            </w:r>
            <w:r>
              <w:rPr>
                <w:noProof/>
                <w:webHidden/>
              </w:rPr>
              <w:fldChar w:fldCharType="begin"/>
            </w:r>
            <w:r>
              <w:rPr>
                <w:noProof/>
                <w:webHidden/>
              </w:rPr>
              <w:instrText xml:space="preserve"> PAGEREF _Toc5807639 \h </w:instrText>
            </w:r>
            <w:r>
              <w:rPr>
                <w:noProof/>
                <w:webHidden/>
              </w:rPr>
            </w:r>
            <w:r>
              <w:rPr>
                <w:noProof/>
                <w:webHidden/>
              </w:rPr>
              <w:fldChar w:fldCharType="separate"/>
            </w:r>
            <w:r>
              <w:rPr>
                <w:noProof/>
                <w:webHidden/>
              </w:rPr>
              <w:t>3</w:t>
            </w:r>
            <w:r>
              <w:rPr>
                <w:noProof/>
                <w:webHidden/>
              </w:rPr>
              <w:fldChar w:fldCharType="end"/>
            </w:r>
          </w:hyperlink>
        </w:p>
        <w:p>
          <w:pPr>
            <w:pStyle w:val="TOC2"/>
            <w:tabs>
              <w:tab w:val="left" w:pos="850"/>
              <w:tab w:val="right" w:leader="dot" w:pos="9039"/>
            </w:tabs>
            <w:rPr>
              <w:rFonts w:asciiTheme="minorHAnsi" w:eastAsiaTheme="minorEastAsia" w:hAnsiTheme="minorHAnsi" w:cstheme="minorBidi"/>
              <w:noProof/>
              <w:lang w:val="en-GB" w:eastAsia="en-GB" w:bidi="ar-SA"/>
            </w:rPr>
          </w:pPr>
          <w:hyperlink w:anchor="_Toc5807640" w:history="1">
            <w:r>
              <w:rPr>
                <w:rStyle w:val="Hyperlink"/>
                <w:noProof/>
              </w:rPr>
              <w:t>3.1.</w:t>
            </w:r>
            <w:r>
              <w:rPr>
                <w:rFonts w:asciiTheme="minorHAnsi" w:eastAsiaTheme="minorEastAsia" w:hAnsiTheme="minorHAnsi" w:cstheme="minorBidi"/>
                <w:noProof/>
                <w:lang w:val="en-GB" w:eastAsia="en-GB" w:bidi="ar-SA"/>
              </w:rPr>
              <w:tab/>
            </w:r>
            <w:r>
              <w:rPr>
                <w:rStyle w:val="Hyperlink"/>
                <w:noProof/>
              </w:rPr>
              <w:t>Пазарни мерки</w:t>
            </w:r>
            <w:r>
              <w:rPr>
                <w:noProof/>
                <w:webHidden/>
              </w:rPr>
              <w:tab/>
            </w:r>
            <w:r>
              <w:rPr>
                <w:noProof/>
                <w:webHidden/>
              </w:rPr>
              <w:fldChar w:fldCharType="begin"/>
            </w:r>
            <w:r>
              <w:rPr>
                <w:noProof/>
                <w:webHidden/>
              </w:rPr>
              <w:instrText xml:space="preserve"> PAGEREF _Toc5807640 \h </w:instrText>
            </w:r>
            <w:r>
              <w:rPr>
                <w:noProof/>
                <w:webHidden/>
              </w:rPr>
            </w:r>
            <w:r>
              <w:rPr>
                <w:noProof/>
                <w:webHidden/>
              </w:rPr>
              <w:fldChar w:fldCharType="separate"/>
            </w:r>
            <w:r>
              <w:rPr>
                <w:noProof/>
                <w:webHidden/>
              </w:rPr>
              <w:t>3</w:t>
            </w:r>
            <w:r>
              <w:rPr>
                <w:noProof/>
                <w:webHidden/>
              </w:rPr>
              <w:fldChar w:fldCharType="end"/>
            </w:r>
          </w:hyperlink>
        </w:p>
        <w:p>
          <w:pPr>
            <w:pStyle w:val="TOC3"/>
            <w:tabs>
              <w:tab w:val="left" w:pos="1320"/>
              <w:tab w:val="right" w:leader="dot" w:pos="9039"/>
            </w:tabs>
            <w:rPr>
              <w:rFonts w:asciiTheme="minorHAnsi" w:eastAsiaTheme="minorEastAsia" w:hAnsiTheme="minorHAnsi" w:cstheme="minorBidi"/>
              <w:noProof/>
              <w:lang w:val="en-GB" w:eastAsia="en-GB" w:bidi="ar-SA"/>
            </w:rPr>
          </w:pPr>
          <w:hyperlink w:anchor="_Toc5807641" w:history="1">
            <w:r>
              <w:rPr>
                <w:rStyle w:val="Hyperlink"/>
                <w:noProof/>
              </w:rPr>
              <w:t>3.1.1.</w:t>
            </w:r>
            <w:r>
              <w:rPr>
                <w:rFonts w:asciiTheme="minorHAnsi" w:eastAsiaTheme="minorEastAsia" w:hAnsiTheme="minorHAnsi" w:cstheme="minorBidi"/>
                <w:noProof/>
                <w:lang w:val="en-GB" w:eastAsia="en-GB" w:bidi="ar-SA"/>
              </w:rPr>
              <w:tab/>
            </w:r>
            <w:r>
              <w:rPr>
                <w:rStyle w:val="Hyperlink"/>
                <w:noProof/>
              </w:rPr>
              <w:t>Насърчаване</w:t>
            </w:r>
            <w:r>
              <w:rPr>
                <w:noProof/>
                <w:webHidden/>
              </w:rPr>
              <w:tab/>
            </w:r>
            <w:r>
              <w:rPr>
                <w:noProof/>
                <w:webHidden/>
              </w:rPr>
              <w:fldChar w:fldCharType="begin"/>
            </w:r>
            <w:r>
              <w:rPr>
                <w:noProof/>
                <w:webHidden/>
              </w:rPr>
              <w:instrText xml:space="preserve"> PAGEREF _Toc5807641 \h </w:instrText>
            </w:r>
            <w:r>
              <w:rPr>
                <w:noProof/>
                <w:webHidden/>
              </w:rPr>
            </w:r>
            <w:r>
              <w:rPr>
                <w:noProof/>
                <w:webHidden/>
              </w:rPr>
              <w:fldChar w:fldCharType="separate"/>
            </w:r>
            <w:r>
              <w:rPr>
                <w:noProof/>
                <w:webHidden/>
              </w:rPr>
              <w:t>3</w:t>
            </w:r>
            <w:r>
              <w:rPr>
                <w:noProof/>
                <w:webHidden/>
              </w:rPr>
              <w:fldChar w:fldCharType="end"/>
            </w:r>
          </w:hyperlink>
        </w:p>
        <w:p>
          <w:pPr>
            <w:pStyle w:val="TOC3"/>
            <w:tabs>
              <w:tab w:val="left" w:pos="1320"/>
              <w:tab w:val="right" w:leader="dot" w:pos="9039"/>
            </w:tabs>
            <w:rPr>
              <w:rFonts w:asciiTheme="minorHAnsi" w:eastAsiaTheme="minorEastAsia" w:hAnsiTheme="minorHAnsi" w:cstheme="minorBidi"/>
              <w:noProof/>
              <w:lang w:val="en-GB" w:eastAsia="en-GB" w:bidi="ar-SA"/>
            </w:rPr>
          </w:pPr>
          <w:hyperlink w:anchor="_Toc5807642" w:history="1">
            <w:r>
              <w:rPr>
                <w:rStyle w:val="Hyperlink"/>
                <w:noProof/>
              </w:rPr>
              <w:t>3.1.2.</w:t>
            </w:r>
            <w:r>
              <w:rPr>
                <w:rFonts w:asciiTheme="minorHAnsi" w:eastAsiaTheme="minorEastAsia" w:hAnsiTheme="minorHAnsi" w:cstheme="minorBidi"/>
                <w:noProof/>
                <w:lang w:val="en-GB" w:eastAsia="en-GB" w:bidi="ar-SA"/>
              </w:rPr>
              <w:tab/>
            </w:r>
            <w:r>
              <w:rPr>
                <w:rStyle w:val="Hyperlink"/>
                <w:noProof/>
              </w:rPr>
              <w:t>Плодове и зеленчуци</w:t>
            </w:r>
            <w:r>
              <w:rPr>
                <w:noProof/>
                <w:webHidden/>
              </w:rPr>
              <w:tab/>
            </w:r>
            <w:r>
              <w:rPr>
                <w:noProof/>
                <w:webHidden/>
              </w:rPr>
              <w:fldChar w:fldCharType="begin"/>
            </w:r>
            <w:r>
              <w:rPr>
                <w:noProof/>
                <w:webHidden/>
              </w:rPr>
              <w:instrText xml:space="preserve"> PAGEREF _Toc5807642 \h </w:instrText>
            </w:r>
            <w:r>
              <w:rPr>
                <w:noProof/>
                <w:webHidden/>
              </w:rPr>
            </w:r>
            <w:r>
              <w:rPr>
                <w:noProof/>
                <w:webHidden/>
              </w:rPr>
              <w:fldChar w:fldCharType="separate"/>
            </w:r>
            <w:r>
              <w:rPr>
                <w:noProof/>
                <w:webHidden/>
              </w:rPr>
              <w:t>4</w:t>
            </w:r>
            <w:r>
              <w:rPr>
                <w:noProof/>
                <w:webHidden/>
              </w:rPr>
              <w:fldChar w:fldCharType="end"/>
            </w:r>
          </w:hyperlink>
        </w:p>
        <w:p>
          <w:pPr>
            <w:pStyle w:val="TOC3"/>
            <w:tabs>
              <w:tab w:val="left" w:pos="1320"/>
              <w:tab w:val="right" w:leader="dot" w:pos="9039"/>
            </w:tabs>
            <w:rPr>
              <w:rFonts w:asciiTheme="minorHAnsi" w:eastAsiaTheme="minorEastAsia" w:hAnsiTheme="minorHAnsi" w:cstheme="minorBidi"/>
              <w:noProof/>
              <w:lang w:val="en-GB" w:eastAsia="en-GB" w:bidi="ar-SA"/>
            </w:rPr>
          </w:pPr>
          <w:hyperlink w:anchor="_Toc5807643" w:history="1">
            <w:r>
              <w:rPr>
                <w:rStyle w:val="Hyperlink"/>
                <w:noProof/>
              </w:rPr>
              <w:t>3.1.3.</w:t>
            </w:r>
            <w:r>
              <w:rPr>
                <w:rFonts w:asciiTheme="minorHAnsi" w:eastAsiaTheme="minorEastAsia" w:hAnsiTheme="minorHAnsi" w:cstheme="minorBidi"/>
                <w:noProof/>
                <w:lang w:val="en-GB" w:eastAsia="en-GB" w:bidi="ar-SA"/>
              </w:rPr>
              <w:tab/>
            </w:r>
            <w:r>
              <w:rPr>
                <w:rStyle w:val="Hyperlink"/>
                <w:noProof/>
              </w:rPr>
              <w:t>Продукти от лозаро-винарския сектор</w:t>
            </w:r>
            <w:r>
              <w:rPr>
                <w:noProof/>
                <w:webHidden/>
              </w:rPr>
              <w:tab/>
            </w:r>
            <w:r>
              <w:rPr>
                <w:noProof/>
                <w:webHidden/>
              </w:rPr>
              <w:fldChar w:fldCharType="begin"/>
            </w:r>
            <w:r>
              <w:rPr>
                <w:noProof/>
                <w:webHidden/>
              </w:rPr>
              <w:instrText xml:space="preserve"> PAGEREF _Toc5807643 \h </w:instrText>
            </w:r>
            <w:r>
              <w:rPr>
                <w:noProof/>
                <w:webHidden/>
              </w:rPr>
            </w:r>
            <w:r>
              <w:rPr>
                <w:noProof/>
                <w:webHidden/>
              </w:rPr>
              <w:fldChar w:fldCharType="separate"/>
            </w:r>
            <w:r>
              <w:rPr>
                <w:noProof/>
                <w:webHidden/>
              </w:rPr>
              <w:t>4</w:t>
            </w:r>
            <w:r>
              <w:rPr>
                <w:noProof/>
                <w:webHidden/>
              </w:rPr>
              <w:fldChar w:fldCharType="end"/>
            </w:r>
          </w:hyperlink>
        </w:p>
        <w:p>
          <w:pPr>
            <w:pStyle w:val="TOC3"/>
            <w:tabs>
              <w:tab w:val="left" w:pos="1320"/>
              <w:tab w:val="right" w:leader="dot" w:pos="9039"/>
            </w:tabs>
            <w:rPr>
              <w:rFonts w:asciiTheme="minorHAnsi" w:eastAsiaTheme="minorEastAsia" w:hAnsiTheme="minorHAnsi" w:cstheme="minorBidi"/>
              <w:noProof/>
              <w:lang w:val="en-GB" w:eastAsia="en-GB" w:bidi="ar-SA"/>
            </w:rPr>
          </w:pPr>
          <w:hyperlink w:anchor="_Toc5807644" w:history="1">
            <w:r>
              <w:rPr>
                <w:rStyle w:val="Hyperlink"/>
                <w:noProof/>
              </w:rPr>
              <w:t>3.1.4.</w:t>
            </w:r>
            <w:r>
              <w:rPr>
                <w:rFonts w:asciiTheme="minorHAnsi" w:eastAsiaTheme="minorEastAsia" w:hAnsiTheme="minorHAnsi" w:cstheme="minorBidi"/>
                <w:noProof/>
                <w:lang w:val="en-GB" w:eastAsia="en-GB" w:bidi="ar-SA"/>
              </w:rPr>
              <w:tab/>
            </w:r>
            <w:r>
              <w:rPr>
                <w:rStyle w:val="Hyperlink"/>
                <w:noProof/>
              </w:rPr>
              <w:t>Други растителни продукти/мерки</w:t>
            </w:r>
            <w:r>
              <w:rPr>
                <w:noProof/>
                <w:webHidden/>
              </w:rPr>
              <w:tab/>
            </w:r>
            <w:r>
              <w:rPr>
                <w:noProof/>
                <w:webHidden/>
              </w:rPr>
              <w:fldChar w:fldCharType="begin"/>
            </w:r>
            <w:r>
              <w:rPr>
                <w:noProof/>
                <w:webHidden/>
              </w:rPr>
              <w:instrText xml:space="preserve"> PAGEREF _Toc5807644 \h </w:instrText>
            </w:r>
            <w:r>
              <w:rPr>
                <w:noProof/>
                <w:webHidden/>
              </w:rPr>
            </w:r>
            <w:r>
              <w:rPr>
                <w:noProof/>
                <w:webHidden/>
              </w:rPr>
              <w:fldChar w:fldCharType="separate"/>
            </w:r>
            <w:r>
              <w:rPr>
                <w:noProof/>
                <w:webHidden/>
              </w:rPr>
              <w:t>4</w:t>
            </w:r>
            <w:r>
              <w:rPr>
                <w:noProof/>
                <w:webHidden/>
              </w:rPr>
              <w:fldChar w:fldCharType="end"/>
            </w:r>
          </w:hyperlink>
        </w:p>
        <w:p>
          <w:pPr>
            <w:pStyle w:val="TOC3"/>
            <w:tabs>
              <w:tab w:val="left" w:pos="1320"/>
              <w:tab w:val="right" w:leader="dot" w:pos="9039"/>
            </w:tabs>
            <w:rPr>
              <w:rFonts w:asciiTheme="minorHAnsi" w:eastAsiaTheme="minorEastAsia" w:hAnsiTheme="minorHAnsi" w:cstheme="minorBidi"/>
              <w:noProof/>
              <w:lang w:val="en-GB" w:eastAsia="en-GB" w:bidi="ar-SA"/>
            </w:rPr>
          </w:pPr>
          <w:hyperlink w:anchor="_Toc5807645" w:history="1">
            <w:r>
              <w:rPr>
                <w:rStyle w:val="Hyperlink"/>
                <w:noProof/>
              </w:rPr>
              <w:t>3.1.5.</w:t>
            </w:r>
            <w:r>
              <w:rPr>
                <w:rFonts w:asciiTheme="minorHAnsi" w:eastAsiaTheme="minorEastAsia" w:hAnsiTheme="minorHAnsi" w:cstheme="minorBidi"/>
                <w:noProof/>
                <w:lang w:val="en-GB" w:eastAsia="en-GB" w:bidi="ar-SA"/>
              </w:rPr>
              <w:tab/>
            </w:r>
            <w:r>
              <w:rPr>
                <w:rStyle w:val="Hyperlink"/>
                <w:noProof/>
              </w:rPr>
              <w:t>Мляко и млечни продукти</w:t>
            </w:r>
            <w:r>
              <w:rPr>
                <w:noProof/>
                <w:webHidden/>
              </w:rPr>
              <w:tab/>
            </w:r>
            <w:r>
              <w:rPr>
                <w:noProof/>
                <w:webHidden/>
              </w:rPr>
              <w:fldChar w:fldCharType="begin"/>
            </w:r>
            <w:r>
              <w:rPr>
                <w:noProof/>
                <w:webHidden/>
              </w:rPr>
              <w:instrText xml:space="preserve"> PAGEREF _Toc5807645 \h </w:instrText>
            </w:r>
            <w:r>
              <w:rPr>
                <w:noProof/>
                <w:webHidden/>
              </w:rPr>
            </w:r>
            <w:r>
              <w:rPr>
                <w:noProof/>
                <w:webHidden/>
              </w:rPr>
              <w:fldChar w:fldCharType="separate"/>
            </w:r>
            <w:r>
              <w:rPr>
                <w:noProof/>
                <w:webHidden/>
              </w:rPr>
              <w:t>4</w:t>
            </w:r>
            <w:r>
              <w:rPr>
                <w:noProof/>
                <w:webHidden/>
              </w:rPr>
              <w:fldChar w:fldCharType="end"/>
            </w:r>
          </w:hyperlink>
        </w:p>
        <w:p>
          <w:pPr>
            <w:pStyle w:val="TOC2"/>
            <w:tabs>
              <w:tab w:val="left" w:pos="850"/>
              <w:tab w:val="right" w:leader="dot" w:pos="9039"/>
            </w:tabs>
            <w:rPr>
              <w:rFonts w:asciiTheme="minorHAnsi" w:eastAsiaTheme="minorEastAsia" w:hAnsiTheme="minorHAnsi" w:cstheme="minorBidi"/>
              <w:noProof/>
              <w:lang w:val="en-GB" w:eastAsia="en-GB" w:bidi="ar-SA"/>
            </w:rPr>
          </w:pPr>
          <w:hyperlink w:anchor="_Toc5807646" w:history="1">
            <w:r>
              <w:rPr>
                <w:rStyle w:val="Hyperlink"/>
                <w:noProof/>
              </w:rPr>
              <w:t>3.2.</w:t>
            </w:r>
            <w:r>
              <w:rPr>
                <w:rFonts w:asciiTheme="minorHAnsi" w:eastAsiaTheme="minorEastAsia" w:hAnsiTheme="minorHAnsi" w:cstheme="minorBidi"/>
                <w:noProof/>
                <w:lang w:val="en-GB" w:eastAsia="en-GB" w:bidi="ar-SA"/>
              </w:rPr>
              <w:tab/>
            </w:r>
            <w:r>
              <w:rPr>
                <w:rStyle w:val="Hyperlink"/>
                <w:noProof/>
              </w:rPr>
              <w:t>Директни плащания</w:t>
            </w:r>
            <w:r>
              <w:rPr>
                <w:noProof/>
                <w:webHidden/>
              </w:rPr>
              <w:tab/>
            </w:r>
            <w:r>
              <w:rPr>
                <w:noProof/>
                <w:webHidden/>
              </w:rPr>
              <w:fldChar w:fldCharType="begin"/>
            </w:r>
            <w:r>
              <w:rPr>
                <w:noProof/>
                <w:webHidden/>
              </w:rPr>
              <w:instrText xml:space="preserve"> PAGEREF _Toc5807646 \h </w:instrText>
            </w:r>
            <w:r>
              <w:rPr>
                <w:noProof/>
                <w:webHidden/>
              </w:rPr>
            </w:r>
            <w:r>
              <w:rPr>
                <w:noProof/>
                <w:webHidden/>
              </w:rPr>
              <w:fldChar w:fldCharType="separate"/>
            </w:r>
            <w:r>
              <w:rPr>
                <w:noProof/>
                <w:webHidden/>
              </w:rPr>
              <w:t>4</w:t>
            </w:r>
            <w:r>
              <w:rPr>
                <w:noProof/>
                <w:webHidden/>
              </w:rPr>
              <w:fldChar w:fldCharType="end"/>
            </w:r>
          </w:hyperlink>
        </w:p>
        <w:p>
          <w:pPr>
            <w:pStyle w:val="TOC3"/>
            <w:tabs>
              <w:tab w:val="left" w:pos="1320"/>
              <w:tab w:val="right" w:leader="dot" w:pos="9039"/>
            </w:tabs>
            <w:rPr>
              <w:rFonts w:asciiTheme="minorHAnsi" w:eastAsiaTheme="minorEastAsia" w:hAnsiTheme="minorHAnsi" w:cstheme="minorBidi"/>
              <w:noProof/>
              <w:lang w:val="en-GB" w:eastAsia="en-GB" w:bidi="ar-SA"/>
            </w:rPr>
          </w:pPr>
          <w:hyperlink w:anchor="_Toc5807647" w:history="1">
            <w:r>
              <w:rPr>
                <w:rStyle w:val="Hyperlink"/>
                <w:noProof/>
              </w:rPr>
              <w:t>3.2.1.</w:t>
            </w:r>
            <w:r>
              <w:rPr>
                <w:rFonts w:asciiTheme="minorHAnsi" w:eastAsiaTheme="minorEastAsia" w:hAnsiTheme="minorHAnsi" w:cstheme="minorBidi"/>
                <w:noProof/>
                <w:lang w:val="en-GB" w:eastAsia="en-GB" w:bidi="ar-SA"/>
              </w:rPr>
              <w:tab/>
            </w:r>
            <w:r>
              <w:rPr>
                <w:rStyle w:val="Hyperlink"/>
                <w:noProof/>
              </w:rPr>
              <w:t>Отделени от производството директни плащания</w:t>
            </w:r>
            <w:r>
              <w:rPr>
                <w:noProof/>
                <w:webHidden/>
              </w:rPr>
              <w:tab/>
            </w:r>
            <w:r>
              <w:rPr>
                <w:noProof/>
                <w:webHidden/>
              </w:rPr>
              <w:fldChar w:fldCharType="begin"/>
            </w:r>
            <w:r>
              <w:rPr>
                <w:noProof/>
                <w:webHidden/>
              </w:rPr>
              <w:instrText xml:space="preserve"> PAGEREF _Toc5807647 \h </w:instrText>
            </w:r>
            <w:r>
              <w:rPr>
                <w:noProof/>
                <w:webHidden/>
              </w:rPr>
            </w:r>
            <w:r>
              <w:rPr>
                <w:noProof/>
                <w:webHidden/>
              </w:rPr>
              <w:fldChar w:fldCharType="separate"/>
            </w:r>
            <w:r>
              <w:rPr>
                <w:noProof/>
                <w:webHidden/>
              </w:rPr>
              <w:t>4</w:t>
            </w:r>
            <w:r>
              <w:rPr>
                <w:noProof/>
                <w:webHidden/>
              </w:rPr>
              <w:fldChar w:fldCharType="end"/>
            </w:r>
          </w:hyperlink>
        </w:p>
        <w:p>
          <w:pPr>
            <w:pStyle w:val="TOC3"/>
            <w:tabs>
              <w:tab w:val="left" w:pos="1320"/>
              <w:tab w:val="right" w:leader="dot" w:pos="9039"/>
            </w:tabs>
            <w:rPr>
              <w:rFonts w:asciiTheme="minorHAnsi" w:eastAsiaTheme="minorEastAsia" w:hAnsiTheme="minorHAnsi" w:cstheme="minorBidi"/>
              <w:noProof/>
              <w:lang w:val="en-GB" w:eastAsia="en-GB" w:bidi="ar-SA"/>
            </w:rPr>
          </w:pPr>
          <w:hyperlink w:anchor="_Toc5807648" w:history="1">
            <w:r>
              <w:rPr>
                <w:rStyle w:val="Hyperlink"/>
                <w:noProof/>
              </w:rPr>
              <w:t>3.2.2.</w:t>
            </w:r>
            <w:r>
              <w:rPr>
                <w:rFonts w:asciiTheme="minorHAnsi" w:eastAsiaTheme="minorEastAsia" w:hAnsiTheme="minorHAnsi" w:cstheme="minorBidi"/>
                <w:noProof/>
                <w:lang w:val="en-GB" w:eastAsia="en-GB" w:bidi="ar-SA"/>
              </w:rPr>
              <w:tab/>
            </w:r>
            <w:r>
              <w:rPr>
                <w:rStyle w:val="Hyperlink"/>
                <w:noProof/>
              </w:rPr>
              <w:t>Други директни плащания</w:t>
            </w:r>
            <w:r>
              <w:rPr>
                <w:noProof/>
                <w:webHidden/>
              </w:rPr>
              <w:tab/>
            </w:r>
            <w:r>
              <w:rPr>
                <w:noProof/>
                <w:webHidden/>
              </w:rPr>
              <w:fldChar w:fldCharType="begin"/>
            </w:r>
            <w:r>
              <w:rPr>
                <w:noProof/>
                <w:webHidden/>
              </w:rPr>
              <w:instrText xml:space="preserve"> PAGEREF _Toc5807648 \h </w:instrText>
            </w:r>
            <w:r>
              <w:rPr>
                <w:noProof/>
                <w:webHidden/>
              </w:rPr>
            </w:r>
            <w:r>
              <w:rPr>
                <w:noProof/>
                <w:webHidden/>
              </w:rPr>
              <w:fldChar w:fldCharType="separate"/>
            </w:r>
            <w:r>
              <w:rPr>
                <w:noProof/>
                <w:webHidden/>
              </w:rPr>
              <w:t>4</w:t>
            </w:r>
            <w:r>
              <w:rPr>
                <w:noProof/>
                <w:webHidden/>
              </w:rPr>
              <w:fldChar w:fldCharType="end"/>
            </w:r>
          </w:hyperlink>
        </w:p>
        <w:p>
          <w:pPr>
            <w:pStyle w:val="TOC1"/>
            <w:rPr>
              <w:rFonts w:asciiTheme="minorHAnsi" w:eastAsiaTheme="minorEastAsia" w:hAnsiTheme="minorHAnsi" w:cstheme="minorBidi"/>
              <w:noProof/>
              <w:sz w:val="22"/>
              <w:szCs w:val="22"/>
              <w:lang w:val="en-GB" w:eastAsia="en-GB" w:bidi="ar-SA"/>
            </w:rPr>
          </w:pPr>
          <w:hyperlink w:anchor="_Toc5807649" w:history="1">
            <w:r>
              <w:rPr>
                <w:rStyle w:val="Hyperlink"/>
                <w:noProof/>
              </w:rPr>
              <w:t>4.</w:t>
            </w:r>
            <w:r>
              <w:rPr>
                <w:rFonts w:asciiTheme="minorHAnsi" w:eastAsiaTheme="minorEastAsia" w:hAnsiTheme="minorHAnsi" w:cstheme="minorBidi"/>
                <w:noProof/>
                <w:sz w:val="22"/>
                <w:szCs w:val="22"/>
                <w:lang w:val="en-GB" w:eastAsia="en-GB" w:bidi="ar-SA"/>
              </w:rPr>
              <w:tab/>
            </w:r>
            <w:r>
              <w:rPr>
                <w:rStyle w:val="Hyperlink"/>
                <w:noProof/>
              </w:rPr>
              <w:t>Изпълнение на целевите приходи по линия на ЕФГЗ</w:t>
            </w:r>
            <w:r>
              <w:rPr>
                <w:noProof/>
                <w:webHidden/>
              </w:rPr>
              <w:tab/>
            </w:r>
            <w:r>
              <w:rPr>
                <w:noProof/>
                <w:webHidden/>
              </w:rPr>
              <w:fldChar w:fldCharType="begin"/>
            </w:r>
            <w:r>
              <w:rPr>
                <w:noProof/>
                <w:webHidden/>
              </w:rPr>
              <w:instrText xml:space="preserve"> PAGEREF _Toc5807649 \h </w:instrText>
            </w:r>
            <w:r>
              <w:rPr>
                <w:noProof/>
                <w:webHidden/>
              </w:rPr>
            </w:r>
            <w:r>
              <w:rPr>
                <w:noProof/>
                <w:webHidden/>
              </w:rPr>
              <w:fldChar w:fldCharType="separate"/>
            </w:r>
            <w:r>
              <w:rPr>
                <w:noProof/>
                <w:webHidden/>
              </w:rPr>
              <w:t>4</w:t>
            </w:r>
            <w:r>
              <w:rPr>
                <w:noProof/>
                <w:webHidden/>
              </w:rPr>
              <w:fldChar w:fldCharType="end"/>
            </w:r>
          </w:hyperlink>
        </w:p>
        <w:p>
          <w:pPr>
            <w:pStyle w:val="TOC1"/>
            <w:rPr>
              <w:rFonts w:asciiTheme="minorHAnsi" w:eastAsiaTheme="minorEastAsia" w:hAnsiTheme="minorHAnsi" w:cstheme="minorBidi"/>
              <w:noProof/>
              <w:sz w:val="22"/>
              <w:szCs w:val="22"/>
              <w:lang w:val="en-GB" w:eastAsia="en-GB" w:bidi="ar-SA"/>
            </w:rPr>
          </w:pPr>
          <w:hyperlink w:anchor="_Toc5807650" w:history="1">
            <w:r>
              <w:rPr>
                <w:rStyle w:val="Hyperlink"/>
                <w:noProof/>
              </w:rPr>
              <w:t>5.</w:t>
            </w:r>
            <w:r>
              <w:rPr>
                <w:rFonts w:asciiTheme="minorHAnsi" w:eastAsiaTheme="minorEastAsia" w:hAnsiTheme="minorHAnsi" w:cstheme="minorBidi"/>
                <w:noProof/>
                <w:sz w:val="22"/>
                <w:szCs w:val="22"/>
                <w:lang w:val="en-GB" w:eastAsia="en-GB" w:bidi="ar-SA"/>
              </w:rPr>
              <w:tab/>
            </w:r>
            <w:r>
              <w:rPr>
                <w:rStyle w:val="Hyperlink"/>
                <w:noProof/>
              </w:rPr>
              <w:t>Заключения</w:t>
            </w:r>
            <w:r>
              <w:rPr>
                <w:noProof/>
                <w:webHidden/>
              </w:rPr>
              <w:tab/>
            </w:r>
            <w:r>
              <w:rPr>
                <w:noProof/>
                <w:webHidden/>
              </w:rPr>
              <w:fldChar w:fldCharType="begin"/>
            </w:r>
            <w:r>
              <w:rPr>
                <w:noProof/>
                <w:webHidden/>
              </w:rPr>
              <w:instrText xml:space="preserve"> PAGEREF _Toc5807650 \h </w:instrText>
            </w:r>
            <w:r>
              <w:rPr>
                <w:noProof/>
                <w:webHidden/>
              </w:rPr>
            </w:r>
            <w:r>
              <w:rPr>
                <w:noProof/>
                <w:webHidden/>
              </w:rPr>
              <w:fldChar w:fldCharType="separate"/>
            </w:r>
            <w:r>
              <w:rPr>
                <w:noProof/>
                <w:webHidden/>
              </w:rPr>
              <w:t>5</w:t>
            </w:r>
            <w:r>
              <w:rPr>
                <w:noProof/>
                <w:webHidden/>
              </w:rPr>
              <w:fldChar w:fldCharType="end"/>
            </w:r>
          </w:hyperlink>
        </w:p>
        <w:p>
          <w:pPr>
            <w:pStyle w:val="TOC1"/>
            <w:rPr>
              <w:rFonts w:asciiTheme="minorHAnsi" w:eastAsiaTheme="minorEastAsia" w:hAnsiTheme="minorHAnsi" w:cstheme="minorBidi"/>
              <w:noProof/>
              <w:sz w:val="22"/>
              <w:szCs w:val="22"/>
            </w:rPr>
          </w:pPr>
          <w:r>
            <w:rPr>
              <w:b/>
              <w:bCs/>
              <w:noProof/>
            </w:rPr>
            <w:fldChar w:fldCharType="end"/>
          </w:r>
        </w:p>
      </w:sdtContent>
    </w:sdt>
    <w:p>
      <w:pPr>
        <w:spacing w:after="0"/>
        <w:rPr>
          <w:rFonts w:ascii="Times New Roman" w:hAnsi="Times New Roman"/>
          <w:noProof/>
          <w:sz w:val="24"/>
          <w:szCs w:val="24"/>
        </w:rPr>
      </w:pPr>
    </w:p>
    <w:tbl>
      <w:tblPr>
        <w:tblW w:w="0" w:type="auto"/>
        <w:tblLook w:val="01E0" w:firstRow="1" w:lastRow="1" w:firstColumn="1" w:lastColumn="1" w:noHBand="0" w:noVBand="0"/>
      </w:tblPr>
      <w:tblGrid>
        <w:gridCol w:w="2111"/>
        <w:gridCol w:w="7154"/>
      </w:tblGrid>
      <w:tr>
        <w:tc>
          <w:tcPr>
            <w:tcW w:w="1908" w:type="dxa"/>
            <w:hideMark/>
          </w:tcPr>
          <w:p>
            <w:pPr>
              <w:spacing w:before="120" w:after="120"/>
              <w:ind w:right="612"/>
              <w:rPr>
                <w:rFonts w:ascii="Times New Roman" w:hAnsi="Times New Roman"/>
                <w:smallCaps/>
                <w:noProof/>
              </w:rPr>
            </w:pPr>
            <w:r>
              <w:rPr>
                <w:rFonts w:ascii="Times New Roman" w:hAnsi="Times New Roman"/>
                <w:smallCaps/>
                <w:noProof/>
              </w:rPr>
              <w:t>Приложение 1:</w:t>
            </w:r>
          </w:p>
          <w:p>
            <w:pPr>
              <w:spacing w:before="120" w:after="120"/>
              <w:ind w:right="612"/>
              <w:rPr>
                <w:rFonts w:ascii="Times New Roman" w:hAnsi="Times New Roman"/>
                <w:smallCaps/>
                <w:noProof/>
                <w:sz w:val="24"/>
                <w:szCs w:val="24"/>
              </w:rPr>
            </w:pPr>
          </w:p>
        </w:tc>
        <w:tc>
          <w:tcPr>
            <w:tcW w:w="7320" w:type="dxa"/>
            <w:hideMark/>
          </w:tcPr>
          <w:p>
            <w:pPr>
              <w:spacing w:before="120" w:after="120"/>
              <w:rPr>
                <w:rFonts w:ascii="Times New Roman" w:hAnsi="Times New Roman"/>
                <w:smallCaps/>
                <w:noProof/>
                <w:sz w:val="24"/>
                <w:szCs w:val="24"/>
              </w:rPr>
            </w:pPr>
            <w:r>
              <w:rPr>
                <w:rFonts w:ascii="Times New Roman" w:hAnsi="Times New Roman"/>
                <w:smallCaps/>
                <w:noProof/>
              </w:rPr>
              <w:t>Предварителни данни за усвояването на бюджетните кредити по линия на ЕФГЗ към 31.1.2019 г.</w:t>
            </w:r>
          </w:p>
        </w:tc>
      </w:tr>
    </w:tbl>
    <w:p>
      <w:pPr>
        <w:spacing w:after="0"/>
        <w:rPr>
          <w:noProof/>
        </w:rPr>
      </w:pPr>
    </w:p>
    <w:p>
      <w:pPr>
        <w:spacing w:after="0"/>
        <w:rPr>
          <w:noProof/>
        </w:rPr>
        <w:sectPr>
          <w:headerReference w:type="even" r:id="rId16"/>
          <w:headerReference w:type="default" r:id="rId17"/>
          <w:footerReference w:type="even" r:id="rId18"/>
          <w:footerReference w:type="default" r:id="rId19"/>
          <w:headerReference w:type="first" r:id="rId20"/>
          <w:footerReference w:type="first" r:id="rId21"/>
          <w:pgSz w:w="11907" w:h="16840"/>
          <w:pgMar w:top="1134" w:right="1418" w:bottom="1134" w:left="1440" w:header="595" w:footer="567" w:gutter="0"/>
          <w:pgNumType w:start="1"/>
          <w:cols w:space="720"/>
        </w:sectPr>
      </w:pPr>
    </w:p>
    <w:p>
      <w:pPr>
        <w:pStyle w:val="Heading1"/>
        <w:numPr>
          <w:ilvl w:val="0"/>
          <w:numId w:val="4"/>
        </w:numPr>
        <w:rPr>
          <w:noProof/>
        </w:rPr>
      </w:pPr>
      <w:bookmarkStart w:id="2" w:name="_Toc229306111"/>
      <w:bookmarkStart w:id="3" w:name="_Toc413145207"/>
      <w:bookmarkStart w:id="4" w:name="_Toc5008859"/>
      <w:bookmarkStart w:id="5" w:name="_Toc5807637"/>
      <w:bookmarkStart w:id="6" w:name="_Toc244054012"/>
      <w:bookmarkStart w:id="7" w:name="_Toc244054013"/>
      <w:r>
        <w:rPr>
          <w:noProof/>
        </w:rPr>
        <w:t>Бюджетната процедура за ЕФГЗ за 2019 г.</w:t>
      </w:r>
      <w:bookmarkEnd w:id="2"/>
      <w:bookmarkEnd w:id="3"/>
      <w:bookmarkEnd w:id="4"/>
      <w:bookmarkEnd w:id="5"/>
    </w:p>
    <w:p>
      <w:pPr>
        <w:pStyle w:val="Text1"/>
        <w:rPr>
          <w:noProof/>
        </w:rPr>
      </w:pPr>
      <w:r>
        <w:rPr>
          <w:noProof/>
        </w:rPr>
        <w:t>На 12 декември 2018 г. Европейският парламент прие общия бюджет на Европейския съюз за 2019 г. По линия на Европейския фонд за гарантиране на земеделието (ЕФГЗ) той включва бюджетни кредити за поети задължения и бюджетни кредити за плащания съответно в размер на 43 129 млн. евро и 43 116 млн. евро, за директни плащания и за разходи, свързани с пазара.</w:t>
      </w:r>
    </w:p>
    <w:p>
      <w:pPr>
        <w:pStyle w:val="Text1"/>
        <w:rPr>
          <w:noProof/>
        </w:rPr>
      </w:pPr>
      <w:r>
        <w:rPr>
          <w:noProof/>
        </w:rPr>
        <w:t>Разликата между размера на бюджетните кредити за поети задължения и бюджетните кредити за плащания се дължи на факта, че за някои мерки, прилагани пряко от Комисията, се използват многогодишни бюджетни кредити. Те са свързани главно с мерките за насърчаване на селскостопански продукти и с мерките за стратегическо планиране и координиране на политиките.</w:t>
      </w:r>
    </w:p>
    <w:p>
      <w:pPr>
        <w:pStyle w:val="Heading1"/>
        <w:rPr>
          <w:noProof/>
        </w:rPr>
      </w:pPr>
      <w:bookmarkStart w:id="8" w:name="_Toc413145208"/>
      <w:bookmarkStart w:id="9" w:name="_Toc5008860"/>
      <w:bookmarkStart w:id="10" w:name="_Toc5807638"/>
      <w:bookmarkEnd w:id="6"/>
      <w:r>
        <w:rPr>
          <w:noProof/>
        </w:rPr>
        <w:t>Целеви приходи за ЕФГЗ</w:t>
      </w:r>
      <w:bookmarkEnd w:id="7"/>
      <w:bookmarkEnd w:id="8"/>
      <w:bookmarkEnd w:id="9"/>
      <w:bookmarkEnd w:id="10"/>
    </w:p>
    <w:p>
      <w:pPr>
        <w:spacing w:before="120" w:after="120" w:line="240" w:lineRule="auto"/>
        <w:ind w:left="850"/>
        <w:jc w:val="both"/>
        <w:rPr>
          <w:rFonts w:ascii="Times New Roman" w:eastAsia="Times New Roman" w:hAnsi="Times New Roman"/>
          <w:noProof/>
          <w:sz w:val="24"/>
          <w:szCs w:val="24"/>
        </w:rPr>
      </w:pPr>
      <w:r>
        <w:rPr>
          <w:rFonts w:ascii="Times New Roman" w:hAnsi="Times New Roman"/>
          <w:noProof/>
          <w:sz w:val="24"/>
        </w:rPr>
        <w:t>На основание на разпоредбите на член 43 от Регламент (ЕС) № 1306/2013 приходите от финансови корекции по силата на решения за счетоводно уравняване и уравняване по съответствие и вследствие на нередности представляват целеви приходи за финансирането на разходите по линия на ЕФГЗ.</w:t>
      </w:r>
    </w:p>
    <w:p>
      <w:pPr>
        <w:spacing w:before="120" w:after="120" w:line="240" w:lineRule="auto"/>
        <w:ind w:left="850"/>
        <w:jc w:val="both"/>
        <w:rPr>
          <w:rFonts w:ascii="Times New Roman" w:eastAsia="Times New Roman" w:hAnsi="Times New Roman"/>
          <w:noProof/>
          <w:sz w:val="24"/>
          <w:szCs w:val="24"/>
        </w:rPr>
      </w:pPr>
      <w:r>
        <w:rPr>
          <w:rFonts w:ascii="Times New Roman" w:hAnsi="Times New Roman"/>
          <w:noProof/>
          <w:sz w:val="24"/>
        </w:rPr>
        <w:t>В съответствие с посочените разпоредби целевите приходи могат да се използват за финансиране на всякакви разходи по линия на ЕФГЗ. Всяка част от тези приходи, която не е усвоена в рамките на бюджетната година, се пренася автоматично към следващата бюджетна година</w:t>
      </w:r>
      <w:r>
        <w:rPr>
          <w:rFonts w:ascii="Times New Roman" w:hAnsi="Times New Roman"/>
          <w:noProof/>
          <w:sz w:val="24"/>
          <w:vertAlign w:val="superscript"/>
        </w:rPr>
        <w:footnoteReference w:id="1"/>
      </w:r>
      <w:r>
        <w:rPr>
          <w:rFonts w:ascii="Times New Roman" w:hAnsi="Times New Roman"/>
          <w:noProof/>
          <w:sz w:val="24"/>
        </w:rPr>
        <w:t>.</w:t>
      </w:r>
    </w:p>
    <w:p>
      <w:pPr>
        <w:spacing w:before="120" w:after="0" w:line="240" w:lineRule="auto"/>
        <w:ind w:left="851"/>
        <w:jc w:val="both"/>
        <w:rPr>
          <w:rFonts w:ascii="Times New Roman" w:eastAsia="Times New Roman" w:hAnsi="Times New Roman"/>
          <w:noProof/>
          <w:sz w:val="24"/>
          <w:szCs w:val="24"/>
        </w:rPr>
      </w:pPr>
      <w:r>
        <w:rPr>
          <w:rFonts w:ascii="Times New Roman" w:hAnsi="Times New Roman"/>
          <w:noProof/>
          <w:sz w:val="24"/>
        </w:rPr>
        <w:t>Бюджетът на ЕФГЗ за 2019 г. включва:</w:t>
      </w:r>
    </w:p>
    <w:p>
      <w:pPr>
        <w:numPr>
          <w:ilvl w:val="0"/>
          <w:numId w:val="12"/>
        </w:numPr>
        <w:spacing w:before="120" w:after="0" w:line="240" w:lineRule="auto"/>
        <w:jc w:val="both"/>
        <w:rPr>
          <w:rFonts w:ascii="Times New Roman" w:eastAsia="Times New Roman" w:hAnsi="Times New Roman"/>
          <w:noProof/>
          <w:sz w:val="24"/>
          <w:szCs w:val="24"/>
        </w:rPr>
      </w:pPr>
      <w:r>
        <w:rPr>
          <w:rFonts w:ascii="Times New Roman" w:hAnsi="Times New Roman"/>
          <w:noProof/>
          <w:sz w:val="24"/>
        </w:rPr>
        <w:t>най-актуалните разчети на Комисията относно потребностите от финансиране за пазарни мерки и директни плащания,</w:t>
      </w:r>
    </w:p>
    <w:p>
      <w:pPr>
        <w:numPr>
          <w:ilvl w:val="0"/>
          <w:numId w:val="12"/>
        </w:numPr>
        <w:spacing w:before="120" w:after="0" w:line="240" w:lineRule="auto"/>
        <w:jc w:val="both"/>
        <w:rPr>
          <w:rFonts w:ascii="Times New Roman" w:eastAsia="Times New Roman" w:hAnsi="Times New Roman"/>
          <w:noProof/>
          <w:sz w:val="24"/>
          <w:szCs w:val="24"/>
        </w:rPr>
      </w:pPr>
      <w:r>
        <w:rPr>
          <w:rFonts w:ascii="Times New Roman" w:hAnsi="Times New Roman"/>
          <w:noProof/>
          <w:sz w:val="24"/>
        </w:rPr>
        <w:t>разчетите относно целевите приходи, които се очаква да бъдат събрани през съответната бюджетна година,</w:t>
      </w:r>
    </w:p>
    <w:p>
      <w:pPr>
        <w:numPr>
          <w:ilvl w:val="0"/>
          <w:numId w:val="12"/>
        </w:numPr>
        <w:spacing w:before="120" w:after="0" w:line="240" w:lineRule="auto"/>
        <w:jc w:val="both"/>
        <w:rPr>
          <w:rFonts w:ascii="Times New Roman" w:eastAsia="Times New Roman" w:hAnsi="Times New Roman"/>
          <w:noProof/>
          <w:sz w:val="24"/>
          <w:szCs w:val="24"/>
        </w:rPr>
      </w:pPr>
      <w:r>
        <w:rPr>
          <w:rFonts w:ascii="Times New Roman" w:hAnsi="Times New Roman"/>
          <w:noProof/>
          <w:sz w:val="24"/>
        </w:rPr>
        <w:t>пренесените неусвоени целеви приходи от предходната бюджетна година.</w:t>
      </w:r>
    </w:p>
    <w:p>
      <w:pPr>
        <w:spacing w:before="120" w:after="0" w:line="240" w:lineRule="auto"/>
        <w:ind w:left="850"/>
        <w:jc w:val="both"/>
        <w:rPr>
          <w:rFonts w:ascii="Times New Roman" w:eastAsia="Times New Roman" w:hAnsi="Times New Roman"/>
          <w:noProof/>
          <w:sz w:val="24"/>
          <w:szCs w:val="24"/>
        </w:rPr>
      </w:pPr>
      <w:r>
        <w:rPr>
          <w:rFonts w:ascii="Times New Roman" w:hAnsi="Times New Roman"/>
          <w:noProof/>
          <w:sz w:val="24"/>
        </w:rPr>
        <w:t xml:space="preserve">В предложението си относно бюджетните кредити за ЕФГЗ за 2019 г. Комисията взе предвид общия размер на очакваните целеви приходи и поиска в бюджета за 2019 г. кредити, чийто размер възлиза на разликата между потребностите и целевите приходи по разчет. Бюджетният орган прие бюджета на ЕФГЗ, като взе предвид очакваните целеви приходи. </w:t>
      </w:r>
    </w:p>
    <w:p>
      <w:pPr>
        <w:spacing w:before="120" w:after="120" w:line="240" w:lineRule="auto"/>
        <w:ind w:left="850"/>
        <w:jc w:val="both"/>
        <w:rPr>
          <w:rFonts w:ascii="Times New Roman" w:eastAsia="Times New Roman" w:hAnsi="Times New Roman"/>
          <w:noProof/>
          <w:sz w:val="24"/>
          <w:szCs w:val="24"/>
        </w:rPr>
      </w:pPr>
      <w:r>
        <w:rPr>
          <w:rFonts w:ascii="Times New Roman" w:hAnsi="Times New Roman"/>
          <w:noProof/>
          <w:sz w:val="24"/>
        </w:rPr>
        <w:t xml:space="preserve">Според разчетите на Комисията наличните целеви приходи към момента на съставяне на бюджета за 2019 г. възлизаха на 1 078 млн. евро и включваха: </w:t>
      </w:r>
    </w:p>
    <w:p>
      <w:pPr>
        <w:numPr>
          <w:ilvl w:val="0"/>
          <w:numId w:val="13"/>
        </w:numPr>
        <w:spacing w:before="120" w:after="120" w:line="240" w:lineRule="auto"/>
        <w:jc w:val="both"/>
        <w:rPr>
          <w:rFonts w:ascii="Times New Roman" w:eastAsia="Times New Roman" w:hAnsi="Times New Roman"/>
          <w:noProof/>
          <w:sz w:val="24"/>
          <w:szCs w:val="24"/>
        </w:rPr>
      </w:pPr>
      <w:r>
        <w:rPr>
          <w:rFonts w:ascii="Times New Roman" w:hAnsi="Times New Roman"/>
          <w:noProof/>
          <w:sz w:val="24"/>
          <w:szCs w:val="24"/>
        </w:rPr>
        <w:t>целевите приходи, които се очаква да се генерират през бюджетната 2019 година и чийто разчетен размер е 634 млн. евро (499 млн. евро от корекции от уравняване по съответствие и 135 млн. евро вследствие на нередности),</w:t>
      </w:r>
    </w:p>
    <w:p>
      <w:pPr>
        <w:numPr>
          <w:ilvl w:val="0"/>
          <w:numId w:val="13"/>
        </w:numPr>
        <w:spacing w:before="120" w:after="120" w:line="240" w:lineRule="auto"/>
        <w:jc w:val="both"/>
        <w:rPr>
          <w:rFonts w:ascii="Times New Roman" w:eastAsia="Times New Roman" w:hAnsi="Times New Roman"/>
          <w:noProof/>
          <w:sz w:val="24"/>
          <w:szCs w:val="24"/>
        </w:rPr>
      </w:pPr>
      <w:r>
        <w:rPr>
          <w:rFonts w:ascii="Times New Roman" w:hAnsi="Times New Roman"/>
          <w:noProof/>
          <w:sz w:val="24"/>
        </w:rPr>
        <w:t>целевите приходи за пренос от 2018 г., чийто размер по разчет е 444 млн. евро.</w:t>
      </w:r>
    </w:p>
    <w:p>
      <w:pPr>
        <w:spacing w:before="120" w:after="120" w:line="240" w:lineRule="auto"/>
        <w:ind w:left="850"/>
        <w:jc w:val="both"/>
        <w:rPr>
          <w:rFonts w:ascii="Times New Roman" w:eastAsia="Times New Roman" w:hAnsi="Times New Roman"/>
          <w:noProof/>
          <w:sz w:val="24"/>
          <w:szCs w:val="24"/>
        </w:rPr>
      </w:pPr>
      <w:r>
        <w:rPr>
          <w:rFonts w:ascii="Times New Roman" w:hAnsi="Times New Roman"/>
          <w:noProof/>
          <w:sz w:val="24"/>
        </w:rPr>
        <w:t xml:space="preserve">Комисията разпредели тези приходи в размер на 1 078 млн. евро по разчет за следните схеми: </w:t>
      </w:r>
    </w:p>
    <w:p>
      <w:pPr>
        <w:numPr>
          <w:ilvl w:val="0"/>
          <w:numId w:val="14"/>
        </w:numPr>
        <w:spacing w:before="120" w:after="120" w:line="240" w:lineRule="auto"/>
        <w:jc w:val="both"/>
        <w:rPr>
          <w:rFonts w:ascii="Times New Roman" w:eastAsia="Times New Roman" w:hAnsi="Times New Roman"/>
          <w:noProof/>
          <w:sz w:val="24"/>
          <w:szCs w:val="24"/>
        </w:rPr>
      </w:pPr>
      <w:r>
        <w:rPr>
          <w:rFonts w:ascii="Times New Roman" w:hAnsi="Times New Roman"/>
          <w:noProof/>
          <w:sz w:val="24"/>
        </w:rPr>
        <w:t>140 млн. евро за оперативните фондове за организациите на производители на плодове и зеленчуци, и</w:t>
      </w:r>
    </w:p>
    <w:p>
      <w:pPr>
        <w:numPr>
          <w:ilvl w:val="0"/>
          <w:numId w:val="14"/>
        </w:numPr>
        <w:spacing w:before="120" w:after="120" w:line="240" w:lineRule="auto"/>
        <w:jc w:val="both"/>
        <w:rPr>
          <w:rFonts w:ascii="Times New Roman" w:eastAsia="Times New Roman" w:hAnsi="Times New Roman"/>
          <w:noProof/>
          <w:sz w:val="24"/>
          <w:szCs w:val="24"/>
        </w:rPr>
      </w:pPr>
      <w:r>
        <w:rPr>
          <w:rFonts w:ascii="Times New Roman" w:hAnsi="Times New Roman"/>
          <w:noProof/>
          <w:sz w:val="24"/>
        </w:rPr>
        <w:t xml:space="preserve">938 млн. евро за схемата за основно плащане. </w:t>
      </w:r>
    </w:p>
    <w:p>
      <w:pPr>
        <w:spacing w:before="120" w:after="120" w:line="240" w:lineRule="auto"/>
        <w:ind w:left="850"/>
        <w:jc w:val="both"/>
        <w:rPr>
          <w:rFonts w:ascii="Times New Roman" w:eastAsia="Times New Roman" w:hAnsi="Times New Roman"/>
          <w:noProof/>
          <w:sz w:val="24"/>
          <w:szCs w:val="24"/>
        </w:rPr>
      </w:pPr>
      <w:r>
        <w:rPr>
          <w:rFonts w:ascii="Times New Roman" w:hAnsi="Times New Roman"/>
          <w:noProof/>
          <w:sz w:val="24"/>
        </w:rPr>
        <w:t>Сборът на одобрените бюджетни кредити и целевите приходи за тези схеми е следният:</w:t>
      </w:r>
    </w:p>
    <w:p>
      <w:pPr>
        <w:numPr>
          <w:ilvl w:val="0"/>
          <w:numId w:val="15"/>
        </w:numPr>
        <w:spacing w:before="120" w:after="120" w:line="240" w:lineRule="auto"/>
        <w:jc w:val="both"/>
        <w:rPr>
          <w:rFonts w:ascii="Times New Roman" w:eastAsia="Times New Roman" w:hAnsi="Times New Roman"/>
          <w:noProof/>
          <w:sz w:val="24"/>
          <w:szCs w:val="24"/>
        </w:rPr>
      </w:pPr>
      <w:r>
        <w:rPr>
          <w:rFonts w:ascii="Times New Roman" w:hAnsi="Times New Roman"/>
          <w:noProof/>
          <w:sz w:val="24"/>
        </w:rPr>
        <w:t>849 млн. евро за оперативните фондове за организациите на производители на плодове и зеленчуци, и</w:t>
      </w:r>
    </w:p>
    <w:p>
      <w:pPr>
        <w:numPr>
          <w:ilvl w:val="0"/>
          <w:numId w:val="15"/>
        </w:numPr>
        <w:spacing w:before="120" w:after="120" w:line="240" w:lineRule="auto"/>
        <w:jc w:val="both"/>
        <w:rPr>
          <w:rFonts w:ascii="Times New Roman" w:eastAsia="Times New Roman" w:hAnsi="Times New Roman"/>
          <w:noProof/>
          <w:sz w:val="24"/>
          <w:szCs w:val="24"/>
        </w:rPr>
      </w:pPr>
      <w:r>
        <w:rPr>
          <w:rFonts w:ascii="Times New Roman" w:hAnsi="Times New Roman"/>
          <w:noProof/>
          <w:sz w:val="24"/>
        </w:rPr>
        <w:t>17 149 млн. евро за схемата за основно плащане.</w:t>
      </w:r>
    </w:p>
    <w:p>
      <w:pPr>
        <w:spacing w:before="120" w:after="120" w:line="240" w:lineRule="auto"/>
        <w:ind w:left="850"/>
        <w:jc w:val="both"/>
        <w:rPr>
          <w:rFonts w:ascii="Times New Roman" w:eastAsia="Times New Roman" w:hAnsi="Times New Roman"/>
          <w:noProof/>
          <w:sz w:val="24"/>
          <w:szCs w:val="24"/>
        </w:rPr>
      </w:pPr>
      <w:r>
        <w:rPr>
          <w:rFonts w:ascii="Times New Roman" w:hAnsi="Times New Roman"/>
          <w:noProof/>
          <w:sz w:val="24"/>
        </w:rPr>
        <w:t xml:space="preserve">В приложението, в което се представят предварителните данни за изпълнението на бюджета за 2019 г., гореспоменатите целеви приходи не са отчетени в данните за бюджетните кредити по статиите за плодовете и зеленчуците и за отделените от производството директни плащания. Данните представляват одобрените бюджетни кредити по тези статии, възлизащи съответно на 715 млн. евро и 34 388 млн. евро. </w:t>
      </w:r>
    </w:p>
    <w:p>
      <w:pPr>
        <w:spacing w:before="120" w:after="120" w:line="240" w:lineRule="auto"/>
        <w:ind w:left="850"/>
        <w:jc w:val="both"/>
        <w:rPr>
          <w:rFonts w:ascii="Times New Roman" w:eastAsia="Times New Roman" w:hAnsi="Times New Roman"/>
          <w:noProof/>
          <w:sz w:val="24"/>
          <w:szCs w:val="24"/>
        </w:rPr>
      </w:pPr>
      <w:r>
        <w:rPr>
          <w:rFonts w:ascii="Times New Roman" w:hAnsi="Times New Roman"/>
          <w:noProof/>
          <w:sz w:val="24"/>
        </w:rPr>
        <w:t xml:space="preserve">С включването на целевите приходи по тези статии общият размер на средствата, предвидени в бюджета за 2019 г., е 855 млн. евро за сектора на плодовете и зеленчуците и 35 326 млн. евро за отделените от производството директни плащания. </w:t>
      </w:r>
    </w:p>
    <w:p>
      <w:pPr>
        <w:pStyle w:val="Heading1"/>
        <w:rPr>
          <w:noProof/>
        </w:rPr>
      </w:pPr>
      <w:bookmarkStart w:id="11" w:name="_Toc244054015"/>
      <w:bookmarkStart w:id="12" w:name="_Toc413145209"/>
      <w:bookmarkStart w:id="13" w:name="_Toc5008861"/>
      <w:bookmarkStart w:id="14" w:name="_Toc5807639"/>
      <w:r>
        <w:rPr>
          <w:noProof/>
        </w:rPr>
        <w:t>Бележки относно предварителните данни за изпълнението на бюджета на ЕФГЗ за 2019 г.</w:t>
      </w:r>
      <w:bookmarkEnd w:id="11"/>
      <w:bookmarkEnd w:id="12"/>
      <w:bookmarkEnd w:id="13"/>
      <w:bookmarkEnd w:id="14"/>
    </w:p>
    <w:p>
      <w:pPr>
        <w:spacing w:before="120" w:after="120" w:line="240" w:lineRule="auto"/>
        <w:ind w:left="850"/>
        <w:jc w:val="both"/>
        <w:rPr>
          <w:rFonts w:ascii="Times New Roman" w:eastAsia="Times New Roman" w:hAnsi="Times New Roman"/>
          <w:noProof/>
          <w:sz w:val="24"/>
          <w:szCs w:val="24"/>
        </w:rPr>
      </w:pPr>
      <w:bookmarkStart w:id="15" w:name="_Toc244054016"/>
      <w:r>
        <w:rPr>
          <w:rFonts w:ascii="Times New Roman" w:hAnsi="Times New Roman"/>
          <w:noProof/>
          <w:sz w:val="24"/>
        </w:rPr>
        <w:t>В приложението към настоящия доклад са представени предварителните данни за изпълнението на бюджета за периода от 16 октомври 2018 г. до 31 януари 2019 г. Това изпълнение е съпоставено с профила на разходите на Системата за ранно предупреждение и мониторинг, въведена съгласно член 28 от Регламент (ЕС) № 1306/2013.</w:t>
      </w:r>
    </w:p>
    <w:p>
      <w:pPr>
        <w:spacing w:before="120" w:after="120" w:line="240" w:lineRule="auto"/>
        <w:ind w:left="850"/>
        <w:jc w:val="both"/>
        <w:rPr>
          <w:rFonts w:ascii="Times New Roman" w:eastAsia="Times New Roman" w:hAnsi="Times New Roman"/>
          <w:noProof/>
          <w:sz w:val="24"/>
          <w:szCs w:val="24"/>
        </w:rPr>
      </w:pPr>
    </w:p>
    <w:p>
      <w:pPr>
        <w:pStyle w:val="Heading2"/>
        <w:rPr>
          <w:noProof/>
        </w:rPr>
      </w:pPr>
      <w:bookmarkStart w:id="16" w:name="_Toc5008862"/>
      <w:bookmarkStart w:id="17" w:name="_Toc5807640"/>
      <w:r>
        <w:rPr>
          <w:noProof/>
        </w:rPr>
        <w:t>Пазарни мерки</w:t>
      </w:r>
      <w:bookmarkEnd w:id="15"/>
      <w:bookmarkEnd w:id="16"/>
      <w:bookmarkEnd w:id="17"/>
    </w:p>
    <w:p>
      <w:pPr>
        <w:pStyle w:val="Text1"/>
        <w:rPr>
          <w:noProof/>
        </w:rPr>
      </w:pPr>
      <w:r>
        <w:rPr>
          <w:noProof/>
        </w:rPr>
        <w:t>Усвоените бюджетни кредити за интервенции на селскостопанските пазари бяха със 152 млн. евро по-малко от очакваното. Това се дължи предимно на по-ниското усвояване на бюджетни кредити по бюджетната статия за насърчаване на селскостопански продукти (вж. точка 3.1.1).</w:t>
      </w:r>
    </w:p>
    <w:p>
      <w:pPr>
        <w:pStyle w:val="Heading3"/>
        <w:rPr>
          <w:noProof/>
        </w:rPr>
      </w:pPr>
      <w:bookmarkStart w:id="18" w:name="_Toc525722902"/>
      <w:bookmarkStart w:id="19" w:name="_Toc525734906"/>
      <w:bookmarkStart w:id="20" w:name="_Toc525736637"/>
      <w:bookmarkStart w:id="21" w:name="_Toc526175165"/>
      <w:bookmarkStart w:id="22" w:name="_Toc5008863"/>
      <w:bookmarkStart w:id="23" w:name="_Toc5807641"/>
      <w:bookmarkEnd w:id="18"/>
      <w:bookmarkEnd w:id="19"/>
      <w:bookmarkEnd w:id="20"/>
      <w:bookmarkEnd w:id="21"/>
      <w:r>
        <w:rPr>
          <w:noProof/>
        </w:rPr>
        <w:t>Насърчаване</w:t>
      </w:r>
      <w:bookmarkEnd w:id="22"/>
      <w:bookmarkEnd w:id="23"/>
    </w:p>
    <w:p>
      <w:pPr>
        <w:pStyle w:val="Text1"/>
        <w:rPr>
          <w:noProof/>
        </w:rPr>
      </w:pPr>
      <w:r>
        <w:rPr>
          <w:noProof/>
        </w:rPr>
        <w:t>Съгласно профила на разходите следваше финансовото задължение за бюджетните кредити за т.нар. „множествени“ програми да се поеме през януари. До края на януари обаче беше поето задължение само за част от общата сума, което обяснява разликата от 112 млн. евро в сравнение с профила.</w:t>
      </w:r>
    </w:p>
    <w:p>
      <w:pPr>
        <w:pStyle w:val="Heading3"/>
        <w:rPr>
          <w:noProof/>
        </w:rPr>
      </w:pPr>
      <w:bookmarkStart w:id="24" w:name="_Toc5008864"/>
      <w:bookmarkStart w:id="25" w:name="_Toc5807642"/>
      <w:r>
        <w:rPr>
          <w:noProof/>
        </w:rPr>
        <w:t>Плодове и зеленчуци</w:t>
      </w:r>
      <w:bookmarkEnd w:id="24"/>
      <w:bookmarkEnd w:id="25"/>
    </w:p>
    <w:p>
      <w:pPr>
        <w:pStyle w:val="Text1"/>
        <w:rPr>
          <w:noProof/>
        </w:rPr>
      </w:pPr>
      <w:r>
        <w:rPr>
          <w:noProof/>
        </w:rPr>
        <w:t>Изпълнението в този сектор протича според планираното, а декларираните разходи превишават профила с 8 млн. евро.</w:t>
      </w:r>
    </w:p>
    <w:p>
      <w:pPr>
        <w:pStyle w:val="Heading3"/>
        <w:rPr>
          <w:noProof/>
        </w:rPr>
      </w:pPr>
      <w:bookmarkStart w:id="26" w:name="_Toc5008865"/>
      <w:bookmarkStart w:id="27" w:name="_Toc5807643"/>
      <w:r>
        <w:rPr>
          <w:noProof/>
        </w:rPr>
        <w:t>Продукти от лозаро-винарския сектор</w:t>
      </w:r>
      <w:bookmarkEnd w:id="26"/>
      <w:bookmarkEnd w:id="27"/>
    </w:p>
    <w:p>
      <w:pPr>
        <w:pStyle w:val="Text1"/>
        <w:rPr>
          <w:noProof/>
        </w:rPr>
      </w:pPr>
      <w:r>
        <w:rPr>
          <w:noProof/>
        </w:rPr>
        <w:t>Разходите, декларирани до момента по тази бюджетна статия, са с 2 процентни пункта (т.е. с 23 млн. евро) по-ниски от профила на разходите.</w:t>
      </w:r>
    </w:p>
    <w:p>
      <w:pPr>
        <w:pStyle w:val="Text1"/>
        <w:rPr>
          <w:noProof/>
        </w:rPr>
      </w:pPr>
      <w:r>
        <w:rPr>
          <w:noProof/>
        </w:rPr>
        <w:t>Счита се, че това малко отклонение е временно, и се очаква, че заложената в бюджета сума ще бъде усвоена към края на годината.</w:t>
      </w:r>
    </w:p>
    <w:p>
      <w:pPr>
        <w:pStyle w:val="Heading3"/>
        <w:rPr>
          <w:noProof/>
        </w:rPr>
      </w:pPr>
      <w:bookmarkStart w:id="28" w:name="_Toc5008866"/>
      <w:bookmarkStart w:id="29" w:name="_Toc5807644"/>
      <w:r>
        <w:rPr>
          <w:noProof/>
        </w:rPr>
        <w:t>Други растителни продукти/мерки</w:t>
      </w:r>
      <w:bookmarkEnd w:id="28"/>
      <w:bookmarkEnd w:id="29"/>
    </w:p>
    <w:p>
      <w:pPr>
        <w:pStyle w:val="Text1"/>
        <w:rPr>
          <w:noProof/>
        </w:rPr>
      </w:pPr>
      <w:r>
        <w:rPr>
          <w:noProof/>
        </w:rPr>
        <w:t>Декларираните разходи са с 6 процентни пункта (т.е. с 14 млн. евро) по-ниски от профила. Плащанията по програмите POSEI (програми за най-отдалечените региони) са по-ниски от очакваното.</w:t>
      </w:r>
    </w:p>
    <w:p>
      <w:pPr>
        <w:pStyle w:val="Text1"/>
        <w:rPr>
          <w:noProof/>
        </w:rPr>
      </w:pPr>
      <w:r>
        <w:rPr>
          <w:noProof/>
        </w:rPr>
        <w:t>При тях също се счита, че отклонението е временно, и се очаква, че заложената в бюджета сума ще бъде усвоена към края на годината.</w:t>
      </w:r>
    </w:p>
    <w:p>
      <w:pPr>
        <w:pStyle w:val="Heading3"/>
        <w:rPr>
          <w:noProof/>
        </w:rPr>
      </w:pPr>
      <w:bookmarkStart w:id="30" w:name="_Toc5008867"/>
      <w:bookmarkStart w:id="31" w:name="_Toc5807645"/>
      <w:r>
        <w:rPr>
          <w:noProof/>
        </w:rPr>
        <w:t>Мляко и млечни продукти</w:t>
      </w:r>
      <w:bookmarkEnd w:id="30"/>
      <w:bookmarkEnd w:id="31"/>
      <w:r>
        <w:rPr>
          <w:noProof/>
        </w:rPr>
        <w:t xml:space="preserve"> </w:t>
      </w:r>
    </w:p>
    <w:p>
      <w:pPr>
        <w:pStyle w:val="Text1"/>
        <w:rPr>
          <w:noProof/>
        </w:rPr>
      </w:pPr>
      <w:r>
        <w:rPr>
          <w:noProof/>
        </w:rPr>
        <w:t>Отклонението от профила на разходите се обяснява с декларираните от държавите членки печалби (в сравнение със счетоводната стойност) върху продажбите на обезмаслено мляко на прах.</w:t>
      </w:r>
    </w:p>
    <w:p>
      <w:pPr>
        <w:pStyle w:val="Text1"/>
        <w:rPr>
          <w:noProof/>
        </w:rPr>
      </w:pPr>
    </w:p>
    <w:p>
      <w:pPr>
        <w:pStyle w:val="Heading2"/>
        <w:rPr>
          <w:noProof/>
        </w:rPr>
      </w:pPr>
      <w:bookmarkStart w:id="32" w:name="_Toc5008868"/>
      <w:bookmarkStart w:id="33" w:name="_Toc5807646"/>
      <w:bookmarkStart w:id="34" w:name="_Toc244054022"/>
      <w:r>
        <w:rPr>
          <w:noProof/>
        </w:rPr>
        <w:t>Директни плащания</w:t>
      </w:r>
      <w:bookmarkEnd w:id="32"/>
      <w:bookmarkEnd w:id="33"/>
      <w:r>
        <w:rPr>
          <w:noProof/>
        </w:rPr>
        <w:t xml:space="preserve"> </w:t>
      </w:r>
      <w:bookmarkEnd w:id="34"/>
    </w:p>
    <w:p>
      <w:pPr>
        <w:spacing w:before="120" w:after="120" w:line="240" w:lineRule="auto"/>
        <w:ind w:left="850"/>
        <w:jc w:val="both"/>
        <w:rPr>
          <w:rFonts w:ascii="Times New Roman" w:eastAsia="Times New Roman" w:hAnsi="Times New Roman"/>
          <w:noProof/>
          <w:sz w:val="24"/>
          <w:szCs w:val="24"/>
        </w:rPr>
      </w:pPr>
      <w:bookmarkStart w:id="35" w:name="_Toc244054023"/>
      <w:r>
        <w:rPr>
          <w:rFonts w:ascii="Times New Roman" w:hAnsi="Times New Roman"/>
          <w:noProof/>
          <w:sz w:val="24"/>
        </w:rPr>
        <w:t>Усвояването на бюджетни кредити за директни плащания превишава профила на усвояването с 1 347 млн. евро (т.е. с 3,4 процентни пункта).</w:t>
      </w:r>
    </w:p>
    <w:p>
      <w:pPr>
        <w:pStyle w:val="Heading3"/>
        <w:rPr>
          <w:noProof/>
        </w:rPr>
      </w:pPr>
      <w:bookmarkStart w:id="36" w:name="_Toc5008869"/>
      <w:bookmarkStart w:id="37" w:name="_Toc5807647"/>
      <w:r>
        <w:rPr>
          <w:noProof/>
        </w:rPr>
        <w:t>Отделени от производството директни плащания</w:t>
      </w:r>
      <w:bookmarkEnd w:id="36"/>
      <w:bookmarkEnd w:id="37"/>
    </w:p>
    <w:p>
      <w:pPr>
        <w:pStyle w:val="Text1"/>
        <w:rPr>
          <w:noProof/>
        </w:rPr>
      </w:pPr>
      <w:r>
        <w:rPr>
          <w:noProof/>
        </w:rPr>
        <w:t>Декларираните разходи са 1 359 млн. евро и превишават профила с 4 процентни пункта. Плащанията за земеделски стопани в райони с природни ограничения са в съответствие с профила, а разходите по останалите пет схеми го превишават. Силният старт се дължи до голяма степен на схемата за основно плащане и плащанията за селскостопански практики, благоприятни за климата и околната среда — съответно +977 млн. евро и +278 млн. евро.</w:t>
      </w:r>
    </w:p>
    <w:p>
      <w:pPr>
        <w:pStyle w:val="Heading3"/>
        <w:rPr>
          <w:noProof/>
        </w:rPr>
      </w:pPr>
      <w:bookmarkStart w:id="38" w:name="_Toc525734915"/>
      <w:bookmarkStart w:id="39" w:name="_Toc525736646"/>
      <w:bookmarkStart w:id="40" w:name="_Toc526175174"/>
      <w:bookmarkStart w:id="41" w:name="_Toc525734916"/>
      <w:bookmarkStart w:id="42" w:name="_Toc525736647"/>
      <w:bookmarkStart w:id="43" w:name="_Toc526175175"/>
      <w:bookmarkStart w:id="44" w:name="_Toc525734917"/>
      <w:bookmarkStart w:id="45" w:name="_Toc525736648"/>
      <w:bookmarkStart w:id="46" w:name="_Toc526175176"/>
      <w:bookmarkStart w:id="47" w:name="_Toc5008870"/>
      <w:bookmarkStart w:id="48" w:name="_Toc5807648"/>
      <w:bookmarkEnd w:id="38"/>
      <w:bookmarkEnd w:id="39"/>
      <w:bookmarkEnd w:id="40"/>
      <w:bookmarkEnd w:id="41"/>
      <w:bookmarkEnd w:id="42"/>
      <w:bookmarkEnd w:id="43"/>
      <w:bookmarkEnd w:id="44"/>
      <w:bookmarkEnd w:id="45"/>
      <w:bookmarkEnd w:id="46"/>
      <w:r>
        <w:rPr>
          <w:noProof/>
        </w:rPr>
        <w:t>Други директни плащания</w:t>
      </w:r>
      <w:bookmarkEnd w:id="47"/>
      <w:bookmarkEnd w:id="48"/>
    </w:p>
    <w:p>
      <w:pPr>
        <w:spacing w:before="120" w:after="120" w:line="240" w:lineRule="auto"/>
        <w:ind w:left="850"/>
        <w:jc w:val="both"/>
        <w:rPr>
          <w:rFonts w:ascii="Times New Roman" w:eastAsia="Times New Roman" w:hAnsi="Times New Roman"/>
          <w:noProof/>
          <w:sz w:val="24"/>
          <w:szCs w:val="24"/>
        </w:rPr>
      </w:pPr>
      <w:bookmarkStart w:id="49" w:name="_Toc244054027"/>
      <w:bookmarkEnd w:id="35"/>
      <w:r>
        <w:rPr>
          <w:rFonts w:ascii="Times New Roman" w:hAnsi="Times New Roman"/>
          <w:noProof/>
          <w:sz w:val="24"/>
        </w:rPr>
        <w:t>Разходите, декларирани по тази бюджетна статия, са в съответствие с профила.</w:t>
      </w:r>
    </w:p>
    <w:p>
      <w:pPr>
        <w:pStyle w:val="Heading1"/>
        <w:rPr>
          <w:noProof/>
        </w:rPr>
      </w:pPr>
      <w:bookmarkStart w:id="50" w:name="_Toc413145210"/>
      <w:bookmarkStart w:id="51" w:name="_Toc5008871"/>
      <w:bookmarkStart w:id="52" w:name="_Toc5807649"/>
      <w:r>
        <w:rPr>
          <w:noProof/>
        </w:rPr>
        <w:t>Изпълнение на целевите приходи по линия на ЕФГЗ</w:t>
      </w:r>
      <w:bookmarkEnd w:id="49"/>
      <w:bookmarkEnd w:id="50"/>
      <w:bookmarkEnd w:id="51"/>
      <w:bookmarkEnd w:id="52"/>
    </w:p>
    <w:p>
      <w:pPr>
        <w:spacing w:before="90" w:after="120" w:line="240" w:lineRule="auto"/>
        <w:ind w:left="851"/>
        <w:jc w:val="both"/>
        <w:rPr>
          <w:rFonts w:ascii="Times New Roman" w:eastAsia="Times New Roman" w:hAnsi="Times New Roman"/>
          <w:noProof/>
          <w:sz w:val="24"/>
          <w:szCs w:val="24"/>
        </w:rPr>
      </w:pPr>
      <w:bookmarkStart w:id="53" w:name="_Toc244054028"/>
      <w:r>
        <w:rPr>
          <w:rFonts w:ascii="Times New Roman" w:hAnsi="Times New Roman"/>
          <w:noProof/>
          <w:sz w:val="24"/>
        </w:rPr>
        <w:t>Таблицата в приложението показва, че към края на януари 2019 г. са събрани целеви приходи, възлизащи на 195 млн. евро. По-специално:</w:t>
      </w:r>
    </w:p>
    <w:p>
      <w:pPr>
        <w:numPr>
          <w:ilvl w:val="0"/>
          <w:numId w:val="12"/>
        </w:numPr>
        <w:spacing w:before="120" w:after="0" w:line="240" w:lineRule="auto"/>
        <w:jc w:val="both"/>
        <w:rPr>
          <w:rFonts w:ascii="Times New Roman" w:eastAsia="Times New Roman" w:hAnsi="Times New Roman"/>
          <w:noProof/>
          <w:sz w:val="24"/>
          <w:szCs w:val="24"/>
        </w:rPr>
      </w:pPr>
      <w:r>
        <w:rPr>
          <w:rFonts w:ascii="Times New Roman" w:hAnsi="Times New Roman"/>
          <w:noProof/>
          <w:sz w:val="24"/>
        </w:rPr>
        <w:t>приходи от корекции по силата на решения за счетоводно уравняване и за уравняване по съответствие в размер на 146 млн. евро, като до края на бюджетната година се очакват допълнителни суми,</w:t>
      </w:r>
    </w:p>
    <w:p>
      <w:pPr>
        <w:numPr>
          <w:ilvl w:val="0"/>
          <w:numId w:val="12"/>
        </w:numPr>
        <w:spacing w:before="120" w:after="0" w:line="240" w:lineRule="auto"/>
        <w:jc w:val="both"/>
        <w:rPr>
          <w:rFonts w:ascii="Times New Roman" w:eastAsia="Times New Roman" w:hAnsi="Times New Roman"/>
          <w:noProof/>
          <w:sz w:val="24"/>
          <w:szCs w:val="24"/>
        </w:rPr>
      </w:pPr>
      <w:r>
        <w:rPr>
          <w:rFonts w:ascii="Times New Roman" w:hAnsi="Times New Roman"/>
          <w:noProof/>
          <w:sz w:val="24"/>
        </w:rPr>
        <w:t xml:space="preserve">приходи вследствие на нередности в размер на 48 млн. евро, като до края на бюджетната година също се очакват допълнителни суми, </w:t>
      </w:r>
    </w:p>
    <w:p>
      <w:pPr>
        <w:numPr>
          <w:ilvl w:val="0"/>
          <w:numId w:val="12"/>
        </w:numPr>
        <w:spacing w:before="120" w:after="0" w:line="240" w:lineRule="auto"/>
        <w:jc w:val="both"/>
        <w:rPr>
          <w:rFonts w:ascii="Times New Roman" w:eastAsia="Times New Roman" w:hAnsi="Times New Roman"/>
          <w:noProof/>
          <w:sz w:val="24"/>
          <w:szCs w:val="24"/>
        </w:rPr>
      </w:pPr>
      <w:r>
        <w:rPr>
          <w:rFonts w:ascii="Times New Roman" w:hAnsi="Times New Roman"/>
          <w:noProof/>
          <w:sz w:val="24"/>
        </w:rPr>
        <w:t>остатъчни приходи от налога в сектора на млякото и млечните продукти в размер на 0,8 млн. евро.</w:t>
      </w:r>
    </w:p>
    <w:p>
      <w:pPr>
        <w:spacing w:before="120" w:after="120" w:line="240" w:lineRule="auto"/>
        <w:ind w:left="850"/>
        <w:jc w:val="both"/>
        <w:rPr>
          <w:rFonts w:ascii="Times New Roman" w:eastAsia="Times New Roman" w:hAnsi="Times New Roman"/>
          <w:noProof/>
          <w:sz w:val="24"/>
          <w:szCs w:val="24"/>
        </w:rPr>
      </w:pPr>
      <w:r>
        <w:rPr>
          <w:rFonts w:ascii="Times New Roman" w:hAnsi="Times New Roman"/>
          <w:noProof/>
          <w:sz w:val="24"/>
        </w:rPr>
        <w:t xml:space="preserve">Накрая, целевите приходи, пренесени от 2018 към 2019 г., възлизат на 449 млн. евро, което е с 4,8 млн. евро повече от очакваното при приемането на бюджета за 2019 г. </w:t>
      </w:r>
    </w:p>
    <w:p>
      <w:pPr>
        <w:pStyle w:val="Text1"/>
        <w:rPr>
          <w:noProof/>
        </w:rPr>
      </w:pPr>
      <w:r>
        <w:rPr>
          <w:noProof/>
        </w:rPr>
        <w:t>Така общият размер на наличните целеви приходи за финансиране на разходите по линия на ЕФГЗ към 31 януари 2019 г. възлиза на 664 млн. евро, като в течение на бюджетната година се очаква да бъдат събрани още суми.</w:t>
      </w:r>
    </w:p>
    <w:p>
      <w:pPr>
        <w:pStyle w:val="Heading1"/>
        <w:rPr>
          <w:noProof/>
        </w:rPr>
      </w:pPr>
      <w:bookmarkStart w:id="54" w:name="_Toc244054030"/>
      <w:bookmarkStart w:id="55" w:name="_Toc413145211"/>
      <w:bookmarkStart w:id="56" w:name="_Toc5008872"/>
      <w:bookmarkStart w:id="57" w:name="_Toc5807650"/>
      <w:bookmarkEnd w:id="53"/>
      <w:r>
        <w:rPr>
          <w:noProof/>
        </w:rPr>
        <w:t>Заключения</w:t>
      </w:r>
      <w:bookmarkEnd w:id="54"/>
      <w:bookmarkEnd w:id="55"/>
      <w:bookmarkEnd w:id="56"/>
      <w:bookmarkEnd w:id="57"/>
    </w:p>
    <w:p>
      <w:pPr>
        <w:spacing w:before="120" w:after="120" w:line="240" w:lineRule="auto"/>
        <w:ind w:left="850"/>
        <w:jc w:val="both"/>
        <w:rPr>
          <w:rFonts w:ascii="Times New Roman" w:eastAsia="Times New Roman" w:hAnsi="Times New Roman"/>
          <w:noProof/>
          <w:sz w:val="24"/>
          <w:szCs w:val="24"/>
        </w:rPr>
      </w:pPr>
      <w:r>
        <w:rPr>
          <w:rFonts w:ascii="Times New Roman" w:hAnsi="Times New Roman"/>
          <w:noProof/>
          <w:sz w:val="24"/>
        </w:rPr>
        <w:t xml:space="preserve">Съгласно предварителните данни за усвояването на бюджетните кредити по линия на ЕФГЗ за 2019 г. за периода до 31 януари 2019 г. месечните възстановявания в полза на държавите членки превишават изчисления профил на усвояване с 1 183 млн. евро. </w:t>
      </w:r>
    </w:p>
    <w:p>
      <w:pPr>
        <w:spacing w:before="120" w:after="120" w:line="240" w:lineRule="auto"/>
        <w:ind w:left="850"/>
        <w:jc w:val="both"/>
        <w:rPr>
          <w:rFonts w:ascii="Times New Roman" w:eastAsia="Times New Roman" w:hAnsi="Times New Roman"/>
          <w:noProof/>
          <w:sz w:val="24"/>
          <w:szCs w:val="24"/>
        </w:rPr>
      </w:pPr>
      <w:r>
        <w:rPr>
          <w:rFonts w:ascii="Times New Roman" w:hAnsi="Times New Roman"/>
          <w:noProof/>
          <w:sz w:val="24"/>
        </w:rPr>
        <w:t xml:space="preserve">Вече са налице целеви приходи в размер на 644 млн. евро, като в течение на бюджетната година се очаква да бъдат събрани още суми. </w:t>
      </w:r>
    </w:p>
    <w:p>
      <w:pPr>
        <w:spacing w:before="120" w:after="120" w:line="240" w:lineRule="auto"/>
        <w:ind w:left="850"/>
        <w:jc w:val="both"/>
        <w:rPr>
          <w:noProof/>
        </w:rPr>
      </w:pPr>
      <w:r>
        <w:rPr>
          <w:rFonts w:ascii="Times New Roman" w:hAnsi="Times New Roman"/>
          <w:noProof/>
          <w:sz w:val="24"/>
        </w:rPr>
        <w:t>Понастоящем Комисията очаква, че одобрените бюджетни кредити и целевите приходи, които ще бъдат налични към края на бюджетната година, ще бъдат достатъчни за покриване на всички разходи.</w:t>
      </w:r>
    </w:p>
    <w:sectPr>
      <w:headerReference w:type="even" r:id="rId22"/>
      <w:headerReference w:type="default" r:id="rId23"/>
      <w:footerReference w:type="even" r:id="rId24"/>
      <w:footerReference w:type="default" r:id="rId25"/>
      <w:headerReference w:type="first" r:id="rId26"/>
      <w:footerReference w:type="first" r:id="rId27"/>
      <w:pgSz w:w="11907" w:h="16840"/>
      <w:pgMar w:top="1134" w:right="1418" w:bottom="1134" w:left="1440" w:header="595"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BG</w:t>
    </w:r>
    <w:r>
      <w:rPr>
        <w:rFonts w:ascii="Arial" w:hAnsi="Arial" w:cs="Arial"/>
        <w:b/>
        <w:sz w:val="48"/>
      </w:rPr>
      <w:tab/>
    </w:r>
    <w:r>
      <w:rPr>
        <w:rFonts w:ascii="Arial" w:hAnsi="Arial" w:cs="Arial"/>
        <w:b/>
        <w:sz w:val="48"/>
      </w:rPr>
      <w:tab/>
    </w:r>
    <w:r>
      <w:tab/>
    </w:r>
    <w:r>
      <w:rPr>
        <w:rFonts w:ascii="Arial" w:hAnsi="Arial" w:cs="Arial"/>
        <w:b/>
        <w:sz w:val="48"/>
      </w:rPr>
      <w:t>BG</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rPr>
        <w:szCs w:val="24"/>
      </w:rPr>
    </w:pPr>
    <w:r>
      <w:rPr>
        <w:szCs w:val="24"/>
      </w:rPr>
      <w:fldChar w:fldCharType="begin"/>
    </w:r>
    <w:r>
      <w:rPr>
        <w:szCs w:val="24"/>
      </w:rPr>
      <w:instrText xml:space="preserve"> PAGE   \* MERGEFORMAT </w:instrText>
    </w:r>
    <w:r>
      <w:rPr>
        <w:szCs w:val="24"/>
      </w:rPr>
      <w:fldChar w:fldCharType="separate"/>
    </w:r>
    <w:r>
      <w:rPr>
        <w:noProof/>
        <w:szCs w:val="24"/>
      </w:rPr>
      <w:t>1</w:t>
    </w:r>
    <w:r>
      <w:rPr>
        <w:noProof/>
        <w:szCs w:val="24"/>
      </w:rPr>
      <w:fldChar w:fldCharType="end"/>
    </w:r>
  </w:p>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964038"/>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5</w:t>
        </w:r>
        <w:r>
          <w:rPr>
            <w:noProof/>
          </w:rPr>
          <w:fldChar w:fldCharType="end"/>
        </w:r>
      </w:p>
    </w:sdtContent>
  </w:sdt>
  <w:p>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Text"/>
        <w:spacing w:after="60"/>
        <w:ind w:left="851" w:hanging="851"/>
        <w:jc w:val="both"/>
        <w:rPr>
          <w:rFonts w:ascii="Times New Roman" w:hAnsi="Times New Roman"/>
        </w:rPr>
      </w:pPr>
      <w:r>
        <w:rPr>
          <w:rStyle w:val="FootnoteReference"/>
          <w:rFonts w:ascii="Times New Roman" w:hAnsi="Times New Roman"/>
        </w:rPr>
        <w:footnoteRef/>
      </w:r>
      <w:r>
        <w:tab/>
      </w:r>
      <w:r>
        <w:rPr>
          <w:rFonts w:ascii="Times New Roman" w:hAnsi="Times New Roman"/>
        </w:rPr>
        <w:t>В член 12, параграф 4, буква б) от Регламент (ЕС, Евратом) 2018/1046 на Европейския парламент и на Съвета за финансовите правила, приложими за общия бюджет на Съюза, се определя, че бюджетните кредити, съответстващи на вътрешни целеви приходи, може да бъдат пренасяни само за следващата финансова година.</w:t>
      </w:r>
      <w:r>
        <w:t xml:space="preserve"> </w:t>
      </w:r>
      <w:r>
        <w:rPr>
          <w:rFonts w:ascii="Times New Roman" w:hAnsi="Times New Roman"/>
        </w:rPr>
        <w:t xml:space="preserve">Поради това и в интерес на доброто бюджетно управление тези целеви приходи по принцип се използват преди всички одобрени бюджетни кредити по съответната бюджетна статия.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B10243"/>
    <w:multiLevelType w:val="hybridMultilevel"/>
    <w:tmpl w:val="F10CF124"/>
    <w:lvl w:ilvl="0" w:tplc="0809000F">
      <w:start w:val="1"/>
      <w:numFmt w:val="decimal"/>
      <w:lvlText w:val="%1."/>
      <w:lvlJc w:val="left"/>
      <w:pPr>
        <w:ind w:left="1570" w:hanging="360"/>
      </w:pPr>
    </w:lvl>
    <w:lvl w:ilvl="1" w:tplc="08090019" w:tentative="1">
      <w:start w:val="1"/>
      <w:numFmt w:val="lowerLetter"/>
      <w:lvlText w:val="%2."/>
      <w:lvlJc w:val="left"/>
      <w:pPr>
        <w:ind w:left="2290" w:hanging="360"/>
      </w:pPr>
    </w:lvl>
    <w:lvl w:ilvl="2" w:tplc="0809001B" w:tentative="1">
      <w:start w:val="1"/>
      <w:numFmt w:val="lowerRoman"/>
      <w:lvlText w:val="%3."/>
      <w:lvlJc w:val="right"/>
      <w:pPr>
        <w:ind w:left="3010" w:hanging="180"/>
      </w:pPr>
    </w:lvl>
    <w:lvl w:ilvl="3" w:tplc="0809000F" w:tentative="1">
      <w:start w:val="1"/>
      <w:numFmt w:val="decimal"/>
      <w:lvlText w:val="%4."/>
      <w:lvlJc w:val="left"/>
      <w:pPr>
        <w:ind w:left="3730" w:hanging="360"/>
      </w:pPr>
    </w:lvl>
    <w:lvl w:ilvl="4" w:tplc="08090019" w:tentative="1">
      <w:start w:val="1"/>
      <w:numFmt w:val="lowerLetter"/>
      <w:lvlText w:val="%5."/>
      <w:lvlJc w:val="left"/>
      <w:pPr>
        <w:ind w:left="4450" w:hanging="360"/>
      </w:pPr>
    </w:lvl>
    <w:lvl w:ilvl="5" w:tplc="0809001B" w:tentative="1">
      <w:start w:val="1"/>
      <w:numFmt w:val="lowerRoman"/>
      <w:lvlText w:val="%6."/>
      <w:lvlJc w:val="right"/>
      <w:pPr>
        <w:ind w:left="5170" w:hanging="180"/>
      </w:pPr>
    </w:lvl>
    <w:lvl w:ilvl="6" w:tplc="0809000F" w:tentative="1">
      <w:start w:val="1"/>
      <w:numFmt w:val="decimal"/>
      <w:lvlText w:val="%7."/>
      <w:lvlJc w:val="left"/>
      <w:pPr>
        <w:ind w:left="5890" w:hanging="360"/>
      </w:pPr>
    </w:lvl>
    <w:lvl w:ilvl="7" w:tplc="08090019" w:tentative="1">
      <w:start w:val="1"/>
      <w:numFmt w:val="lowerLetter"/>
      <w:lvlText w:val="%8."/>
      <w:lvlJc w:val="left"/>
      <w:pPr>
        <w:ind w:left="6610" w:hanging="360"/>
      </w:pPr>
    </w:lvl>
    <w:lvl w:ilvl="8" w:tplc="0809001B" w:tentative="1">
      <w:start w:val="1"/>
      <w:numFmt w:val="lowerRoman"/>
      <w:lvlText w:val="%9."/>
      <w:lvlJc w:val="right"/>
      <w:pPr>
        <w:ind w:left="7330" w:hanging="180"/>
      </w:pPr>
    </w:lvl>
  </w:abstractNum>
  <w:abstractNum w:abstractNumId="1">
    <w:nsid w:val="12E871E7"/>
    <w:multiLevelType w:val="hybridMultilevel"/>
    <w:tmpl w:val="FE3E400C"/>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2">
    <w:nsid w:val="42713452"/>
    <w:multiLevelType w:val="singleLevel"/>
    <w:tmpl w:val="3B8CC7EA"/>
    <w:name w:val="Tiret 1"/>
    <w:lvl w:ilvl="0">
      <w:start w:val="1"/>
      <w:numFmt w:val="bullet"/>
      <w:pStyle w:val="Tiret1"/>
      <w:lvlText w:val="–"/>
      <w:lvlJc w:val="left"/>
      <w:pPr>
        <w:tabs>
          <w:tab w:val="num" w:pos="1417"/>
        </w:tabs>
        <w:ind w:left="1417" w:hanging="567"/>
      </w:pPr>
    </w:lvl>
  </w:abstractNum>
  <w:abstractNum w:abstractNumId="3">
    <w:nsid w:val="51043F95"/>
    <w:multiLevelType w:val="hybridMultilevel"/>
    <w:tmpl w:val="EC6A6122"/>
    <w:lvl w:ilvl="0" w:tplc="08090001">
      <w:start w:val="1"/>
      <w:numFmt w:val="bullet"/>
      <w:lvlText w:val=""/>
      <w:lvlJc w:val="left"/>
      <w:pPr>
        <w:ind w:left="1210" w:hanging="360"/>
      </w:pPr>
      <w:rPr>
        <w:rFonts w:ascii="Symbol" w:hAnsi="Symbol" w:hint="default"/>
      </w:rPr>
    </w:lvl>
    <w:lvl w:ilvl="1" w:tplc="08090003" w:tentative="1">
      <w:start w:val="1"/>
      <w:numFmt w:val="bullet"/>
      <w:lvlText w:val="o"/>
      <w:lvlJc w:val="left"/>
      <w:pPr>
        <w:ind w:left="1930" w:hanging="360"/>
      </w:pPr>
      <w:rPr>
        <w:rFonts w:ascii="Courier New" w:hAnsi="Courier New" w:cs="Courier New" w:hint="default"/>
      </w:rPr>
    </w:lvl>
    <w:lvl w:ilvl="2" w:tplc="08090005" w:tentative="1">
      <w:start w:val="1"/>
      <w:numFmt w:val="bullet"/>
      <w:lvlText w:val=""/>
      <w:lvlJc w:val="left"/>
      <w:pPr>
        <w:ind w:left="2650" w:hanging="360"/>
      </w:pPr>
      <w:rPr>
        <w:rFonts w:ascii="Wingdings" w:hAnsi="Wingdings" w:hint="default"/>
      </w:rPr>
    </w:lvl>
    <w:lvl w:ilvl="3" w:tplc="08090001" w:tentative="1">
      <w:start w:val="1"/>
      <w:numFmt w:val="bullet"/>
      <w:lvlText w:val=""/>
      <w:lvlJc w:val="left"/>
      <w:pPr>
        <w:ind w:left="3370" w:hanging="360"/>
      </w:pPr>
      <w:rPr>
        <w:rFonts w:ascii="Symbol" w:hAnsi="Symbol" w:hint="default"/>
      </w:rPr>
    </w:lvl>
    <w:lvl w:ilvl="4" w:tplc="08090003" w:tentative="1">
      <w:start w:val="1"/>
      <w:numFmt w:val="bullet"/>
      <w:lvlText w:val="o"/>
      <w:lvlJc w:val="left"/>
      <w:pPr>
        <w:ind w:left="4090" w:hanging="360"/>
      </w:pPr>
      <w:rPr>
        <w:rFonts w:ascii="Courier New" w:hAnsi="Courier New" w:cs="Courier New" w:hint="default"/>
      </w:rPr>
    </w:lvl>
    <w:lvl w:ilvl="5" w:tplc="08090005" w:tentative="1">
      <w:start w:val="1"/>
      <w:numFmt w:val="bullet"/>
      <w:lvlText w:val=""/>
      <w:lvlJc w:val="left"/>
      <w:pPr>
        <w:ind w:left="4810" w:hanging="360"/>
      </w:pPr>
      <w:rPr>
        <w:rFonts w:ascii="Wingdings" w:hAnsi="Wingdings" w:hint="default"/>
      </w:rPr>
    </w:lvl>
    <w:lvl w:ilvl="6" w:tplc="08090001" w:tentative="1">
      <w:start w:val="1"/>
      <w:numFmt w:val="bullet"/>
      <w:lvlText w:val=""/>
      <w:lvlJc w:val="left"/>
      <w:pPr>
        <w:ind w:left="5530" w:hanging="360"/>
      </w:pPr>
      <w:rPr>
        <w:rFonts w:ascii="Symbol" w:hAnsi="Symbol" w:hint="default"/>
      </w:rPr>
    </w:lvl>
    <w:lvl w:ilvl="7" w:tplc="08090003" w:tentative="1">
      <w:start w:val="1"/>
      <w:numFmt w:val="bullet"/>
      <w:lvlText w:val="o"/>
      <w:lvlJc w:val="left"/>
      <w:pPr>
        <w:ind w:left="6250" w:hanging="360"/>
      </w:pPr>
      <w:rPr>
        <w:rFonts w:ascii="Courier New" w:hAnsi="Courier New" w:cs="Courier New" w:hint="default"/>
      </w:rPr>
    </w:lvl>
    <w:lvl w:ilvl="8" w:tplc="08090005" w:tentative="1">
      <w:start w:val="1"/>
      <w:numFmt w:val="bullet"/>
      <w:lvlText w:val=""/>
      <w:lvlJc w:val="left"/>
      <w:pPr>
        <w:ind w:left="6970" w:hanging="360"/>
      </w:pPr>
      <w:rPr>
        <w:rFonts w:ascii="Wingdings" w:hAnsi="Wingdings" w:hint="default"/>
      </w:rPr>
    </w:lvl>
  </w:abstractNum>
  <w:abstractNum w:abstractNumId="4">
    <w:nsid w:val="53F47367"/>
    <w:multiLevelType w:val="singleLevel"/>
    <w:tmpl w:val="B4E8C9F0"/>
    <w:name w:val="LegalNumbering"/>
    <w:lvl w:ilvl="0">
      <w:start w:val="1"/>
      <w:numFmt w:val="bullet"/>
      <w:lvlRestart w:val="0"/>
      <w:lvlText w:val="–"/>
      <w:lvlJc w:val="left"/>
      <w:pPr>
        <w:tabs>
          <w:tab w:val="num" w:pos="1417"/>
        </w:tabs>
        <w:ind w:left="1417" w:hanging="567"/>
      </w:pPr>
    </w:lvl>
  </w:abstractNum>
  <w:abstractNum w:abstractNumId="5">
    <w:nsid w:val="55EA2AD9"/>
    <w:multiLevelType w:val="hybridMultilevel"/>
    <w:tmpl w:val="FB28C2BA"/>
    <w:lvl w:ilvl="0" w:tplc="08090001">
      <w:start w:val="1"/>
      <w:numFmt w:val="bullet"/>
      <w:lvlText w:val=""/>
      <w:lvlJc w:val="left"/>
      <w:pPr>
        <w:ind w:left="1210" w:hanging="360"/>
      </w:pPr>
      <w:rPr>
        <w:rFonts w:ascii="Symbol" w:hAnsi="Symbol" w:hint="default"/>
      </w:rPr>
    </w:lvl>
    <w:lvl w:ilvl="1" w:tplc="08090003" w:tentative="1">
      <w:start w:val="1"/>
      <w:numFmt w:val="bullet"/>
      <w:lvlText w:val="o"/>
      <w:lvlJc w:val="left"/>
      <w:pPr>
        <w:ind w:left="1930" w:hanging="360"/>
      </w:pPr>
      <w:rPr>
        <w:rFonts w:ascii="Courier New" w:hAnsi="Courier New" w:cs="Courier New" w:hint="default"/>
      </w:rPr>
    </w:lvl>
    <w:lvl w:ilvl="2" w:tplc="08090005" w:tentative="1">
      <w:start w:val="1"/>
      <w:numFmt w:val="bullet"/>
      <w:lvlText w:val=""/>
      <w:lvlJc w:val="left"/>
      <w:pPr>
        <w:ind w:left="2650" w:hanging="360"/>
      </w:pPr>
      <w:rPr>
        <w:rFonts w:ascii="Wingdings" w:hAnsi="Wingdings" w:hint="default"/>
      </w:rPr>
    </w:lvl>
    <w:lvl w:ilvl="3" w:tplc="08090001" w:tentative="1">
      <w:start w:val="1"/>
      <w:numFmt w:val="bullet"/>
      <w:lvlText w:val=""/>
      <w:lvlJc w:val="left"/>
      <w:pPr>
        <w:ind w:left="3370" w:hanging="360"/>
      </w:pPr>
      <w:rPr>
        <w:rFonts w:ascii="Symbol" w:hAnsi="Symbol" w:hint="default"/>
      </w:rPr>
    </w:lvl>
    <w:lvl w:ilvl="4" w:tplc="08090003" w:tentative="1">
      <w:start w:val="1"/>
      <w:numFmt w:val="bullet"/>
      <w:lvlText w:val="o"/>
      <w:lvlJc w:val="left"/>
      <w:pPr>
        <w:ind w:left="4090" w:hanging="360"/>
      </w:pPr>
      <w:rPr>
        <w:rFonts w:ascii="Courier New" w:hAnsi="Courier New" w:cs="Courier New" w:hint="default"/>
      </w:rPr>
    </w:lvl>
    <w:lvl w:ilvl="5" w:tplc="08090005" w:tentative="1">
      <w:start w:val="1"/>
      <w:numFmt w:val="bullet"/>
      <w:lvlText w:val=""/>
      <w:lvlJc w:val="left"/>
      <w:pPr>
        <w:ind w:left="4810" w:hanging="360"/>
      </w:pPr>
      <w:rPr>
        <w:rFonts w:ascii="Wingdings" w:hAnsi="Wingdings" w:hint="default"/>
      </w:rPr>
    </w:lvl>
    <w:lvl w:ilvl="6" w:tplc="08090001" w:tentative="1">
      <w:start w:val="1"/>
      <w:numFmt w:val="bullet"/>
      <w:lvlText w:val=""/>
      <w:lvlJc w:val="left"/>
      <w:pPr>
        <w:ind w:left="5530" w:hanging="360"/>
      </w:pPr>
      <w:rPr>
        <w:rFonts w:ascii="Symbol" w:hAnsi="Symbol" w:hint="default"/>
      </w:rPr>
    </w:lvl>
    <w:lvl w:ilvl="7" w:tplc="08090003" w:tentative="1">
      <w:start w:val="1"/>
      <w:numFmt w:val="bullet"/>
      <w:lvlText w:val="o"/>
      <w:lvlJc w:val="left"/>
      <w:pPr>
        <w:ind w:left="6250" w:hanging="360"/>
      </w:pPr>
      <w:rPr>
        <w:rFonts w:ascii="Courier New" w:hAnsi="Courier New" w:cs="Courier New" w:hint="default"/>
      </w:rPr>
    </w:lvl>
    <w:lvl w:ilvl="8" w:tplc="08090005" w:tentative="1">
      <w:start w:val="1"/>
      <w:numFmt w:val="bullet"/>
      <w:lvlText w:val=""/>
      <w:lvlJc w:val="left"/>
      <w:pPr>
        <w:ind w:left="6970" w:hanging="360"/>
      </w:pPr>
      <w:rPr>
        <w:rFonts w:ascii="Wingdings" w:hAnsi="Wingdings" w:hint="default"/>
      </w:rPr>
    </w:lvl>
  </w:abstractNum>
  <w:abstractNum w:abstractNumId="6">
    <w:nsid w:val="64A12FA4"/>
    <w:multiLevelType w:val="multilevel"/>
    <w:tmpl w:val="428ECF3E"/>
    <w:lvl w:ilvl="0">
      <w:start w:val="1"/>
      <w:numFmt w:val="decimal"/>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64E147BA"/>
    <w:multiLevelType w:val="hybridMultilevel"/>
    <w:tmpl w:val="C4FC6E94"/>
    <w:lvl w:ilvl="0" w:tplc="0809000F">
      <w:start w:val="1"/>
      <w:numFmt w:val="decimal"/>
      <w:lvlText w:val="%1."/>
      <w:lvlJc w:val="left"/>
      <w:pPr>
        <w:ind w:left="1570" w:hanging="360"/>
      </w:pPr>
    </w:lvl>
    <w:lvl w:ilvl="1" w:tplc="08090019" w:tentative="1">
      <w:start w:val="1"/>
      <w:numFmt w:val="lowerLetter"/>
      <w:lvlText w:val="%2."/>
      <w:lvlJc w:val="left"/>
      <w:pPr>
        <w:ind w:left="2290" w:hanging="360"/>
      </w:pPr>
    </w:lvl>
    <w:lvl w:ilvl="2" w:tplc="0809001B" w:tentative="1">
      <w:start w:val="1"/>
      <w:numFmt w:val="lowerRoman"/>
      <w:lvlText w:val="%3."/>
      <w:lvlJc w:val="right"/>
      <w:pPr>
        <w:ind w:left="3010" w:hanging="180"/>
      </w:pPr>
    </w:lvl>
    <w:lvl w:ilvl="3" w:tplc="0809000F" w:tentative="1">
      <w:start w:val="1"/>
      <w:numFmt w:val="decimal"/>
      <w:lvlText w:val="%4."/>
      <w:lvlJc w:val="left"/>
      <w:pPr>
        <w:ind w:left="3730" w:hanging="360"/>
      </w:pPr>
    </w:lvl>
    <w:lvl w:ilvl="4" w:tplc="08090019" w:tentative="1">
      <w:start w:val="1"/>
      <w:numFmt w:val="lowerLetter"/>
      <w:lvlText w:val="%5."/>
      <w:lvlJc w:val="left"/>
      <w:pPr>
        <w:ind w:left="4450" w:hanging="360"/>
      </w:pPr>
    </w:lvl>
    <w:lvl w:ilvl="5" w:tplc="0809001B" w:tentative="1">
      <w:start w:val="1"/>
      <w:numFmt w:val="lowerRoman"/>
      <w:lvlText w:val="%6."/>
      <w:lvlJc w:val="right"/>
      <w:pPr>
        <w:ind w:left="5170" w:hanging="180"/>
      </w:pPr>
    </w:lvl>
    <w:lvl w:ilvl="6" w:tplc="0809000F" w:tentative="1">
      <w:start w:val="1"/>
      <w:numFmt w:val="decimal"/>
      <w:lvlText w:val="%7."/>
      <w:lvlJc w:val="left"/>
      <w:pPr>
        <w:ind w:left="5890" w:hanging="360"/>
      </w:pPr>
    </w:lvl>
    <w:lvl w:ilvl="7" w:tplc="08090019" w:tentative="1">
      <w:start w:val="1"/>
      <w:numFmt w:val="lowerLetter"/>
      <w:lvlText w:val="%8."/>
      <w:lvlJc w:val="left"/>
      <w:pPr>
        <w:ind w:left="6610" w:hanging="360"/>
      </w:pPr>
    </w:lvl>
    <w:lvl w:ilvl="8" w:tplc="0809001B" w:tentative="1">
      <w:start w:val="1"/>
      <w:numFmt w:val="lowerRoman"/>
      <w:lvlText w:val="%9."/>
      <w:lvlJc w:val="right"/>
      <w:pPr>
        <w:ind w:left="7330" w:hanging="180"/>
      </w:pPr>
    </w:lvl>
  </w:abstractNum>
  <w:abstractNum w:abstractNumId="8">
    <w:nsid w:val="6C827C2A"/>
    <w:multiLevelType w:val="hybridMultilevel"/>
    <w:tmpl w:val="253E2B00"/>
    <w:lvl w:ilvl="0" w:tplc="08090001">
      <w:start w:val="1"/>
      <w:numFmt w:val="bullet"/>
      <w:lvlText w:val=""/>
      <w:lvlJc w:val="left"/>
      <w:pPr>
        <w:ind w:left="1210" w:hanging="360"/>
      </w:pPr>
      <w:rPr>
        <w:rFonts w:ascii="Symbol" w:hAnsi="Symbol" w:hint="default"/>
      </w:rPr>
    </w:lvl>
    <w:lvl w:ilvl="1" w:tplc="08090003" w:tentative="1">
      <w:start w:val="1"/>
      <w:numFmt w:val="bullet"/>
      <w:lvlText w:val="o"/>
      <w:lvlJc w:val="left"/>
      <w:pPr>
        <w:ind w:left="1930" w:hanging="360"/>
      </w:pPr>
      <w:rPr>
        <w:rFonts w:ascii="Courier New" w:hAnsi="Courier New" w:cs="Courier New" w:hint="default"/>
      </w:rPr>
    </w:lvl>
    <w:lvl w:ilvl="2" w:tplc="08090005" w:tentative="1">
      <w:start w:val="1"/>
      <w:numFmt w:val="bullet"/>
      <w:lvlText w:val=""/>
      <w:lvlJc w:val="left"/>
      <w:pPr>
        <w:ind w:left="2650" w:hanging="360"/>
      </w:pPr>
      <w:rPr>
        <w:rFonts w:ascii="Wingdings" w:hAnsi="Wingdings" w:hint="default"/>
      </w:rPr>
    </w:lvl>
    <w:lvl w:ilvl="3" w:tplc="08090001" w:tentative="1">
      <w:start w:val="1"/>
      <w:numFmt w:val="bullet"/>
      <w:lvlText w:val=""/>
      <w:lvlJc w:val="left"/>
      <w:pPr>
        <w:ind w:left="3370" w:hanging="360"/>
      </w:pPr>
      <w:rPr>
        <w:rFonts w:ascii="Symbol" w:hAnsi="Symbol" w:hint="default"/>
      </w:rPr>
    </w:lvl>
    <w:lvl w:ilvl="4" w:tplc="08090003" w:tentative="1">
      <w:start w:val="1"/>
      <w:numFmt w:val="bullet"/>
      <w:lvlText w:val="o"/>
      <w:lvlJc w:val="left"/>
      <w:pPr>
        <w:ind w:left="4090" w:hanging="360"/>
      </w:pPr>
      <w:rPr>
        <w:rFonts w:ascii="Courier New" w:hAnsi="Courier New" w:cs="Courier New" w:hint="default"/>
      </w:rPr>
    </w:lvl>
    <w:lvl w:ilvl="5" w:tplc="08090005" w:tentative="1">
      <w:start w:val="1"/>
      <w:numFmt w:val="bullet"/>
      <w:lvlText w:val=""/>
      <w:lvlJc w:val="left"/>
      <w:pPr>
        <w:ind w:left="4810" w:hanging="360"/>
      </w:pPr>
      <w:rPr>
        <w:rFonts w:ascii="Wingdings" w:hAnsi="Wingdings" w:hint="default"/>
      </w:rPr>
    </w:lvl>
    <w:lvl w:ilvl="6" w:tplc="08090001" w:tentative="1">
      <w:start w:val="1"/>
      <w:numFmt w:val="bullet"/>
      <w:lvlText w:val=""/>
      <w:lvlJc w:val="left"/>
      <w:pPr>
        <w:ind w:left="5530" w:hanging="360"/>
      </w:pPr>
      <w:rPr>
        <w:rFonts w:ascii="Symbol" w:hAnsi="Symbol" w:hint="default"/>
      </w:rPr>
    </w:lvl>
    <w:lvl w:ilvl="7" w:tplc="08090003" w:tentative="1">
      <w:start w:val="1"/>
      <w:numFmt w:val="bullet"/>
      <w:lvlText w:val="o"/>
      <w:lvlJc w:val="left"/>
      <w:pPr>
        <w:ind w:left="6250" w:hanging="360"/>
      </w:pPr>
      <w:rPr>
        <w:rFonts w:ascii="Courier New" w:hAnsi="Courier New" w:cs="Courier New" w:hint="default"/>
      </w:rPr>
    </w:lvl>
    <w:lvl w:ilvl="8" w:tplc="08090005" w:tentative="1">
      <w:start w:val="1"/>
      <w:numFmt w:val="bullet"/>
      <w:lvlText w:val=""/>
      <w:lvlJc w:val="left"/>
      <w:pPr>
        <w:ind w:left="6970" w:hanging="360"/>
      </w:pPr>
      <w:rPr>
        <w:rFonts w:ascii="Wingdings" w:hAnsi="Wingdings" w:hint="default"/>
      </w:rPr>
    </w:lvl>
  </w:abstractNum>
  <w:abstractNum w:abstractNumId="9">
    <w:nsid w:val="6E6B4B85"/>
    <w:multiLevelType w:val="hybridMultilevel"/>
    <w:tmpl w:val="E67CE6C8"/>
    <w:lvl w:ilvl="0" w:tplc="08090001">
      <w:start w:val="1"/>
      <w:numFmt w:val="bullet"/>
      <w:lvlText w:val=""/>
      <w:lvlJc w:val="left"/>
      <w:pPr>
        <w:ind w:left="1210" w:hanging="360"/>
      </w:pPr>
      <w:rPr>
        <w:rFonts w:ascii="Symbol" w:hAnsi="Symbol" w:hint="default"/>
      </w:rPr>
    </w:lvl>
    <w:lvl w:ilvl="1" w:tplc="08090003" w:tentative="1">
      <w:start w:val="1"/>
      <w:numFmt w:val="bullet"/>
      <w:lvlText w:val="o"/>
      <w:lvlJc w:val="left"/>
      <w:pPr>
        <w:ind w:left="1930" w:hanging="360"/>
      </w:pPr>
      <w:rPr>
        <w:rFonts w:ascii="Courier New" w:hAnsi="Courier New" w:cs="Courier New" w:hint="default"/>
      </w:rPr>
    </w:lvl>
    <w:lvl w:ilvl="2" w:tplc="08090005" w:tentative="1">
      <w:start w:val="1"/>
      <w:numFmt w:val="bullet"/>
      <w:lvlText w:val=""/>
      <w:lvlJc w:val="left"/>
      <w:pPr>
        <w:ind w:left="2650" w:hanging="360"/>
      </w:pPr>
      <w:rPr>
        <w:rFonts w:ascii="Wingdings" w:hAnsi="Wingdings" w:hint="default"/>
      </w:rPr>
    </w:lvl>
    <w:lvl w:ilvl="3" w:tplc="08090001" w:tentative="1">
      <w:start w:val="1"/>
      <w:numFmt w:val="bullet"/>
      <w:lvlText w:val=""/>
      <w:lvlJc w:val="left"/>
      <w:pPr>
        <w:ind w:left="3370" w:hanging="360"/>
      </w:pPr>
      <w:rPr>
        <w:rFonts w:ascii="Symbol" w:hAnsi="Symbol" w:hint="default"/>
      </w:rPr>
    </w:lvl>
    <w:lvl w:ilvl="4" w:tplc="08090003" w:tentative="1">
      <w:start w:val="1"/>
      <w:numFmt w:val="bullet"/>
      <w:lvlText w:val="o"/>
      <w:lvlJc w:val="left"/>
      <w:pPr>
        <w:ind w:left="4090" w:hanging="360"/>
      </w:pPr>
      <w:rPr>
        <w:rFonts w:ascii="Courier New" w:hAnsi="Courier New" w:cs="Courier New" w:hint="default"/>
      </w:rPr>
    </w:lvl>
    <w:lvl w:ilvl="5" w:tplc="08090005" w:tentative="1">
      <w:start w:val="1"/>
      <w:numFmt w:val="bullet"/>
      <w:lvlText w:val=""/>
      <w:lvlJc w:val="left"/>
      <w:pPr>
        <w:ind w:left="4810" w:hanging="360"/>
      </w:pPr>
      <w:rPr>
        <w:rFonts w:ascii="Wingdings" w:hAnsi="Wingdings" w:hint="default"/>
      </w:rPr>
    </w:lvl>
    <w:lvl w:ilvl="6" w:tplc="08090001" w:tentative="1">
      <w:start w:val="1"/>
      <w:numFmt w:val="bullet"/>
      <w:lvlText w:val=""/>
      <w:lvlJc w:val="left"/>
      <w:pPr>
        <w:ind w:left="5530" w:hanging="360"/>
      </w:pPr>
      <w:rPr>
        <w:rFonts w:ascii="Symbol" w:hAnsi="Symbol" w:hint="default"/>
      </w:rPr>
    </w:lvl>
    <w:lvl w:ilvl="7" w:tplc="08090003" w:tentative="1">
      <w:start w:val="1"/>
      <w:numFmt w:val="bullet"/>
      <w:lvlText w:val="o"/>
      <w:lvlJc w:val="left"/>
      <w:pPr>
        <w:ind w:left="6250" w:hanging="360"/>
      </w:pPr>
      <w:rPr>
        <w:rFonts w:ascii="Courier New" w:hAnsi="Courier New" w:cs="Courier New" w:hint="default"/>
      </w:rPr>
    </w:lvl>
    <w:lvl w:ilvl="8" w:tplc="08090005" w:tentative="1">
      <w:start w:val="1"/>
      <w:numFmt w:val="bullet"/>
      <w:lvlText w:val=""/>
      <w:lvlJc w:val="left"/>
      <w:pPr>
        <w:ind w:left="6970" w:hanging="360"/>
      </w:pPr>
      <w:rPr>
        <w:rFonts w:ascii="Wingdings" w:hAnsi="Wingdings" w:hint="default"/>
      </w:rPr>
    </w:lvl>
  </w:abstractNum>
  <w:abstractNum w:abstractNumId="10">
    <w:nsid w:val="71632DBE"/>
    <w:multiLevelType w:val="hybridMultilevel"/>
    <w:tmpl w:val="253CB540"/>
    <w:lvl w:ilvl="0" w:tplc="0809000F">
      <w:start w:val="1"/>
      <w:numFmt w:val="decimal"/>
      <w:lvlText w:val="%1."/>
      <w:lvlJc w:val="left"/>
      <w:pPr>
        <w:ind w:left="1570" w:hanging="360"/>
      </w:pPr>
    </w:lvl>
    <w:lvl w:ilvl="1" w:tplc="08090019" w:tentative="1">
      <w:start w:val="1"/>
      <w:numFmt w:val="lowerLetter"/>
      <w:lvlText w:val="%2."/>
      <w:lvlJc w:val="left"/>
      <w:pPr>
        <w:ind w:left="2290" w:hanging="360"/>
      </w:pPr>
    </w:lvl>
    <w:lvl w:ilvl="2" w:tplc="0809001B" w:tentative="1">
      <w:start w:val="1"/>
      <w:numFmt w:val="lowerRoman"/>
      <w:lvlText w:val="%3."/>
      <w:lvlJc w:val="right"/>
      <w:pPr>
        <w:ind w:left="3010" w:hanging="180"/>
      </w:pPr>
    </w:lvl>
    <w:lvl w:ilvl="3" w:tplc="0809000F" w:tentative="1">
      <w:start w:val="1"/>
      <w:numFmt w:val="decimal"/>
      <w:lvlText w:val="%4."/>
      <w:lvlJc w:val="left"/>
      <w:pPr>
        <w:ind w:left="3730" w:hanging="360"/>
      </w:pPr>
    </w:lvl>
    <w:lvl w:ilvl="4" w:tplc="08090019" w:tentative="1">
      <w:start w:val="1"/>
      <w:numFmt w:val="lowerLetter"/>
      <w:lvlText w:val="%5."/>
      <w:lvlJc w:val="left"/>
      <w:pPr>
        <w:ind w:left="4450" w:hanging="360"/>
      </w:pPr>
    </w:lvl>
    <w:lvl w:ilvl="5" w:tplc="0809001B" w:tentative="1">
      <w:start w:val="1"/>
      <w:numFmt w:val="lowerRoman"/>
      <w:lvlText w:val="%6."/>
      <w:lvlJc w:val="right"/>
      <w:pPr>
        <w:ind w:left="5170" w:hanging="180"/>
      </w:pPr>
    </w:lvl>
    <w:lvl w:ilvl="6" w:tplc="0809000F" w:tentative="1">
      <w:start w:val="1"/>
      <w:numFmt w:val="decimal"/>
      <w:lvlText w:val="%7."/>
      <w:lvlJc w:val="left"/>
      <w:pPr>
        <w:ind w:left="5890" w:hanging="360"/>
      </w:pPr>
    </w:lvl>
    <w:lvl w:ilvl="7" w:tplc="08090019" w:tentative="1">
      <w:start w:val="1"/>
      <w:numFmt w:val="lowerLetter"/>
      <w:lvlText w:val="%8."/>
      <w:lvlJc w:val="left"/>
      <w:pPr>
        <w:ind w:left="6610" w:hanging="360"/>
      </w:pPr>
    </w:lvl>
    <w:lvl w:ilvl="8" w:tplc="0809001B" w:tentative="1">
      <w:start w:val="1"/>
      <w:numFmt w:val="lowerRoman"/>
      <w:lvlText w:val="%9."/>
      <w:lvlJc w:val="right"/>
      <w:pPr>
        <w:ind w:left="7330" w:hanging="180"/>
      </w:pPr>
    </w:lvl>
  </w:abstractNum>
  <w:num w:numId="1">
    <w:abstractNumId w:val="6"/>
  </w:num>
  <w:num w:numId="2">
    <w:abstractNumId w:val="2"/>
  </w:num>
  <w:num w:numId="3">
    <w:abstractNumId w:val="4"/>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10"/>
  </w:num>
  <w:num w:numId="7">
    <w:abstractNumId w:val="7"/>
  </w:num>
  <w:num w:numId="8">
    <w:abstractNumId w:val="6"/>
  </w:num>
  <w:num w:numId="9">
    <w:abstractNumId w:val="6"/>
  </w:num>
  <w:num w:numId="10">
    <w:abstractNumId w:val="6"/>
  </w:num>
  <w:num w:numId="11">
    <w:abstractNumId w:val="9"/>
  </w:num>
  <w:num w:numId="12">
    <w:abstractNumId w:val="1"/>
  </w:num>
  <w:num w:numId="13">
    <w:abstractNumId w:val="5"/>
  </w:num>
  <w:num w:numId="14">
    <w:abstractNumId w:val="3"/>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hideGrammaticalErrors/>
  <w:revisionView w:markup="0"/>
  <w:defaultTabStop w:val="720"/>
  <w:characterSpacingControl w:val="doNotCompress"/>
  <w:hdrShapeDefaults>
    <o:shapedefaults v:ext="edit" spidmax="1771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ACCOMPAGNANT.CP" w:val="&lt;UNUSED&gt;"/>
    <w:docVar w:name="LW_CORRIGENDUM" w:val="&lt;UNUSED&gt;"/>
    <w:docVar w:name="LW_COVERPAGE_EXISTS" w:val="True"/>
    <w:docVar w:name="LW_COVERPAGE_GUID" w:val="DCE5DD72-DA26-41B4-876F-7E3DD8911E6B"/>
    <w:docVar w:name="LW_COVERPAGE_TYPE" w:val="1"/>
    <w:docVar w:name="LW_CROSSREFERENCE" w:val="&lt;UNUSED&gt;"/>
    <w:docVar w:name="LW_DATE.ADOPT.CP_ISODATE" w:val="&lt;EMPTY&gt;"/>
    <w:docVar w:name="LW_DocType" w:val="NORMAL"/>
    <w:docVar w:name="LW_EMISSION" w:val="25.4.2019"/>
    <w:docVar w:name="LW_EMISSION_ISODATE" w:val="2019-04-25"/>
    <w:docVar w:name="LW_EMISSION_LOCATION" w:val="BRX"/>
    <w:docVar w:name="LW_EMISSION_PREFIX" w:val="Брюксел, "/>
    <w:docVar w:name="LW_EMISSION_SUFFIX" w:val=" \u1075?."/>
    <w:docVar w:name="LW_ID_DOCTYPE_NONLW" w:val="CP-006"/>
    <w:docVar w:name="LW_INTERETEEE.CP" w:val="&lt;UNUSED&gt;"/>
    <w:docVar w:name="LW_LANGUE" w:val="BG"/>
    <w:docVar w:name="LW_LANGUESFAISANTFOI.CP" w:val="&lt;UNUSED&gt;"/>
    <w:docVar w:name="LW_LEVEL_OF_SENSITIVITY" w:val="Standard treatment"/>
    <w:docVar w:name="LW_NOM.INST" w:val="\u1045?\u1042?\u1056?\u1054?\u1055?\u1045?\u1049?\u1057?\u1050?\u1040? \u1050?\u1054?\u1052?\u1048?\u1057?\u1048?\u1071?"/>
    <w:docVar w:name="LW_NOM.INST_JOINTDOC" w:val="&lt;EMPTY&gt;"/>
    <w:docVar w:name="LW_OBJETACTEPRINCIPAL.CP" w:val="&lt;UNUSED&gt;"/>
    <w:docVar w:name="LW_PART_NBR" w:val="1"/>
    <w:docVar w:name="LW_PART_NBR_TOTAL" w:val="1"/>
    <w:docVar w:name="LW_REF.II.NEW.CP" w:val="&lt;UNUSED&gt;"/>
    <w:docVar w:name="LW_REF.II.NEW.CP_NUMBER" w:val="&lt;UNUSED&gt;"/>
    <w:docVar w:name="LW_REF.II.NEW.CP_YEAR" w:val="2019"/>
    <w:docVar w:name="LW_REF.INST.NEW" w:val="COM"/>
    <w:docVar w:name="LW_REF.INST.NEW_ADOPTED" w:val="final"/>
    <w:docVar w:name="LW_REF.INST.NEW_TEXT" w:val="(2019) 214"/>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OUS.TITRE.OBJ.CP" w:val="&lt;UNUSED&gt;"/>
    <w:docVar w:name="LW_SUPERTITRE" w:val="&lt;UNUSED&gt;"/>
    <w:docVar w:name="LW_TITRE.OBJ.CP" w:val="\u1079?\u1072? \u1088?\u1072?\u1079?\u1093?\u1086?\u1076?\u1080?\u1090?\u1077? \u1087?\u1086? \u1083?\u1080?\u1085?\u1080?\u1103? \u1085?\u1072? \u1045?\u1074?\u1088?\u1086?\u1087?\u1077?\u1081?\u1089?\u1082?\u1080?\u1103? \u1092?\u1086?\u1085?\u1076? \u1079?\u1072? \u1075?\u1072?\u1088?\u1072?\u1085?\u1090?\u1080?\u1088?\u1072?\u1085?\u1077? \u1085?\u1072? \u1079?\u1077?\u1084?\u1077?\u1076?\u1077?\u1083?\u1080?\u1077?\u1090?\u1086? (\u1045?\u1060?\u1043?\u1047?)_x000d__x000d__x000d__x000d__x000d__x000d__x000d__x000d__x000d__x000d__x000d__x000d__x000d__x000d__x000b__x000d__x000d__x000d__x000d__x000d__x000d__x000d__x000d__x000d__x000d__x000d__x000d__x000d__x000d__x000b_\u1057?\u1080?\u1089?\u1090?\u1077?\u1084?\u1072? \u1079?\u1072? \u1088?\u1072?\u1085?\u1085?\u1086? \u1087?\u1088?\u1077?\u1076?\u1091?\u1087?\u1088?\u1077?\u1078?\u1076?\u1077?\u1085?\u1080?\u1077? &lt;FMT:Font=Calibri Cyr&gt;\u8470?&lt;/FMT&gt; 1-3/2019"/>
    <w:docVar w:name="LW_TYPE.DOC.CP" w:val="\u1044?\u1054?\u1050?\u1051?\u1040?\u1044? \u1053?\u1040? \u1050?\u1054?\u1052?\u1048?\u1057?\u1048?\u1071?\u1058?\u1040? \u1044?\u1054? \u1045?\u1042?\u1056?\u1054?\u1055?\u1045?\u1049?\u1057?\u1050?\u1048?\u1071? \u1055?\u1040?\u1056?\u1051?\u1040?\u1052?\u1045?\u1053?\u1058? \u1048? \u1057?\u1066?\u1042?\u1045?\u1058?\u1040?"/>
    <w:docVar w:name="LW_TYPEACTEPRINCIPAL.CP" w:val="&lt;UNUSED&gt;"/>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771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bg-BG" w:eastAsia="bg-BG" w:bidi="bg-BG"/>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Text1"/>
    <w:link w:val="Heading1Char"/>
    <w:qFormat/>
    <w:pPr>
      <w:keepNext/>
      <w:numPr>
        <w:numId w:val="1"/>
      </w:numPr>
      <w:spacing w:before="360" w:after="120" w:line="240" w:lineRule="auto"/>
      <w:jc w:val="both"/>
      <w:outlineLvl w:val="0"/>
    </w:pPr>
    <w:rPr>
      <w:rFonts w:ascii="Times New Roman" w:eastAsia="Times New Roman" w:hAnsi="Times New Roman"/>
      <w:b/>
      <w:bCs/>
      <w:smallCaps/>
      <w:sz w:val="24"/>
      <w:szCs w:val="32"/>
    </w:rPr>
  </w:style>
  <w:style w:type="paragraph" w:styleId="Heading2">
    <w:name w:val="heading 2"/>
    <w:basedOn w:val="Normal"/>
    <w:next w:val="Text1"/>
    <w:link w:val="Heading2Char"/>
    <w:unhideWhenUsed/>
    <w:qFormat/>
    <w:pPr>
      <w:keepNext/>
      <w:numPr>
        <w:ilvl w:val="1"/>
        <w:numId w:val="1"/>
      </w:numPr>
      <w:spacing w:before="120" w:after="120" w:line="240" w:lineRule="auto"/>
      <w:jc w:val="both"/>
      <w:outlineLvl w:val="1"/>
    </w:pPr>
    <w:rPr>
      <w:rFonts w:ascii="Times New Roman" w:eastAsia="Times New Roman" w:hAnsi="Times New Roman"/>
      <w:b/>
      <w:bCs/>
      <w:iCs/>
      <w:sz w:val="24"/>
      <w:szCs w:val="28"/>
    </w:rPr>
  </w:style>
  <w:style w:type="paragraph" w:styleId="Heading3">
    <w:name w:val="heading 3"/>
    <w:basedOn w:val="Normal"/>
    <w:next w:val="Text1"/>
    <w:link w:val="Heading3Char"/>
    <w:unhideWhenUsed/>
    <w:qFormat/>
    <w:pPr>
      <w:keepNext/>
      <w:numPr>
        <w:ilvl w:val="2"/>
        <w:numId w:val="1"/>
      </w:numPr>
      <w:spacing w:before="120" w:after="120" w:line="240" w:lineRule="auto"/>
      <w:jc w:val="both"/>
      <w:outlineLvl w:val="2"/>
    </w:pPr>
    <w:rPr>
      <w:rFonts w:ascii="Times New Roman" w:eastAsia="Times New Roman" w:hAnsi="Times New Roman"/>
      <w:bCs/>
      <w:i/>
      <w:sz w:val="24"/>
      <w:szCs w:val="26"/>
    </w:rPr>
  </w:style>
  <w:style w:type="paragraph" w:styleId="Heading4">
    <w:name w:val="heading 4"/>
    <w:basedOn w:val="Normal"/>
    <w:next w:val="Text1"/>
    <w:link w:val="Heading4Char"/>
    <w:semiHidden/>
    <w:unhideWhenUsed/>
    <w:qFormat/>
    <w:pPr>
      <w:keepNext/>
      <w:numPr>
        <w:ilvl w:val="3"/>
        <w:numId w:val="1"/>
      </w:numPr>
      <w:spacing w:before="120" w:after="120" w:line="240" w:lineRule="auto"/>
      <w:jc w:val="both"/>
      <w:outlineLvl w:val="3"/>
    </w:pPr>
    <w:rPr>
      <w:rFonts w:ascii="Times New Roman" w:eastAsia="Times New Roman" w:hAnsi="Times New Roman"/>
      <w:bCs/>
      <w:sz w:val="24"/>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Pr>
      <w:sz w:val="20"/>
      <w:szCs w:val="20"/>
    </w:rPr>
  </w:style>
  <w:style w:type="character" w:customStyle="1" w:styleId="FootnoteTextChar">
    <w:name w:val="Footnote Text Char"/>
    <w:link w:val="FootnoteText"/>
    <w:semiHidden/>
    <w:rPr>
      <w:lang w:eastAsia="bg-BG"/>
    </w:rPr>
  </w:style>
  <w:style w:type="character" w:styleId="FootnoteReference">
    <w:name w:val="footnote reference"/>
    <w:semiHidden/>
    <w:unhideWhenUsed/>
    <w:rPr>
      <w:vertAlign w:val="superscript"/>
    </w:rPr>
  </w:style>
  <w:style w:type="character" w:customStyle="1" w:styleId="Marker">
    <w:name w:val="Marker"/>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eastAsia="Times New Roman" w:hAnsi="Times New Roman"/>
      <w:sz w:val="24"/>
      <w:szCs w:val="24"/>
    </w:rPr>
  </w:style>
  <w:style w:type="paragraph" w:styleId="Header">
    <w:name w:val="header"/>
    <w:basedOn w:val="Normal"/>
    <w:link w:val="HeaderChar"/>
    <w:uiPriority w:val="99"/>
    <w:unhideWhenUsed/>
    <w:pPr>
      <w:tabs>
        <w:tab w:val="center" w:pos="4535"/>
        <w:tab w:val="right" w:pos="9071"/>
      </w:tabs>
      <w:spacing w:after="120" w:line="240" w:lineRule="auto"/>
      <w:jc w:val="both"/>
    </w:pPr>
    <w:rPr>
      <w:rFonts w:ascii="Times New Roman" w:hAnsi="Times New Roman"/>
      <w:sz w:val="24"/>
    </w:rPr>
  </w:style>
  <w:style w:type="character" w:customStyle="1" w:styleId="HeaderChar">
    <w:name w:val="Header Char"/>
    <w:link w:val="Header"/>
    <w:uiPriority w:val="99"/>
    <w:rPr>
      <w:rFonts w:ascii="Times New Roman" w:hAnsi="Times New Roman"/>
      <w:sz w:val="24"/>
      <w:szCs w:val="22"/>
      <w:lang w:eastAsia="bg-BG"/>
    </w:rPr>
  </w:style>
  <w:style w:type="paragraph" w:styleId="Footer">
    <w:name w:val="footer"/>
    <w:basedOn w:val="Normal"/>
    <w:link w:val="FooterChar"/>
    <w:uiPriority w:val="99"/>
    <w:unhideWhenUsed/>
    <w:pPr>
      <w:tabs>
        <w:tab w:val="center" w:pos="4535"/>
        <w:tab w:val="right" w:pos="9071"/>
        <w:tab w:val="right" w:pos="9921"/>
      </w:tabs>
      <w:spacing w:before="360" w:after="0" w:line="240" w:lineRule="auto"/>
      <w:ind w:left="-850" w:right="-850"/>
    </w:pPr>
    <w:rPr>
      <w:rFonts w:ascii="Times New Roman" w:hAnsi="Times New Roman"/>
      <w:sz w:val="24"/>
    </w:rPr>
  </w:style>
  <w:style w:type="character" w:customStyle="1" w:styleId="FooterChar">
    <w:name w:val="Footer Char"/>
    <w:link w:val="Footer"/>
    <w:uiPriority w:val="99"/>
    <w:rPr>
      <w:rFonts w:ascii="Times New Roman" w:hAnsi="Times New Roman"/>
      <w:sz w:val="24"/>
      <w:szCs w:val="22"/>
      <w:lang w:eastAsia="bg-BG"/>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sz w:val="24"/>
    </w:rPr>
  </w:style>
  <w:style w:type="character" w:customStyle="1" w:styleId="FooterCoverPageChar">
    <w:name w:val="Footer Cover Page Char"/>
    <w:link w:val="FooterCoverPage"/>
    <w:rPr>
      <w:rFonts w:ascii="Times New Roman" w:hAnsi="Times New Roman"/>
      <w:sz w:val="24"/>
      <w:szCs w:val="2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sz w:val="24"/>
    </w:rPr>
  </w:style>
  <w:style w:type="character" w:customStyle="1" w:styleId="HeaderCoverPageChar">
    <w:name w:val="Header Cover Page Char"/>
    <w:link w:val="HeaderCoverPage"/>
    <w:rPr>
      <w:rFonts w:ascii="Times New Roman" w:hAnsi="Times New Roman"/>
      <w:sz w:val="24"/>
      <w:szCs w:val="22"/>
    </w:rPr>
  </w:style>
  <w:style w:type="character" w:customStyle="1" w:styleId="Heading1Char">
    <w:name w:val="Heading 1 Char"/>
    <w:link w:val="Heading1"/>
    <w:rPr>
      <w:rFonts w:ascii="Times New Roman" w:eastAsia="Times New Roman" w:hAnsi="Times New Roman"/>
      <w:b/>
      <w:bCs/>
      <w:smallCaps/>
      <w:sz w:val="24"/>
      <w:szCs w:val="32"/>
      <w:lang w:eastAsia="bg-BG"/>
    </w:rPr>
  </w:style>
  <w:style w:type="character" w:customStyle="1" w:styleId="Heading2Char">
    <w:name w:val="Heading 2 Char"/>
    <w:link w:val="Heading2"/>
    <w:rPr>
      <w:rFonts w:ascii="Times New Roman" w:eastAsia="Times New Roman" w:hAnsi="Times New Roman"/>
      <w:b/>
      <w:bCs/>
      <w:iCs/>
      <w:sz w:val="24"/>
      <w:szCs w:val="28"/>
      <w:lang w:eastAsia="bg-BG"/>
    </w:rPr>
  </w:style>
  <w:style w:type="character" w:customStyle="1" w:styleId="Heading3Char">
    <w:name w:val="Heading 3 Char"/>
    <w:link w:val="Heading3"/>
    <w:rPr>
      <w:rFonts w:ascii="Times New Roman" w:eastAsia="Times New Roman" w:hAnsi="Times New Roman"/>
      <w:bCs/>
      <w:i/>
      <w:sz w:val="24"/>
      <w:szCs w:val="26"/>
      <w:lang w:eastAsia="bg-BG"/>
    </w:rPr>
  </w:style>
  <w:style w:type="character" w:customStyle="1" w:styleId="Heading4Char">
    <w:name w:val="Heading 4 Char"/>
    <w:link w:val="Heading4"/>
    <w:semiHidden/>
    <w:rPr>
      <w:rFonts w:ascii="Times New Roman" w:eastAsia="Times New Roman" w:hAnsi="Times New Roman"/>
      <w:bCs/>
      <w:sz w:val="24"/>
      <w:szCs w:val="28"/>
      <w:lang w:eastAsia="bg-BG"/>
    </w:rPr>
  </w:style>
  <w:style w:type="paragraph" w:customStyle="1" w:styleId="Text1">
    <w:name w:val="Text 1"/>
    <w:basedOn w:val="Normal"/>
    <w:link w:val="Text1Char"/>
    <w:pPr>
      <w:spacing w:before="120" w:after="120" w:line="240" w:lineRule="auto"/>
      <w:ind w:left="850"/>
      <w:jc w:val="both"/>
    </w:pPr>
    <w:rPr>
      <w:rFonts w:ascii="Times New Roman" w:eastAsia="Times New Roman" w:hAnsi="Times New Roman"/>
      <w:sz w:val="24"/>
      <w:szCs w:val="24"/>
    </w:rPr>
  </w:style>
  <w:style w:type="paragraph" w:styleId="TOC1">
    <w:name w:val="toc 1"/>
    <w:basedOn w:val="Normal"/>
    <w:next w:val="Normal"/>
    <w:autoRedefine/>
    <w:uiPriority w:val="39"/>
    <w:unhideWhenUsed/>
    <w:qFormat/>
    <w:pPr>
      <w:tabs>
        <w:tab w:val="right" w:leader="dot" w:pos="9071"/>
      </w:tabs>
      <w:spacing w:before="60" w:after="120" w:line="240" w:lineRule="auto"/>
      <w:ind w:left="850" w:hanging="850"/>
    </w:pPr>
    <w:rPr>
      <w:rFonts w:ascii="Times New Roman" w:eastAsia="Times New Roman" w:hAnsi="Times New Roman"/>
      <w:sz w:val="24"/>
      <w:szCs w:val="24"/>
    </w:rPr>
  </w:style>
  <w:style w:type="paragraph" w:styleId="TOCHeading">
    <w:name w:val="TOC Heading"/>
    <w:basedOn w:val="Normal"/>
    <w:next w:val="Normal"/>
    <w:uiPriority w:val="39"/>
    <w:semiHidden/>
    <w:unhideWhenUsed/>
    <w:qFormat/>
    <w:pPr>
      <w:spacing w:before="120" w:after="240" w:line="240" w:lineRule="auto"/>
      <w:jc w:val="center"/>
    </w:pPr>
    <w:rPr>
      <w:rFonts w:ascii="Times New Roman" w:eastAsia="Times New Roman" w:hAnsi="Times New Roman"/>
      <w:b/>
      <w:sz w:val="28"/>
      <w:szCs w:val="24"/>
    </w:rPr>
  </w:style>
  <w:style w:type="character" w:customStyle="1" w:styleId="Text1Char">
    <w:name w:val="Text 1 Char"/>
    <w:link w:val="Text1"/>
    <w:locked/>
    <w:rPr>
      <w:rFonts w:ascii="Times New Roman" w:eastAsia="Times New Roman" w:hAnsi="Times New Roman"/>
      <w:sz w:val="24"/>
      <w:szCs w:val="24"/>
      <w:lang w:eastAsia="bg-BG"/>
    </w:rPr>
  </w:style>
  <w:style w:type="paragraph" w:customStyle="1" w:styleId="Tiret1">
    <w:name w:val="Tiret 1"/>
    <w:basedOn w:val="Normal"/>
    <w:pPr>
      <w:numPr>
        <w:numId w:val="2"/>
      </w:numPr>
      <w:spacing w:before="120" w:after="120" w:line="240" w:lineRule="auto"/>
      <w:jc w:val="both"/>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lang w:eastAsia="bg-BG"/>
    </w:rPr>
  </w:style>
  <w:style w:type="paragraph" w:customStyle="1" w:styleId="Text2">
    <w:name w:val="Text 2"/>
    <w:basedOn w:val="Normal"/>
    <w:pPr>
      <w:spacing w:before="120" w:after="120" w:line="240" w:lineRule="auto"/>
      <w:ind w:left="850"/>
      <w:jc w:val="both"/>
    </w:pPr>
    <w:rPr>
      <w:rFonts w:ascii="Times New Roman" w:hAnsi="Times New Roman"/>
      <w:sz w:val="24"/>
      <w:szCs w:val="24"/>
    </w:rPr>
  </w:style>
  <w:style w:type="paragraph" w:styleId="TOC2">
    <w:name w:val="toc 2"/>
    <w:basedOn w:val="Normal"/>
    <w:next w:val="Normal"/>
    <w:autoRedefine/>
    <w:uiPriority w:val="39"/>
    <w:unhideWhenUsed/>
    <w:qFormat/>
    <w:pPr>
      <w:ind w:left="220"/>
    </w:pPr>
  </w:style>
  <w:style w:type="paragraph" w:styleId="TOC3">
    <w:name w:val="toc 3"/>
    <w:basedOn w:val="Normal"/>
    <w:next w:val="Normal"/>
    <w:autoRedefine/>
    <w:uiPriority w:val="39"/>
    <w:unhideWhenUsed/>
    <w:qFormat/>
    <w:pPr>
      <w:ind w:left="440"/>
    </w:pPr>
  </w:style>
  <w:style w:type="character" w:styleId="Hyperlink">
    <w:name w:val="Hyperlink"/>
    <w:uiPriority w:val="99"/>
    <w:unhideWhenUsed/>
    <w:rPr>
      <w:color w:val="0000FF"/>
      <w:u w:val="single"/>
    </w:rPr>
  </w:style>
  <w:style w:type="paragraph" w:styleId="Revision">
    <w:name w:val="Revision"/>
    <w:hidden/>
    <w:uiPriority w:val="99"/>
    <w:semiHidden/>
    <w:rPr>
      <w:sz w:val="22"/>
      <w:szCs w:val="22"/>
    </w:rPr>
  </w:style>
  <w:style w:type="paragraph" w:customStyle="1" w:styleId="Declassification">
    <w:name w:val="Declassification"/>
    <w:basedOn w:val="Normal"/>
    <w:next w:val="Normal"/>
    <w:pPr>
      <w:spacing w:after="0" w:line="240" w:lineRule="auto"/>
      <w:jc w:val="both"/>
    </w:pPr>
    <w:rPr>
      <w:rFonts w:ascii="Times New Roman" w:eastAsiaTheme="minorHAnsi" w:hAnsi="Times New Roman"/>
      <w:sz w:val="24"/>
    </w:rPr>
  </w:style>
  <w:style w:type="paragraph" w:customStyle="1" w:styleId="HeaderLandscape">
    <w:name w:val="HeaderLandscape"/>
    <w:basedOn w:val="Normal"/>
    <w:pPr>
      <w:tabs>
        <w:tab w:val="center" w:pos="7285"/>
        <w:tab w:val="right" w:pos="14003"/>
      </w:tabs>
      <w:spacing w:after="120" w:line="240" w:lineRule="auto"/>
      <w:jc w:val="both"/>
    </w:pPr>
    <w:rPr>
      <w:rFonts w:ascii="Times New Roman" w:eastAsiaTheme="minorHAnsi" w:hAnsi="Times New Roman"/>
      <w:sz w:val="24"/>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b/>
      <w:sz w:val="32"/>
    </w:rPr>
  </w:style>
  <w:style w:type="paragraph" w:customStyle="1" w:styleId="FooterLandscape">
    <w:name w:val="FooterLandscape"/>
    <w:basedOn w:val="Normal"/>
    <w:pPr>
      <w:tabs>
        <w:tab w:val="center" w:pos="7285"/>
        <w:tab w:val="center" w:pos="10913"/>
        <w:tab w:val="right" w:pos="15137"/>
      </w:tabs>
      <w:spacing w:before="360" w:after="0" w:line="240" w:lineRule="auto"/>
      <w:ind w:left="-567" w:right="-567"/>
    </w:pPr>
    <w:rPr>
      <w:rFonts w:ascii="Times New Roman" w:eastAsiaTheme="minorHAnsi" w:hAnsi="Times New Roman"/>
      <w:sz w:val="24"/>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b/>
      <w:sz w:val="32"/>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lang w:eastAsia="bg-BG"/>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lang w:eastAsia="bg-BG"/>
    </w:rPr>
  </w:style>
  <w:style w:type="paragraph" w:customStyle="1" w:styleId="Typedudocument">
    <w:name w:val="Type du document"/>
    <w:basedOn w:val="Normal"/>
    <w:next w:val="Normal"/>
    <w:pPr>
      <w:spacing w:before="360" w:after="0" w:line="240" w:lineRule="auto"/>
      <w:jc w:val="center"/>
    </w:pPr>
    <w:rPr>
      <w:rFonts w:ascii="Times New Roman" w:eastAsiaTheme="minorHAnsi" w:hAnsi="Times New Roman"/>
      <w:b/>
      <w:sz w:val="24"/>
    </w:rPr>
  </w:style>
  <w:style w:type="paragraph" w:customStyle="1" w:styleId="Titreobjet">
    <w:name w:val="Titre objet"/>
    <w:basedOn w:val="Normal"/>
    <w:next w:val="Normal"/>
    <w:pPr>
      <w:spacing w:before="360" w:after="360" w:line="240" w:lineRule="auto"/>
      <w:jc w:val="center"/>
    </w:pPr>
    <w:rPr>
      <w:rFonts w:ascii="Times New Roman" w:eastAsiaTheme="minorHAnsi" w:hAnsi="Times New Roman"/>
      <w:b/>
      <w:sz w:val="24"/>
    </w:rPr>
  </w:style>
  <w:style w:type="paragraph" w:styleId="ListParagraph">
    <w:name w:val="List Paragraph"/>
    <w:basedOn w:val="Normal"/>
    <w:uiPriority w:val="34"/>
    <w:qFormat/>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bg-BG" w:eastAsia="bg-BG" w:bidi="bg-BG"/>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Text1"/>
    <w:link w:val="Heading1Char"/>
    <w:qFormat/>
    <w:pPr>
      <w:keepNext/>
      <w:numPr>
        <w:numId w:val="1"/>
      </w:numPr>
      <w:spacing w:before="360" w:after="120" w:line="240" w:lineRule="auto"/>
      <w:jc w:val="both"/>
      <w:outlineLvl w:val="0"/>
    </w:pPr>
    <w:rPr>
      <w:rFonts w:ascii="Times New Roman" w:eastAsia="Times New Roman" w:hAnsi="Times New Roman"/>
      <w:b/>
      <w:bCs/>
      <w:smallCaps/>
      <w:sz w:val="24"/>
      <w:szCs w:val="32"/>
    </w:rPr>
  </w:style>
  <w:style w:type="paragraph" w:styleId="Heading2">
    <w:name w:val="heading 2"/>
    <w:basedOn w:val="Normal"/>
    <w:next w:val="Text1"/>
    <w:link w:val="Heading2Char"/>
    <w:unhideWhenUsed/>
    <w:qFormat/>
    <w:pPr>
      <w:keepNext/>
      <w:numPr>
        <w:ilvl w:val="1"/>
        <w:numId w:val="1"/>
      </w:numPr>
      <w:spacing w:before="120" w:after="120" w:line="240" w:lineRule="auto"/>
      <w:jc w:val="both"/>
      <w:outlineLvl w:val="1"/>
    </w:pPr>
    <w:rPr>
      <w:rFonts w:ascii="Times New Roman" w:eastAsia="Times New Roman" w:hAnsi="Times New Roman"/>
      <w:b/>
      <w:bCs/>
      <w:iCs/>
      <w:sz w:val="24"/>
      <w:szCs w:val="28"/>
    </w:rPr>
  </w:style>
  <w:style w:type="paragraph" w:styleId="Heading3">
    <w:name w:val="heading 3"/>
    <w:basedOn w:val="Normal"/>
    <w:next w:val="Text1"/>
    <w:link w:val="Heading3Char"/>
    <w:unhideWhenUsed/>
    <w:qFormat/>
    <w:pPr>
      <w:keepNext/>
      <w:numPr>
        <w:ilvl w:val="2"/>
        <w:numId w:val="1"/>
      </w:numPr>
      <w:spacing w:before="120" w:after="120" w:line="240" w:lineRule="auto"/>
      <w:jc w:val="both"/>
      <w:outlineLvl w:val="2"/>
    </w:pPr>
    <w:rPr>
      <w:rFonts w:ascii="Times New Roman" w:eastAsia="Times New Roman" w:hAnsi="Times New Roman"/>
      <w:bCs/>
      <w:i/>
      <w:sz w:val="24"/>
      <w:szCs w:val="26"/>
    </w:rPr>
  </w:style>
  <w:style w:type="paragraph" w:styleId="Heading4">
    <w:name w:val="heading 4"/>
    <w:basedOn w:val="Normal"/>
    <w:next w:val="Text1"/>
    <w:link w:val="Heading4Char"/>
    <w:semiHidden/>
    <w:unhideWhenUsed/>
    <w:qFormat/>
    <w:pPr>
      <w:keepNext/>
      <w:numPr>
        <w:ilvl w:val="3"/>
        <w:numId w:val="1"/>
      </w:numPr>
      <w:spacing w:before="120" w:after="120" w:line="240" w:lineRule="auto"/>
      <w:jc w:val="both"/>
      <w:outlineLvl w:val="3"/>
    </w:pPr>
    <w:rPr>
      <w:rFonts w:ascii="Times New Roman" w:eastAsia="Times New Roman" w:hAnsi="Times New Roman"/>
      <w:bCs/>
      <w:sz w:val="24"/>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Pr>
      <w:sz w:val="20"/>
      <w:szCs w:val="20"/>
    </w:rPr>
  </w:style>
  <w:style w:type="character" w:customStyle="1" w:styleId="FootnoteTextChar">
    <w:name w:val="Footnote Text Char"/>
    <w:link w:val="FootnoteText"/>
    <w:semiHidden/>
    <w:rPr>
      <w:lang w:eastAsia="bg-BG"/>
    </w:rPr>
  </w:style>
  <w:style w:type="character" w:styleId="FootnoteReference">
    <w:name w:val="footnote reference"/>
    <w:semiHidden/>
    <w:unhideWhenUsed/>
    <w:rPr>
      <w:vertAlign w:val="superscript"/>
    </w:rPr>
  </w:style>
  <w:style w:type="character" w:customStyle="1" w:styleId="Marker">
    <w:name w:val="Marker"/>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eastAsia="Times New Roman" w:hAnsi="Times New Roman"/>
      <w:sz w:val="24"/>
      <w:szCs w:val="24"/>
    </w:rPr>
  </w:style>
  <w:style w:type="paragraph" w:styleId="Header">
    <w:name w:val="header"/>
    <w:basedOn w:val="Normal"/>
    <w:link w:val="HeaderChar"/>
    <w:uiPriority w:val="99"/>
    <w:unhideWhenUsed/>
    <w:pPr>
      <w:tabs>
        <w:tab w:val="center" w:pos="4535"/>
        <w:tab w:val="right" w:pos="9071"/>
      </w:tabs>
      <w:spacing w:after="120" w:line="240" w:lineRule="auto"/>
      <w:jc w:val="both"/>
    </w:pPr>
    <w:rPr>
      <w:rFonts w:ascii="Times New Roman" w:hAnsi="Times New Roman"/>
      <w:sz w:val="24"/>
    </w:rPr>
  </w:style>
  <w:style w:type="character" w:customStyle="1" w:styleId="HeaderChar">
    <w:name w:val="Header Char"/>
    <w:link w:val="Header"/>
    <w:uiPriority w:val="99"/>
    <w:rPr>
      <w:rFonts w:ascii="Times New Roman" w:hAnsi="Times New Roman"/>
      <w:sz w:val="24"/>
      <w:szCs w:val="22"/>
      <w:lang w:eastAsia="bg-BG"/>
    </w:rPr>
  </w:style>
  <w:style w:type="paragraph" w:styleId="Footer">
    <w:name w:val="footer"/>
    <w:basedOn w:val="Normal"/>
    <w:link w:val="FooterChar"/>
    <w:uiPriority w:val="99"/>
    <w:unhideWhenUsed/>
    <w:pPr>
      <w:tabs>
        <w:tab w:val="center" w:pos="4535"/>
        <w:tab w:val="right" w:pos="9071"/>
        <w:tab w:val="right" w:pos="9921"/>
      </w:tabs>
      <w:spacing w:before="360" w:after="0" w:line="240" w:lineRule="auto"/>
      <w:ind w:left="-850" w:right="-850"/>
    </w:pPr>
    <w:rPr>
      <w:rFonts w:ascii="Times New Roman" w:hAnsi="Times New Roman"/>
      <w:sz w:val="24"/>
    </w:rPr>
  </w:style>
  <w:style w:type="character" w:customStyle="1" w:styleId="FooterChar">
    <w:name w:val="Footer Char"/>
    <w:link w:val="Footer"/>
    <w:uiPriority w:val="99"/>
    <w:rPr>
      <w:rFonts w:ascii="Times New Roman" w:hAnsi="Times New Roman"/>
      <w:sz w:val="24"/>
      <w:szCs w:val="22"/>
      <w:lang w:eastAsia="bg-BG"/>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sz w:val="24"/>
    </w:rPr>
  </w:style>
  <w:style w:type="character" w:customStyle="1" w:styleId="FooterCoverPageChar">
    <w:name w:val="Footer Cover Page Char"/>
    <w:link w:val="FooterCoverPage"/>
    <w:rPr>
      <w:rFonts w:ascii="Times New Roman" w:hAnsi="Times New Roman"/>
      <w:sz w:val="24"/>
      <w:szCs w:val="2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sz w:val="24"/>
    </w:rPr>
  </w:style>
  <w:style w:type="character" w:customStyle="1" w:styleId="HeaderCoverPageChar">
    <w:name w:val="Header Cover Page Char"/>
    <w:link w:val="HeaderCoverPage"/>
    <w:rPr>
      <w:rFonts w:ascii="Times New Roman" w:hAnsi="Times New Roman"/>
      <w:sz w:val="24"/>
      <w:szCs w:val="22"/>
    </w:rPr>
  </w:style>
  <w:style w:type="character" w:customStyle="1" w:styleId="Heading1Char">
    <w:name w:val="Heading 1 Char"/>
    <w:link w:val="Heading1"/>
    <w:rPr>
      <w:rFonts w:ascii="Times New Roman" w:eastAsia="Times New Roman" w:hAnsi="Times New Roman"/>
      <w:b/>
      <w:bCs/>
      <w:smallCaps/>
      <w:sz w:val="24"/>
      <w:szCs w:val="32"/>
      <w:lang w:eastAsia="bg-BG"/>
    </w:rPr>
  </w:style>
  <w:style w:type="character" w:customStyle="1" w:styleId="Heading2Char">
    <w:name w:val="Heading 2 Char"/>
    <w:link w:val="Heading2"/>
    <w:rPr>
      <w:rFonts w:ascii="Times New Roman" w:eastAsia="Times New Roman" w:hAnsi="Times New Roman"/>
      <w:b/>
      <w:bCs/>
      <w:iCs/>
      <w:sz w:val="24"/>
      <w:szCs w:val="28"/>
      <w:lang w:eastAsia="bg-BG"/>
    </w:rPr>
  </w:style>
  <w:style w:type="character" w:customStyle="1" w:styleId="Heading3Char">
    <w:name w:val="Heading 3 Char"/>
    <w:link w:val="Heading3"/>
    <w:rPr>
      <w:rFonts w:ascii="Times New Roman" w:eastAsia="Times New Roman" w:hAnsi="Times New Roman"/>
      <w:bCs/>
      <w:i/>
      <w:sz w:val="24"/>
      <w:szCs w:val="26"/>
      <w:lang w:eastAsia="bg-BG"/>
    </w:rPr>
  </w:style>
  <w:style w:type="character" w:customStyle="1" w:styleId="Heading4Char">
    <w:name w:val="Heading 4 Char"/>
    <w:link w:val="Heading4"/>
    <w:semiHidden/>
    <w:rPr>
      <w:rFonts w:ascii="Times New Roman" w:eastAsia="Times New Roman" w:hAnsi="Times New Roman"/>
      <w:bCs/>
      <w:sz w:val="24"/>
      <w:szCs w:val="28"/>
      <w:lang w:eastAsia="bg-BG"/>
    </w:rPr>
  </w:style>
  <w:style w:type="paragraph" w:customStyle="1" w:styleId="Text1">
    <w:name w:val="Text 1"/>
    <w:basedOn w:val="Normal"/>
    <w:link w:val="Text1Char"/>
    <w:pPr>
      <w:spacing w:before="120" w:after="120" w:line="240" w:lineRule="auto"/>
      <w:ind w:left="850"/>
      <w:jc w:val="both"/>
    </w:pPr>
    <w:rPr>
      <w:rFonts w:ascii="Times New Roman" w:eastAsia="Times New Roman" w:hAnsi="Times New Roman"/>
      <w:sz w:val="24"/>
      <w:szCs w:val="24"/>
    </w:rPr>
  </w:style>
  <w:style w:type="paragraph" w:styleId="TOC1">
    <w:name w:val="toc 1"/>
    <w:basedOn w:val="Normal"/>
    <w:next w:val="Normal"/>
    <w:autoRedefine/>
    <w:uiPriority w:val="39"/>
    <w:unhideWhenUsed/>
    <w:qFormat/>
    <w:pPr>
      <w:tabs>
        <w:tab w:val="right" w:leader="dot" w:pos="9071"/>
      </w:tabs>
      <w:spacing w:before="60" w:after="120" w:line="240" w:lineRule="auto"/>
      <w:ind w:left="850" w:hanging="850"/>
    </w:pPr>
    <w:rPr>
      <w:rFonts w:ascii="Times New Roman" w:eastAsia="Times New Roman" w:hAnsi="Times New Roman"/>
      <w:sz w:val="24"/>
      <w:szCs w:val="24"/>
    </w:rPr>
  </w:style>
  <w:style w:type="paragraph" w:styleId="TOCHeading">
    <w:name w:val="TOC Heading"/>
    <w:basedOn w:val="Normal"/>
    <w:next w:val="Normal"/>
    <w:uiPriority w:val="39"/>
    <w:semiHidden/>
    <w:unhideWhenUsed/>
    <w:qFormat/>
    <w:pPr>
      <w:spacing w:before="120" w:after="240" w:line="240" w:lineRule="auto"/>
      <w:jc w:val="center"/>
    </w:pPr>
    <w:rPr>
      <w:rFonts w:ascii="Times New Roman" w:eastAsia="Times New Roman" w:hAnsi="Times New Roman"/>
      <w:b/>
      <w:sz w:val="28"/>
      <w:szCs w:val="24"/>
    </w:rPr>
  </w:style>
  <w:style w:type="character" w:customStyle="1" w:styleId="Text1Char">
    <w:name w:val="Text 1 Char"/>
    <w:link w:val="Text1"/>
    <w:locked/>
    <w:rPr>
      <w:rFonts w:ascii="Times New Roman" w:eastAsia="Times New Roman" w:hAnsi="Times New Roman"/>
      <w:sz w:val="24"/>
      <w:szCs w:val="24"/>
      <w:lang w:eastAsia="bg-BG"/>
    </w:rPr>
  </w:style>
  <w:style w:type="paragraph" w:customStyle="1" w:styleId="Tiret1">
    <w:name w:val="Tiret 1"/>
    <w:basedOn w:val="Normal"/>
    <w:pPr>
      <w:numPr>
        <w:numId w:val="2"/>
      </w:numPr>
      <w:spacing w:before="120" w:after="120" w:line="240" w:lineRule="auto"/>
      <w:jc w:val="both"/>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lang w:eastAsia="bg-BG"/>
    </w:rPr>
  </w:style>
  <w:style w:type="paragraph" w:customStyle="1" w:styleId="Text2">
    <w:name w:val="Text 2"/>
    <w:basedOn w:val="Normal"/>
    <w:pPr>
      <w:spacing w:before="120" w:after="120" w:line="240" w:lineRule="auto"/>
      <w:ind w:left="850"/>
      <w:jc w:val="both"/>
    </w:pPr>
    <w:rPr>
      <w:rFonts w:ascii="Times New Roman" w:hAnsi="Times New Roman"/>
      <w:sz w:val="24"/>
      <w:szCs w:val="24"/>
    </w:rPr>
  </w:style>
  <w:style w:type="paragraph" w:styleId="TOC2">
    <w:name w:val="toc 2"/>
    <w:basedOn w:val="Normal"/>
    <w:next w:val="Normal"/>
    <w:autoRedefine/>
    <w:uiPriority w:val="39"/>
    <w:unhideWhenUsed/>
    <w:qFormat/>
    <w:pPr>
      <w:ind w:left="220"/>
    </w:pPr>
  </w:style>
  <w:style w:type="paragraph" w:styleId="TOC3">
    <w:name w:val="toc 3"/>
    <w:basedOn w:val="Normal"/>
    <w:next w:val="Normal"/>
    <w:autoRedefine/>
    <w:uiPriority w:val="39"/>
    <w:unhideWhenUsed/>
    <w:qFormat/>
    <w:pPr>
      <w:ind w:left="440"/>
    </w:pPr>
  </w:style>
  <w:style w:type="character" w:styleId="Hyperlink">
    <w:name w:val="Hyperlink"/>
    <w:uiPriority w:val="99"/>
    <w:unhideWhenUsed/>
    <w:rPr>
      <w:color w:val="0000FF"/>
      <w:u w:val="single"/>
    </w:rPr>
  </w:style>
  <w:style w:type="paragraph" w:styleId="Revision">
    <w:name w:val="Revision"/>
    <w:hidden/>
    <w:uiPriority w:val="99"/>
    <w:semiHidden/>
    <w:rPr>
      <w:sz w:val="22"/>
      <w:szCs w:val="22"/>
    </w:rPr>
  </w:style>
  <w:style w:type="paragraph" w:customStyle="1" w:styleId="Declassification">
    <w:name w:val="Declassification"/>
    <w:basedOn w:val="Normal"/>
    <w:next w:val="Normal"/>
    <w:pPr>
      <w:spacing w:after="0" w:line="240" w:lineRule="auto"/>
      <w:jc w:val="both"/>
    </w:pPr>
    <w:rPr>
      <w:rFonts w:ascii="Times New Roman" w:eastAsiaTheme="minorHAnsi" w:hAnsi="Times New Roman"/>
      <w:sz w:val="24"/>
    </w:rPr>
  </w:style>
  <w:style w:type="paragraph" w:customStyle="1" w:styleId="HeaderLandscape">
    <w:name w:val="HeaderLandscape"/>
    <w:basedOn w:val="Normal"/>
    <w:pPr>
      <w:tabs>
        <w:tab w:val="center" w:pos="7285"/>
        <w:tab w:val="right" w:pos="14003"/>
      </w:tabs>
      <w:spacing w:after="120" w:line="240" w:lineRule="auto"/>
      <w:jc w:val="both"/>
    </w:pPr>
    <w:rPr>
      <w:rFonts w:ascii="Times New Roman" w:eastAsiaTheme="minorHAnsi" w:hAnsi="Times New Roman"/>
      <w:sz w:val="24"/>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b/>
      <w:sz w:val="32"/>
    </w:rPr>
  </w:style>
  <w:style w:type="paragraph" w:customStyle="1" w:styleId="FooterLandscape">
    <w:name w:val="FooterLandscape"/>
    <w:basedOn w:val="Normal"/>
    <w:pPr>
      <w:tabs>
        <w:tab w:val="center" w:pos="7285"/>
        <w:tab w:val="center" w:pos="10913"/>
        <w:tab w:val="right" w:pos="15137"/>
      </w:tabs>
      <w:spacing w:before="360" w:after="0" w:line="240" w:lineRule="auto"/>
      <w:ind w:left="-567" w:right="-567"/>
    </w:pPr>
    <w:rPr>
      <w:rFonts w:ascii="Times New Roman" w:eastAsiaTheme="minorHAnsi" w:hAnsi="Times New Roman"/>
      <w:sz w:val="24"/>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b/>
      <w:sz w:val="32"/>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lang w:eastAsia="bg-BG"/>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lang w:eastAsia="bg-BG"/>
    </w:rPr>
  </w:style>
  <w:style w:type="paragraph" w:customStyle="1" w:styleId="Typedudocument">
    <w:name w:val="Type du document"/>
    <w:basedOn w:val="Normal"/>
    <w:next w:val="Normal"/>
    <w:pPr>
      <w:spacing w:before="360" w:after="0" w:line="240" w:lineRule="auto"/>
      <w:jc w:val="center"/>
    </w:pPr>
    <w:rPr>
      <w:rFonts w:ascii="Times New Roman" w:eastAsiaTheme="minorHAnsi" w:hAnsi="Times New Roman"/>
      <w:b/>
      <w:sz w:val="24"/>
    </w:rPr>
  </w:style>
  <w:style w:type="paragraph" w:customStyle="1" w:styleId="Titreobjet">
    <w:name w:val="Titre objet"/>
    <w:basedOn w:val="Normal"/>
    <w:next w:val="Normal"/>
    <w:pPr>
      <w:spacing w:before="360" w:after="360" w:line="240" w:lineRule="auto"/>
      <w:jc w:val="center"/>
    </w:pPr>
    <w:rPr>
      <w:rFonts w:ascii="Times New Roman" w:eastAsiaTheme="minorHAnsi" w:hAnsi="Times New Roman"/>
      <w:b/>
      <w:sz w:val="24"/>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4803164">
      <w:bodyDiv w:val="1"/>
      <w:marLeft w:val="0"/>
      <w:marRight w:val="0"/>
      <w:marTop w:val="0"/>
      <w:marBottom w:val="0"/>
      <w:divBdr>
        <w:top w:val="none" w:sz="0" w:space="0" w:color="auto"/>
        <w:left w:val="none" w:sz="0" w:space="0" w:color="auto"/>
        <w:bottom w:val="none" w:sz="0" w:space="0" w:color="auto"/>
        <w:right w:val="none" w:sz="0" w:space="0" w:color="auto"/>
      </w:divBdr>
    </w:div>
    <w:div w:id="1684211282">
      <w:bodyDiv w:val="1"/>
      <w:marLeft w:val="0"/>
      <w:marRight w:val="0"/>
      <w:marTop w:val="0"/>
      <w:marBottom w:val="0"/>
      <w:divBdr>
        <w:top w:val="none" w:sz="0" w:space="0" w:color="auto"/>
        <w:left w:val="none" w:sz="0" w:space="0" w:color="auto"/>
        <w:bottom w:val="none" w:sz="0" w:space="0" w:color="auto"/>
        <w:right w:val="none" w:sz="0" w:space="0" w:color="auto"/>
      </w:divBdr>
    </w:div>
    <w:div w:id="1811054184">
      <w:bodyDiv w:val="1"/>
      <w:marLeft w:val="0"/>
      <w:marRight w:val="0"/>
      <w:marTop w:val="0"/>
      <w:marBottom w:val="0"/>
      <w:divBdr>
        <w:top w:val="none" w:sz="0" w:space="0" w:color="auto"/>
        <w:left w:val="none" w:sz="0" w:space="0" w:color="auto"/>
        <w:bottom w:val="none" w:sz="0" w:space="0" w:color="auto"/>
        <w:right w:val="none" w:sz="0" w:space="0" w:color="auto"/>
      </w:divBdr>
    </w:div>
    <w:div w:id="1870990847">
      <w:bodyDiv w:val="1"/>
      <w:marLeft w:val="0"/>
      <w:marRight w:val="0"/>
      <w:marTop w:val="0"/>
      <w:marBottom w:val="0"/>
      <w:divBdr>
        <w:top w:val="none" w:sz="0" w:space="0" w:color="auto"/>
        <w:left w:val="none" w:sz="0" w:space="0" w:color="auto"/>
        <w:bottom w:val="none" w:sz="0" w:space="0" w:color="auto"/>
        <w:right w:val="none" w:sz="0" w:space="0" w:color="auto"/>
      </w:divBdr>
    </w:div>
    <w:div w:id="2035571687">
      <w:bodyDiv w:val="1"/>
      <w:marLeft w:val="0"/>
      <w:marRight w:val="0"/>
      <w:marTop w:val="0"/>
      <w:marBottom w:val="0"/>
      <w:divBdr>
        <w:top w:val="none" w:sz="0" w:space="0" w:color="auto"/>
        <w:left w:val="none" w:sz="0" w:space="0" w:color="auto"/>
        <w:bottom w:val="none" w:sz="0" w:space="0" w:color="auto"/>
        <w:right w:val="none" w:sz="0" w:space="0" w:color="auto"/>
      </w:divBdr>
    </w:div>
    <w:div w:id="2103447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7.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E2E58E-022E-440E-B4E6-3F05A0110B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6</Pages>
  <Words>1460</Words>
  <Characters>7811</Characters>
  <Application>Microsoft Office Word</Application>
  <DocSecurity>0</DocSecurity>
  <Lines>190</Lines>
  <Paragraphs>92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WES PDFC Administrator</cp:lastModifiedBy>
  <cp:revision>20</cp:revision>
  <cp:lastPrinted>2019-03-08T13:41:00Z</cp:lastPrinted>
  <dcterms:created xsi:type="dcterms:W3CDTF">2019-04-01T09:02:00Z</dcterms:created>
  <dcterms:modified xsi:type="dcterms:W3CDTF">2019-04-25T09:34:00Z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Level of sensitivity">
    <vt:lpwstr>Standard treatment</vt:lpwstr>
  </property>
  <property fmtid="{D5CDD505-2E9C-101B-9397-08002B2CF9AE}" pid="7" name="Last edited using">
    <vt:lpwstr>LW 6.0.1, Build 20180503</vt:lpwstr>
  </property>
  <property fmtid="{D5CDD505-2E9C-101B-9397-08002B2CF9AE}" pid="8" name="Created using">
    <vt:lpwstr>LW 6.0.1, Build 20180503</vt:lpwstr>
  </property>
</Properties>
</file>