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387E647-712F-45BF-A288-AF3453A27F47"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w:t>
      </w:r>
    </w:p>
    <w:p>
      <w:pPr>
        <w:jc w:val="center"/>
        <w:rPr>
          <w:b/>
          <w:noProof/>
          <w:u w:val="single"/>
        </w:rPr>
      </w:pPr>
    </w:p>
    <w:p>
      <w:pPr>
        <w:jc w:val="center"/>
        <w:rPr>
          <w:b/>
          <w:noProof/>
        </w:rPr>
      </w:pPr>
      <w:r>
        <w:rPr>
          <w:b/>
          <w:noProof/>
        </w:rPr>
        <w:t>Проект на</w:t>
      </w:r>
    </w:p>
    <w:p>
      <w:pPr>
        <w:jc w:val="center"/>
        <w:rPr>
          <w:b/>
          <w:noProof/>
        </w:rPr>
      </w:pPr>
      <w:r>
        <w:rPr>
          <w:b/>
          <w:noProof/>
        </w:rPr>
        <w:t>РЕШЕНИЕ № …/2018 НА КОМИТЕТА ЗА СЪТРУДНИЧЕСТВО ЕС—САН МАРИНО</w:t>
      </w:r>
    </w:p>
    <w:p>
      <w:pPr>
        <w:jc w:val="center"/>
        <w:rPr>
          <w:b/>
          <w:noProof/>
        </w:rPr>
      </w:pPr>
      <w:r>
        <w:rPr>
          <w:b/>
          <w:noProof/>
        </w:rPr>
        <w:t>от XX YY 2018 г.</w:t>
      </w:r>
    </w:p>
    <w:p>
      <w:pPr>
        <w:jc w:val="center"/>
        <w:rPr>
          <w:b/>
          <w:noProof/>
        </w:rPr>
      </w:pPr>
      <w:r>
        <w:rPr>
          <w:b/>
          <w:noProof/>
        </w:rPr>
        <w:t xml:space="preserve">относно приложимите разпоредби за биологичното производство и етикетирането на биологични продукти, както и правилата за внос на биологични продукти, приети съгласно Споразумението за сътрудничество и митнически съюз между Европейската икономическа общност и Република Сан Марино </w:t>
      </w:r>
    </w:p>
    <w:p>
      <w:pPr>
        <w:keepNext/>
        <w:spacing w:before="600"/>
        <w:rPr>
          <w:noProof/>
        </w:rPr>
      </w:pPr>
      <w:r>
        <w:rPr>
          <w:noProof/>
        </w:rPr>
        <w:t>КОМИТЕТЪТ ЗА СЪТРУДНИЧЕСТВО ЕС—САН МАРИНО,</w:t>
      </w:r>
    </w:p>
    <w:p>
      <w:pPr>
        <w:rPr>
          <w:noProof/>
        </w:rPr>
      </w:pPr>
      <w:r>
        <w:rPr>
          <w:noProof/>
        </w:rPr>
        <w:t>като взе предвид Споразумението за сътрудничество и митнически съюз между Европейската икономическа общност и Република Сан Марино</w:t>
      </w:r>
      <w:r>
        <w:rPr>
          <w:rStyle w:val="FootnoteReference"/>
          <w:noProof/>
        </w:rPr>
        <w:footnoteReference w:id="1"/>
      </w:r>
      <w:r>
        <w:rPr>
          <w:noProof/>
        </w:rPr>
        <w:t>, и по-специално член 7, параграф 2, член 8, параграф 3, буква в) и член 23, параграф 1 от него,</w:t>
      </w:r>
    </w:p>
    <w:p>
      <w:pPr>
        <w:rPr>
          <w:noProof/>
        </w:rPr>
      </w:pPr>
      <w:r>
        <w:rPr>
          <w:noProof/>
        </w:rPr>
        <w:t>като има предвид, че:</w:t>
      </w:r>
    </w:p>
    <w:p>
      <w:pPr>
        <w:ind w:left="709" w:hanging="709"/>
        <w:rPr>
          <w:noProof/>
        </w:rPr>
      </w:pPr>
      <w:r>
        <w:rPr>
          <w:noProof/>
        </w:rPr>
        <w:t>(1)</w:t>
      </w:r>
      <w:r>
        <w:rPr>
          <w:noProof/>
        </w:rPr>
        <w:tab/>
        <w:t xml:space="preserve">В член 6, параграф 4 от Споразумението за сътрудничество и митнически съюз между Европейската икономическа общност и Република Сан Марино („Споразумението“) се предвижда, че във връзка с търговията със селскостопански продукти между Съюза и Република Сан Марино Република Сан Марино се задължава да приеме законодателството на Съюза в областта на качеството, когато това е необходимо за правилното функциониране на Споразумението. </w:t>
      </w:r>
    </w:p>
    <w:p>
      <w:pPr>
        <w:ind w:left="709" w:hanging="709"/>
        <w:rPr>
          <w:noProof/>
        </w:rPr>
      </w:pPr>
      <w:r>
        <w:rPr>
          <w:noProof/>
        </w:rPr>
        <w:t>(2)</w:t>
      </w:r>
      <w:r>
        <w:rPr>
          <w:noProof/>
        </w:rPr>
        <w:tab/>
        <w:t>Съгласно член 7, параграф 1, пето тире от Споразумението по отношение на държави, които не са членки на Съюза („трети държави“), Република Сан Марино трябва да прилага законодателството на Съюза в областта на качеството, когато това е необходимо за правилното функциониране на Споразумението.</w:t>
      </w:r>
    </w:p>
    <w:p>
      <w:pPr>
        <w:ind w:left="709" w:hanging="709"/>
        <w:rPr>
          <w:noProof/>
        </w:rPr>
      </w:pPr>
      <w:r>
        <w:rPr>
          <w:noProof/>
        </w:rPr>
        <w:t>(3)</w:t>
      </w:r>
      <w:r>
        <w:rPr>
          <w:noProof/>
        </w:rPr>
        <w:tab/>
        <w:t xml:space="preserve">За да се избегнат пречки пред свободното движение на стоки и да се осигури правилното функциониране на митническия съюз, създаден със Споразумението, е целесъобразно да се определят по-подробно разпоредбите на законодателството на Съюза в областта на качеството, приложими за биологичното производство и етикетирането на биологични продукти. </w:t>
      </w:r>
    </w:p>
    <w:p>
      <w:pPr>
        <w:ind w:left="709" w:hanging="709"/>
        <w:rPr>
          <w:noProof/>
        </w:rPr>
      </w:pPr>
      <w:r>
        <w:rPr>
          <w:noProof/>
        </w:rPr>
        <w:t>(4)</w:t>
      </w:r>
      <w:r>
        <w:rPr>
          <w:noProof/>
        </w:rPr>
        <w:tab/>
        <w:t xml:space="preserve">За да се осигури съответствие със законодателството на Съюза по отношение на вноса на биологични продукти от трети държави в Република Сан Марино, е необходимо да се установят съответните правила, които да се прилагат от нейните национални органи.   </w:t>
      </w:r>
    </w:p>
    <w:p>
      <w:pPr>
        <w:ind w:left="709" w:hanging="709"/>
        <w:rPr>
          <w:noProof/>
        </w:rPr>
      </w:pPr>
      <w:r>
        <w:rPr>
          <w:noProof/>
        </w:rPr>
        <w:t xml:space="preserve">(5) </w:t>
      </w:r>
      <w:r>
        <w:rPr>
          <w:noProof/>
        </w:rPr>
        <w:tab/>
        <w:t xml:space="preserve">За да се осигури съответствие със законодателството на Съюза по отношение на биологични продукти, приготвени или произведени в Република Сан Марино, следва също да се въведат съответни правила. </w:t>
      </w:r>
    </w:p>
    <w:p>
      <w:pPr>
        <w:ind w:left="709" w:hanging="709"/>
        <w:rPr>
          <w:noProof/>
        </w:rPr>
      </w:pPr>
      <w:r>
        <w:rPr>
          <w:noProof/>
        </w:rPr>
        <w:t>(6)</w:t>
      </w:r>
      <w:r>
        <w:rPr>
          <w:noProof/>
        </w:rPr>
        <w:tab/>
        <w:t>Необходимо е също така да се предвиди процедура, която да бъде следвана в случай на приемане на ново законодателство на ЕС относно биологичното производство и етикетирането на биологични продукти, засягащо позоваванията на разпоредбите и правилата, посочени в настоящото решение,</w:t>
      </w:r>
    </w:p>
    <w:p>
      <w:pPr>
        <w:ind w:left="709" w:hanging="709"/>
        <w:rPr>
          <w:noProof/>
        </w:rPr>
      </w:pPr>
      <w:r>
        <w:rPr>
          <w:noProof/>
        </w:rPr>
        <w:tab/>
        <w:t>ПРИЕ НАСТОЯЩОТО РЕШЕНИЕ:</w:t>
      </w:r>
    </w:p>
    <w:p>
      <w:pPr>
        <w:keepNext/>
        <w:spacing w:before="360"/>
        <w:jc w:val="center"/>
        <w:rPr>
          <w:i/>
          <w:noProof/>
        </w:rPr>
      </w:pPr>
      <w:r>
        <w:rPr>
          <w:i/>
          <w:noProof/>
        </w:rPr>
        <w:t>Член 1</w:t>
      </w:r>
    </w:p>
    <w:p>
      <w:pPr>
        <w:keepNext/>
        <w:spacing w:before="360"/>
        <w:rPr>
          <w:noProof/>
        </w:rPr>
      </w:pPr>
      <w:r>
        <w:rPr>
          <w:noProof/>
        </w:rPr>
        <w:t>Приложимите разпоредби от законодателството на Съюза в областта на биологичното производство и етикетирането на биологични продукти са изброени в приложение А.</w:t>
      </w:r>
    </w:p>
    <w:p>
      <w:pPr>
        <w:keepNext/>
        <w:spacing w:before="360"/>
        <w:ind w:left="720" w:hanging="720"/>
        <w:jc w:val="center"/>
        <w:rPr>
          <w:i/>
          <w:noProof/>
        </w:rPr>
      </w:pPr>
      <w:r>
        <w:rPr>
          <w:i/>
          <w:noProof/>
        </w:rPr>
        <w:t>Член 2</w:t>
      </w:r>
    </w:p>
    <w:p>
      <w:pPr>
        <w:spacing w:before="150" w:after="150"/>
        <w:ind w:right="527"/>
        <w:rPr>
          <w:noProof/>
        </w:rPr>
      </w:pPr>
      <w:r>
        <w:rPr>
          <w:noProof/>
          <w:color w:val="000000"/>
          <w:szCs w:val="24"/>
        </w:rPr>
        <w:t>Правилата, необходими за гарантиране на съответствието със законодателството на Съюза, посочено в член 1, по отношение на вноса на биологични продукти от трети държави в Република Сан Марино, са определени в приложение Б.</w:t>
      </w:r>
    </w:p>
    <w:p>
      <w:pPr>
        <w:spacing w:before="150" w:after="150"/>
        <w:ind w:left="225" w:right="525"/>
        <w:jc w:val="center"/>
        <w:rPr>
          <w:rFonts w:eastAsia="Times New Roman"/>
          <w:i/>
          <w:noProof/>
          <w:color w:val="000000"/>
          <w:szCs w:val="24"/>
        </w:rPr>
      </w:pPr>
      <w:r>
        <w:rPr>
          <w:i/>
          <w:noProof/>
          <w:color w:val="000000"/>
          <w:szCs w:val="24"/>
        </w:rPr>
        <w:t>Член 3</w:t>
      </w:r>
    </w:p>
    <w:p>
      <w:pPr>
        <w:spacing w:before="150" w:after="150"/>
        <w:ind w:right="525"/>
        <w:rPr>
          <w:rFonts w:eastAsia="Times New Roman"/>
          <w:noProof/>
          <w:color w:val="000000"/>
          <w:szCs w:val="24"/>
        </w:rPr>
      </w:pPr>
      <w:r>
        <w:rPr>
          <w:noProof/>
        </w:rPr>
        <w:t xml:space="preserve">Правилата, необходими за гарантиране на съответствието със законодателството на Съюза, посочено в член 1, по отношение на биологични продукти, приготвени или произведени в Република Сан Марино, са определени в приложение В. </w:t>
      </w:r>
    </w:p>
    <w:p>
      <w:pPr>
        <w:spacing w:before="150" w:after="150"/>
        <w:ind w:left="225" w:right="525"/>
        <w:jc w:val="center"/>
        <w:rPr>
          <w:rFonts w:eastAsia="Times New Roman"/>
          <w:i/>
          <w:noProof/>
          <w:color w:val="000000"/>
          <w:szCs w:val="24"/>
        </w:rPr>
      </w:pPr>
      <w:r>
        <w:rPr>
          <w:i/>
          <w:noProof/>
          <w:color w:val="000000"/>
          <w:szCs w:val="24"/>
        </w:rPr>
        <w:t>Член 4</w:t>
      </w:r>
    </w:p>
    <w:p>
      <w:pPr>
        <w:spacing w:before="150" w:after="150"/>
        <w:ind w:right="525"/>
        <w:rPr>
          <w:noProof/>
        </w:rPr>
      </w:pPr>
      <w:r>
        <w:rPr>
          <w:noProof/>
        </w:rPr>
        <w:t xml:space="preserve">Изменения на приложения А, Б и В, както и други практически договорености, необходими за прилагане на законодателството, посочено в тези приложения, се договарят от службите на Европейската комисия и органите на Република Сан Марино.   </w:t>
      </w:r>
    </w:p>
    <w:p>
      <w:pPr>
        <w:keepNext/>
        <w:spacing w:before="360"/>
        <w:jc w:val="center"/>
        <w:rPr>
          <w:i/>
          <w:noProof/>
        </w:rPr>
      </w:pPr>
      <w:r>
        <w:rPr>
          <w:i/>
          <w:noProof/>
        </w:rPr>
        <w:t>Член 5</w:t>
      </w:r>
    </w:p>
    <w:p>
      <w:pPr>
        <w:rPr>
          <w:noProof/>
          <w:vertAlign w:val="superscript"/>
        </w:rPr>
      </w:pPr>
      <w:r>
        <w:rPr>
          <w:noProof/>
        </w:rPr>
        <w:t xml:space="preserve">Настоящото решение влиза в сила в деня на приемането му. </w:t>
      </w:r>
    </w:p>
    <w:p>
      <w:pPr>
        <w:keepNext/>
        <w:spacing w:after="0"/>
        <w:rPr>
          <w:noProof/>
        </w:rPr>
      </w:pPr>
      <w:r>
        <w:rPr>
          <w:noProof/>
        </w:rPr>
        <w:t>Съставено в Брюксел на XX YYY 2018 година.</w:t>
      </w:r>
    </w:p>
    <w:p>
      <w:pPr>
        <w:keepNext/>
        <w:tabs>
          <w:tab w:val="left" w:pos="4252"/>
        </w:tabs>
        <w:spacing w:before="720" w:after="0"/>
        <w:rPr>
          <w:i/>
          <w:noProof/>
        </w:rPr>
      </w:pPr>
      <w:r>
        <w:rPr>
          <w:i/>
          <w:noProof/>
        </w:rPr>
        <w:tab/>
        <w:t>За Комитета за сътрудничество</w:t>
      </w:r>
    </w:p>
    <w:p>
      <w:pPr>
        <w:tabs>
          <w:tab w:val="left" w:pos="4252"/>
        </w:tabs>
        <w:spacing w:before="0" w:after="0"/>
        <w:ind w:left="2880"/>
        <w:jc w:val="left"/>
        <w:rPr>
          <w:i/>
          <w:noProof/>
        </w:rPr>
      </w:pPr>
      <w:r>
        <w:rPr>
          <w:i/>
          <w:noProof/>
        </w:rPr>
        <w:tab/>
        <w:t xml:space="preserve">Председател </w:t>
      </w:r>
      <w:r>
        <w:rPr>
          <w:i/>
          <w:noProof/>
        </w:rPr>
        <w:br/>
      </w:r>
    </w:p>
    <w:p>
      <w:pPr>
        <w:tabs>
          <w:tab w:val="left" w:pos="4252"/>
        </w:tabs>
        <w:spacing w:before="0" w:after="0"/>
        <w:jc w:val="left"/>
        <w:rPr>
          <w:i/>
          <w:noProof/>
        </w:rPr>
      </w:pPr>
      <w:r>
        <w:rPr>
          <w:i/>
          <w:noProof/>
        </w:rPr>
        <w:br/>
      </w:r>
    </w:p>
    <w:p>
      <w:pPr>
        <w:spacing w:before="0" w:after="200" w:line="276" w:lineRule="auto"/>
        <w:jc w:val="left"/>
        <w:rPr>
          <w:i/>
          <w:noProof/>
        </w:rPr>
      </w:pPr>
      <w:r>
        <w:rPr>
          <w:noProof/>
        </w:rPr>
        <w:br w:type="page"/>
      </w:r>
    </w:p>
    <w:p>
      <w:pPr>
        <w:jc w:val="center"/>
        <w:rPr>
          <w:b/>
          <w:noProof/>
        </w:rPr>
      </w:pPr>
      <w:r>
        <w:rPr>
          <w:b/>
          <w:noProof/>
        </w:rPr>
        <w:t>ПРИЛОЖЕНИЕ А</w:t>
      </w:r>
    </w:p>
    <w:p>
      <w:pPr>
        <w:jc w:val="center"/>
        <w:rPr>
          <w:b/>
          <w:noProof/>
        </w:rPr>
      </w:pPr>
      <w:r>
        <w:rPr>
          <w:b/>
          <w:noProof/>
        </w:rPr>
        <w:t xml:space="preserve">СПИСЪК НА ПРИЛОЖИМИТЕ РАЗПОРЕДБИ ОТНОСНО БИОЛОГИЧНОТО ПРОИЗВОДСТВО И ЕТИКЕТИРАНЕТО НА БИОЛОГИЧНИ ПРОДУКТИ </w:t>
      </w:r>
    </w:p>
    <w:p>
      <w:pPr>
        <w:autoSpaceDE w:val="0"/>
        <w:autoSpaceDN w:val="0"/>
        <w:adjustRightInd w:val="0"/>
        <w:spacing w:before="0" w:after="0"/>
        <w:rPr>
          <w:b/>
          <w:noProof/>
        </w:rPr>
      </w:pPr>
    </w:p>
    <w:p>
      <w:pPr>
        <w:rPr>
          <w:rFonts w:eastAsia="Times New Roman"/>
          <w:noProof/>
          <w:szCs w:val="24"/>
        </w:rPr>
      </w:pPr>
      <w:r>
        <w:rPr>
          <w:noProof/>
        </w:rPr>
        <w:t>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 20.7.2007 г., стр. 1), изменен с:</w:t>
      </w:r>
    </w:p>
    <w:p>
      <w:pPr>
        <w:ind w:left="1417" w:hanging="567"/>
        <w:rPr>
          <w:noProof/>
        </w:rPr>
      </w:pPr>
      <w:r>
        <w:rPr>
          <w:noProof/>
        </w:rPr>
        <w:t>-</w:t>
      </w:r>
      <w:r>
        <w:rPr>
          <w:noProof/>
        </w:rPr>
        <w:tab/>
        <w:t xml:space="preserve">Регламент (ЕО) № 967/2008 на Съвета от 29 септември 2008 г. (ОВ L 264, 3.10.2008 г., стр. 1), </w:t>
      </w:r>
    </w:p>
    <w:p>
      <w:pPr>
        <w:ind w:left="1417" w:hanging="567"/>
        <w:rPr>
          <w:rFonts w:eastAsia="Times New Roman"/>
          <w:noProof/>
          <w:szCs w:val="24"/>
        </w:rPr>
      </w:pPr>
      <w:r>
        <w:rPr>
          <w:noProof/>
        </w:rPr>
        <w:t>-</w:t>
      </w:r>
      <w:r>
        <w:rPr>
          <w:noProof/>
        </w:rPr>
        <w:tab/>
        <w:t>Регламент (ЕС) № 517/2013 на Съвета от 13 май 2013 г. (OВ L 158, 10.6.2013 г., стр. 1).</w:t>
      </w:r>
    </w:p>
    <w:p>
      <w:pPr>
        <w:rPr>
          <w:rFonts w:eastAsia="Times New Roman"/>
          <w:noProof/>
          <w:szCs w:val="24"/>
        </w:rPr>
      </w:pPr>
      <w:r>
        <w:rPr>
          <w:noProof/>
        </w:rPr>
        <w:t>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 18.9.2008 г., стр. 1), изменен с:</w:t>
      </w:r>
    </w:p>
    <w:p>
      <w:pPr>
        <w:ind w:left="1984" w:hanging="567"/>
        <w:rPr>
          <w:rFonts w:eastAsia="Times New Roman"/>
          <w:noProof/>
          <w:szCs w:val="24"/>
        </w:rPr>
      </w:pPr>
      <w:r>
        <w:rPr>
          <w:noProof/>
        </w:rPr>
        <w:t>-</w:t>
      </w:r>
      <w:r>
        <w:rPr>
          <w:noProof/>
        </w:rPr>
        <w:tab/>
        <w:t>Регламент (ЕО) № 1254/2008 на Комисията от 15 декември 2008 г. (ОВ L 337, 16.12.2008 г., стр. 80),</w:t>
      </w:r>
    </w:p>
    <w:p>
      <w:pPr>
        <w:ind w:left="1984" w:hanging="567"/>
        <w:rPr>
          <w:rFonts w:eastAsia="Times New Roman"/>
          <w:noProof/>
          <w:szCs w:val="24"/>
        </w:rPr>
      </w:pPr>
      <w:r>
        <w:rPr>
          <w:noProof/>
        </w:rPr>
        <w:t>-</w:t>
      </w:r>
      <w:r>
        <w:rPr>
          <w:noProof/>
        </w:rPr>
        <w:tab/>
        <w:t>Регламент (ЕО) № 710/2009 на Комисията от 5 август 2009 г. (ОВ L 204, 6.8.2009 г., стр. 15),</w:t>
      </w:r>
    </w:p>
    <w:p>
      <w:pPr>
        <w:ind w:left="1984" w:hanging="567"/>
        <w:rPr>
          <w:rFonts w:eastAsia="Times New Roman"/>
          <w:noProof/>
          <w:szCs w:val="24"/>
        </w:rPr>
      </w:pPr>
      <w:r>
        <w:rPr>
          <w:noProof/>
        </w:rPr>
        <w:t>-</w:t>
      </w:r>
      <w:r>
        <w:rPr>
          <w:noProof/>
        </w:rPr>
        <w:tab/>
        <w:t>Регламент (ЕС) № 271/2010 на Комисията от 24 март 2010 г. (ОВ L 84, 31.3.2010 г., стр. 19),</w:t>
      </w:r>
    </w:p>
    <w:p>
      <w:pPr>
        <w:ind w:left="1984" w:hanging="567"/>
        <w:rPr>
          <w:rFonts w:eastAsia="Times New Roman"/>
          <w:noProof/>
          <w:szCs w:val="24"/>
        </w:rPr>
      </w:pPr>
      <w:r>
        <w:rPr>
          <w:noProof/>
        </w:rPr>
        <w:t>-</w:t>
      </w:r>
      <w:r>
        <w:rPr>
          <w:noProof/>
        </w:rPr>
        <w:tab/>
        <w:t>Регламент за изпълнение (ЕС) № 344/2011 на Комисията от 8 април 2011 г. (ОВ L 96, 9.4.2011 г., стр. 15),</w:t>
      </w:r>
    </w:p>
    <w:p>
      <w:pPr>
        <w:ind w:left="1984" w:hanging="567"/>
        <w:rPr>
          <w:rFonts w:eastAsia="Times New Roman"/>
          <w:noProof/>
          <w:szCs w:val="24"/>
        </w:rPr>
      </w:pPr>
      <w:r>
        <w:rPr>
          <w:noProof/>
        </w:rPr>
        <w:t>-</w:t>
      </w:r>
      <w:r>
        <w:rPr>
          <w:noProof/>
        </w:rPr>
        <w:tab/>
        <w:t>Регламент за изпълнение (ЕС) № 426/2011 на Комисията от 2 май 2011 г. (ОВ L 113, 3.5.2011 г., стр. 1),</w:t>
      </w:r>
    </w:p>
    <w:p>
      <w:pPr>
        <w:ind w:left="1984" w:hanging="567"/>
        <w:rPr>
          <w:rFonts w:eastAsia="Times New Roman"/>
          <w:noProof/>
          <w:szCs w:val="24"/>
        </w:rPr>
      </w:pPr>
      <w:r>
        <w:rPr>
          <w:noProof/>
        </w:rPr>
        <w:t>-</w:t>
      </w:r>
      <w:r>
        <w:rPr>
          <w:noProof/>
        </w:rPr>
        <w:tab/>
        <w:t>Регламент за изпълнение (ЕС) № 126/2012 на Комисията от 14 февруари 2012 г. (ОВ L 41, 15.2.2012 г., стр. 5),</w:t>
      </w:r>
    </w:p>
    <w:p>
      <w:pPr>
        <w:ind w:left="1984" w:hanging="566"/>
        <w:rPr>
          <w:rFonts w:eastAsia="Times New Roman"/>
          <w:noProof/>
          <w:szCs w:val="24"/>
        </w:rPr>
      </w:pPr>
      <w:r>
        <w:rPr>
          <w:noProof/>
        </w:rPr>
        <w:t xml:space="preserve">- </w:t>
      </w:r>
      <w:r>
        <w:rPr>
          <w:noProof/>
        </w:rPr>
        <w:tab/>
        <w:t>Регламент за изпълнение (ЕС) № 203/2012 на Комисията от 8 март 2012 г. (ОВ L 71, 9.3.2012 г., стр. 42),</w:t>
      </w:r>
    </w:p>
    <w:p>
      <w:pPr>
        <w:ind w:left="1984" w:hanging="566"/>
        <w:rPr>
          <w:rFonts w:eastAsia="Times New Roman"/>
          <w:noProof/>
          <w:szCs w:val="24"/>
        </w:rPr>
      </w:pPr>
      <w:r>
        <w:rPr>
          <w:noProof/>
        </w:rPr>
        <w:t>-</w:t>
      </w:r>
      <w:r>
        <w:rPr>
          <w:noProof/>
        </w:rPr>
        <w:tab/>
        <w:t xml:space="preserve">Регламент за изпълнение (ЕС) № 505/2012 на Комисията от 14 юни 2012 г. (ОВ L 154, 15.6.2012 г., стр. 12), </w:t>
      </w:r>
    </w:p>
    <w:p>
      <w:pPr>
        <w:ind w:left="1984" w:hanging="567"/>
        <w:rPr>
          <w:rFonts w:eastAsia="Times New Roman"/>
          <w:noProof/>
          <w:szCs w:val="24"/>
        </w:rPr>
      </w:pPr>
      <w:r>
        <w:rPr>
          <w:noProof/>
        </w:rPr>
        <w:t>-</w:t>
      </w:r>
      <w:r>
        <w:rPr>
          <w:noProof/>
        </w:rPr>
        <w:tab/>
        <w:t xml:space="preserve">Регламент за изпълнение (ЕС) № 392/2013 на Комисията от 29 април 2013 г. (ОВ L 118, 30.4.2013 г., стр. 5), </w:t>
      </w:r>
    </w:p>
    <w:p>
      <w:pPr>
        <w:ind w:left="1984" w:hanging="567"/>
        <w:rPr>
          <w:rFonts w:eastAsia="Times New Roman"/>
          <w:noProof/>
          <w:szCs w:val="24"/>
        </w:rPr>
      </w:pPr>
      <w:r>
        <w:rPr>
          <w:noProof/>
        </w:rPr>
        <w:t>-</w:t>
      </w:r>
      <w:r>
        <w:rPr>
          <w:noProof/>
        </w:rPr>
        <w:tab/>
        <w:t>Регламент (ЕС) № 519/2013 на Комисията от 21 февруари 2013 г. (ОВ L 158, 10.6.2013 г., стр. 74),</w:t>
      </w:r>
    </w:p>
    <w:p>
      <w:pPr>
        <w:ind w:left="1984" w:hanging="567"/>
        <w:rPr>
          <w:rFonts w:eastAsia="Times New Roman"/>
          <w:noProof/>
          <w:szCs w:val="24"/>
        </w:rPr>
      </w:pPr>
      <w:r>
        <w:rPr>
          <w:noProof/>
        </w:rPr>
        <w:t>-</w:t>
      </w:r>
      <w:r>
        <w:rPr>
          <w:noProof/>
        </w:rPr>
        <w:tab/>
        <w:t>Регламент за изпълнение (ЕС) № 1030/2013 на Комисията от 24 октомври 2013 г. (ОВ L 283, 25.10.2013 г., стр. 15),</w:t>
      </w:r>
    </w:p>
    <w:p>
      <w:pPr>
        <w:ind w:left="1984" w:hanging="567"/>
        <w:rPr>
          <w:rFonts w:eastAsia="Times New Roman"/>
          <w:iCs/>
          <w:noProof/>
          <w:szCs w:val="24"/>
        </w:rPr>
      </w:pPr>
      <w:r>
        <w:rPr>
          <w:noProof/>
        </w:rPr>
        <w:t>-</w:t>
      </w:r>
      <w:r>
        <w:rPr>
          <w:noProof/>
        </w:rPr>
        <w:tab/>
        <w:t>Регламент за изпълнение (ЕС) № 1364/2013 на Комисията от 17 декември 2013 г. (ОВ L 343, 19.12.2013 г., стр. 29),</w:t>
      </w:r>
    </w:p>
    <w:p>
      <w:pPr>
        <w:ind w:left="1984" w:hanging="567"/>
        <w:rPr>
          <w:rFonts w:eastAsia="Times New Roman"/>
          <w:noProof/>
          <w:szCs w:val="24"/>
        </w:rPr>
      </w:pPr>
      <w:r>
        <w:rPr>
          <w:noProof/>
        </w:rPr>
        <w:t>-</w:t>
      </w:r>
      <w:r>
        <w:rPr>
          <w:noProof/>
        </w:rPr>
        <w:tab/>
        <w:t>Регламент за изпълнение (ЕС) № 354/2014 на Комисията от 8 април 2014 г. (ОВ L 106, 9.4.2014 г., стр. 7),</w:t>
      </w:r>
    </w:p>
    <w:p>
      <w:pPr>
        <w:ind w:left="1984" w:hanging="567"/>
        <w:rPr>
          <w:rFonts w:eastAsia="Times New Roman"/>
          <w:noProof/>
          <w:szCs w:val="24"/>
        </w:rPr>
      </w:pPr>
      <w:r>
        <w:rPr>
          <w:noProof/>
        </w:rPr>
        <w:t>-</w:t>
      </w:r>
      <w:r>
        <w:rPr>
          <w:noProof/>
        </w:rPr>
        <w:tab/>
        <w:t xml:space="preserve">Регламент за изпълнение (ЕС) № 836/2014 на Комисията от 31 юли 2014 г. (ОВ L 230, 1.8.2014 г., стр. 10), </w:t>
      </w:r>
    </w:p>
    <w:p>
      <w:pPr>
        <w:ind w:left="1984" w:hanging="567"/>
        <w:rPr>
          <w:rFonts w:eastAsia="Times New Roman"/>
          <w:noProof/>
          <w:szCs w:val="24"/>
        </w:rPr>
      </w:pPr>
      <w:r>
        <w:rPr>
          <w:noProof/>
        </w:rPr>
        <w:t>-</w:t>
      </w:r>
      <w:r>
        <w:rPr>
          <w:noProof/>
        </w:rPr>
        <w:tab/>
        <w:t>Регламент за изпълнение (ЕС) № 1358/2014 на Комисията от 18 декември 2014 г. (ОВ L 365, 19.12.2014 г., стр. 97),</w:t>
      </w:r>
    </w:p>
    <w:p>
      <w:pPr>
        <w:ind w:left="1984" w:hanging="567"/>
        <w:rPr>
          <w:rFonts w:eastAsia="Times New Roman"/>
          <w:bCs/>
          <w:noProof/>
          <w:szCs w:val="24"/>
        </w:rPr>
      </w:pPr>
      <w:r>
        <w:rPr>
          <w:noProof/>
        </w:rPr>
        <w:t>-</w:t>
      </w:r>
      <w:r>
        <w:rPr>
          <w:noProof/>
        </w:rPr>
        <w:tab/>
        <w:t>Регламент за изпълнение (ЕС) 2016/673 на Комисията от 29 април 2016 г. (OB L 116, 30.4.2016 г., стр. 8),</w:t>
      </w:r>
    </w:p>
    <w:p>
      <w:pPr>
        <w:ind w:left="1984" w:hanging="567"/>
        <w:rPr>
          <w:rFonts w:eastAsia="Times New Roman"/>
          <w:bCs/>
          <w:noProof/>
          <w:szCs w:val="24"/>
        </w:rPr>
      </w:pPr>
      <w:r>
        <w:rPr>
          <w:noProof/>
        </w:rPr>
        <w:t>-</w:t>
      </w:r>
      <w:r>
        <w:rPr>
          <w:noProof/>
        </w:rPr>
        <w:tab/>
        <w:t>Регламент за изпълнение (ЕС) 2016/1842 на Комисията от 14 октомври 2016 г. (OB L 282, 19.10.2016 г., стр. 19),</w:t>
      </w:r>
    </w:p>
    <w:p>
      <w:pPr>
        <w:ind w:left="1984" w:hanging="567"/>
        <w:rPr>
          <w:rFonts w:eastAsia="Times New Roman"/>
          <w:bCs/>
          <w:noProof/>
          <w:szCs w:val="24"/>
        </w:rPr>
      </w:pPr>
      <w:r>
        <w:rPr>
          <w:noProof/>
        </w:rPr>
        <w:t>-</w:t>
      </w:r>
      <w:r>
        <w:rPr>
          <w:noProof/>
        </w:rPr>
        <w:tab/>
        <w:t>Регламент за изпълнение (ЕС) 2017/838 на Комисията от 17 май 2017 г. (ОВ L 125, 18.5.2017 г., стр. 5),</w:t>
      </w:r>
    </w:p>
    <w:p>
      <w:pPr>
        <w:ind w:left="1984" w:hanging="567"/>
        <w:rPr>
          <w:rFonts w:eastAsia="Times New Roman"/>
          <w:bCs/>
          <w:noProof/>
          <w:szCs w:val="24"/>
        </w:rPr>
      </w:pPr>
      <w:r>
        <w:rPr>
          <w:noProof/>
        </w:rPr>
        <w:t>-</w:t>
      </w:r>
      <w:r>
        <w:rPr>
          <w:noProof/>
        </w:rPr>
        <w:tab/>
        <w:t>Регламент за изпълнение (ЕС) 2017/2273 на Комисията от 8 декември 2017 г. (ОВ L 326, 9.12.2017 г., стр. 42),</w:t>
      </w:r>
    </w:p>
    <w:p>
      <w:pPr>
        <w:rPr>
          <w:rFonts w:eastAsia="Times New Roman"/>
          <w:noProof/>
          <w:szCs w:val="24"/>
        </w:rPr>
      </w:pPr>
    </w:p>
    <w:p>
      <w:pPr>
        <w:rPr>
          <w:rFonts w:eastAsia="Times New Roman"/>
          <w:noProof/>
          <w:szCs w:val="24"/>
        </w:rPr>
      </w:pPr>
      <w:r>
        <w:rPr>
          <w:noProof/>
        </w:rPr>
        <w:t>Регламент (ЕО) № 1235/2008 на Комисията от 8 декември 2008 г. за определяне на подробни правила за прилагането на Регламент (ЕО) № 834/2007 на Съвета по отношение на режима за внос на биологични продукти от трети държави (ОВ L 334, 12.12.2008 г., стр. 25), изменен с:</w:t>
      </w:r>
    </w:p>
    <w:p>
      <w:pPr>
        <w:ind w:left="1984" w:hanging="567"/>
        <w:rPr>
          <w:rFonts w:eastAsia="Times New Roman"/>
          <w:noProof/>
          <w:szCs w:val="24"/>
        </w:rPr>
      </w:pPr>
      <w:r>
        <w:rPr>
          <w:noProof/>
        </w:rPr>
        <w:t>-</w:t>
      </w:r>
      <w:r>
        <w:rPr>
          <w:noProof/>
        </w:rPr>
        <w:tab/>
        <w:t>Регламент (ЕО) № 537/2009 на Комисията от 19 юни 2009 г. (ОВ L 159, 20.6.2009 г., стр. 6),</w:t>
      </w:r>
    </w:p>
    <w:p>
      <w:pPr>
        <w:ind w:left="1984" w:hanging="567"/>
        <w:rPr>
          <w:rFonts w:eastAsia="Times New Roman"/>
          <w:noProof/>
          <w:szCs w:val="24"/>
        </w:rPr>
      </w:pPr>
      <w:r>
        <w:rPr>
          <w:noProof/>
        </w:rPr>
        <w:t>-</w:t>
      </w:r>
      <w:r>
        <w:rPr>
          <w:noProof/>
        </w:rPr>
        <w:tab/>
        <w:t>Регламент (ЕС) № 471/2010 на Комисията от 31 май 2010 г. (ОВ L 134, 1.6.2010 г., стр. 1),</w:t>
      </w:r>
    </w:p>
    <w:p>
      <w:pPr>
        <w:ind w:left="1984" w:hanging="567"/>
        <w:rPr>
          <w:rFonts w:eastAsia="Times New Roman"/>
          <w:noProof/>
          <w:szCs w:val="24"/>
        </w:rPr>
      </w:pPr>
      <w:r>
        <w:rPr>
          <w:noProof/>
        </w:rPr>
        <w:t>-</w:t>
      </w:r>
      <w:r>
        <w:rPr>
          <w:noProof/>
        </w:rPr>
        <w:tab/>
        <w:t>Регламент за изпълнение (ЕС) № 590/2011 на Комисията от 20 юни 2011 г. (ОВ L 161, 21.6.2011 г., стр. 9),</w:t>
      </w:r>
    </w:p>
    <w:p>
      <w:pPr>
        <w:ind w:left="1984" w:hanging="567"/>
        <w:rPr>
          <w:rFonts w:eastAsia="Times New Roman"/>
          <w:noProof/>
          <w:szCs w:val="24"/>
        </w:rPr>
      </w:pPr>
      <w:r>
        <w:rPr>
          <w:noProof/>
        </w:rPr>
        <w:t>-</w:t>
      </w:r>
      <w:r>
        <w:rPr>
          <w:noProof/>
        </w:rPr>
        <w:tab/>
        <w:t>Регламент за изпълнение (ЕС) № 1084/2011 на Комисията от 27 октомври 2011 г. (ОВ L 281, 28.10.2011 г., стр. 3),</w:t>
      </w:r>
    </w:p>
    <w:p>
      <w:pPr>
        <w:ind w:left="1984" w:hanging="567"/>
        <w:rPr>
          <w:rFonts w:eastAsia="Times New Roman"/>
          <w:noProof/>
          <w:szCs w:val="24"/>
        </w:rPr>
      </w:pPr>
      <w:r>
        <w:rPr>
          <w:noProof/>
        </w:rPr>
        <w:t>-</w:t>
      </w:r>
      <w:r>
        <w:rPr>
          <w:noProof/>
        </w:rPr>
        <w:tab/>
        <w:t xml:space="preserve">Регламент за изпълнение (ЕС) № 1267/2011 на Комисията от 6 декември 2011 г. (ОВ L 324, 7.12.2011 г., стр. 9), </w:t>
      </w:r>
    </w:p>
    <w:p>
      <w:pPr>
        <w:ind w:left="1984" w:hanging="567"/>
        <w:rPr>
          <w:rFonts w:eastAsia="Times New Roman"/>
          <w:noProof/>
          <w:szCs w:val="24"/>
        </w:rPr>
      </w:pPr>
      <w:r>
        <w:rPr>
          <w:noProof/>
        </w:rPr>
        <w:t>-</w:t>
      </w:r>
      <w:r>
        <w:rPr>
          <w:noProof/>
        </w:rPr>
        <w:tab/>
        <w:t xml:space="preserve">Регламент за изпълнение (ЕС) № 126/2012 на Комисията от 14 февруари 2012 г. (ОВ L 41, 15.2.2012 г., стр. 5), </w:t>
      </w:r>
    </w:p>
    <w:p>
      <w:pPr>
        <w:ind w:left="1984" w:hanging="567"/>
        <w:rPr>
          <w:rFonts w:eastAsia="Times New Roman"/>
          <w:noProof/>
          <w:szCs w:val="24"/>
        </w:rPr>
      </w:pPr>
      <w:r>
        <w:rPr>
          <w:noProof/>
        </w:rPr>
        <w:t>-</w:t>
      </w:r>
      <w:r>
        <w:rPr>
          <w:noProof/>
        </w:rPr>
        <w:tab/>
        <w:t>Регламент за изпълнение (ЕС) № 508/2012 на Комисията от 20 юни 2012 г. (ОВ L 162, 21.6.2012 г., стр. 1),</w:t>
      </w:r>
    </w:p>
    <w:p>
      <w:pPr>
        <w:ind w:left="1984" w:hanging="567"/>
        <w:rPr>
          <w:rFonts w:eastAsia="Times New Roman"/>
          <w:noProof/>
          <w:szCs w:val="24"/>
        </w:rPr>
      </w:pPr>
      <w:r>
        <w:rPr>
          <w:noProof/>
        </w:rPr>
        <w:t>-</w:t>
      </w:r>
      <w:r>
        <w:rPr>
          <w:noProof/>
        </w:rPr>
        <w:tab/>
        <w:t>Регламент за изпълнение (ЕС) № 751/2012 на Комисията от 16 август 2012 г. (ОВ L 222, 18.8.2012 г., стр. 5),</w:t>
      </w:r>
    </w:p>
    <w:p>
      <w:pPr>
        <w:ind w:left="1984" w:hanging="566"/>
        <w:rPr>
          <w:rFonts w:eastAsia="Times New Roman"/>
          <w:noProof/>
          <w:szCs w:val="24"/>
        </w:rPr>
      </w:pPr>
      <w:r>
        <w:rPr>
          <w:noProof/>
        </w:rPr>
        <w:t>-</w:t>
      </w:r>
      <w:r>
        <w:rPr>
          <w:noProof/>
        </w:rPr>
        <w:tab/>
        <w:t>Регламент за изпълнение (ЕС) № 125/2013 на Комисията от 13 февруари 2013 г. (ОВ L 43, 14.2.2013 г., стр. 1),</w:t>
      </w:r>
    </w:p>
    <w:p>
      <w:pPr>
        <w:ind w:left="1984" w:hanging="566"/>
        <w:rPr>
          <w:rFonts w:eastAsia="Times New Roman"/>
          <w:noProof/>
          <w:szCs w:val="24"/>
        </w:rPr>
      </w:pPr>
      <w:r>
        <w:rPr>
          <w:noProof/>
        </w:rPr>
        <w:t>-</w:t>
      </w:r>
      <w:r>
        <w:rPr>
          <w:noProof/>
        </w:rPr>
        <w:tab/>
        <w:t>Регламент (ЕС) № 519/2013 на Комисията от 21 февруари 2013 г. (ОВ L 158, 10.6.2013 г., стр. 74),</w:t>
      </w:r>
    </w:p>
    <w:p>
      <w:pPr>
        <w:ind w:left="1984" w:hanging="567"/>
        <w:rPr>
          <w:rFonts w:eastAsia="Times New Roman"/>
          <w:noProof/>
          <w:szCs w:val="24"/>
        </w:rPr>
      </w:pPr>
      <w:r>
        <w:rPr>
          <w:noProof/>
        </w:rPr>
        <w:t>-</w:t>
      </w:r>
      <w:r>
        <w:rPr>
          <w:noProof/>
        </w:rPr>
        <w:tab/>
        <w:t>Регламент за изпълнение (ЕС) № 567/2013 на Комисията от 18 юни 2013 г. (ОВ L 167, 19.6.2013 г., стр. 30),</w:t>
      </w:r>
    </w:p>
    <w:p>
      <w:pPr>
        <w:ind w:left="1984" w:hanging="567"/>
        <w:rPr>
          <w:rFonts w:eastAsia="Times New Roman"/>
          <w:noProof/>
          <w:szCs w:val="24"/>
        </w:rPr>
      </w:pPr>
      <w:r>
        <w:rPr>
          <w:noProof/>
        </w:rPr>
        <w:t>-</w:t>
      </w:r>
      <w:r>
        <w:rPr>
          <w:noProof/>
        </w:rPr>
        <w:tab/>
        <w:t>Регламент за изпълнение (ЕС) № 586/2013 на Комисията от 20 юни 2013 г. (ОВ L 169, 21.6.2013 г., стр. 51),</w:t>
      </w:r>
    </w:p>
    <w:p>
      <w:pPr>
        <w:ind w:left="1984" w:hanging="567"/>
        <w:rPr>
          <w:rFonts w:eastAsia="Times New Roman"/>
          <w:noProof/>
          <w:szCs w:val="24"/>
        </w:rPr>
      </w:pPr>
      <w:r>
        <w:rPr>
          <w:noProof/>
        </w:rPr>
        <w:t>-</w:t>
      </w:r>
      <w:r>
        <w:rPr>
          <w:noProof/>
        </w:rPr>
        <w:tab/>
        <w:t>Регламент за изпълнение (ЕС) № 355/2014 на Комисията от 8 април 2014 г. (ОВ L 106, 9.4.2014 г., стр. 15),</w:t>
      </w:r>
    </w:p>
    <w:p>
      <w:pPr>
        <w:ind w:left="1984" w:hanging="567"/>
        <w:rPr>
          <w:rFonts w:eastAsia="Times New Roman"/>
          <w:noProof/>
          <w:szCs w:val="24"/>
        </w:rPr>
      </w:pPr>
      <w:r>
        <w:rPr>
          <w:noProof/>
        </w:rPr>
        <w:t>-</w:t>
      </w:r>
      <w:r>
        <w:rPr>
          <w:noProof/>
        </w:rPr>
        <w:tab/>
        <w:t>Регламент за изпълнение (ЕС) № 442/2014 на Комисията от 30 април 2014 г. (ОВ L 130, 1.5.2014 г., стр. 39),</w:t>
      </w:r>
    </w:p>
    <w:p>
      <w:pPr>
        <w:ind w:left="1984" w:hanging="567"/>
        <w:rPr>
          <w:rFonts w:eastAsia="Times New Roman"/>
          <w:noProof/>
          <w:szCs w:val="24"/>
        </w:rPr>
      </w:pPr>
      <w:r>
        <w:rPr>
          <w:noProof/>
        </w:rPr>
        <w:t>-</w:t>
      </w:r>
      <w:r>
        <w:rPr>
          <w:noProof/>
        </w:rPr>
        <w:tab/>
        <w:t>Регламент за изпълнение (ЕС) № 644/2014 на Комисията от 16 юни 2014 г. (ОВ L 177, 17.6.2014 г., стр. 42),</w:t>
      </w:r>
    </w:p>
    <w:p>
      <w:pPr>
        <w:ind w:left="1984" w:hanging="567"/>
        <w:rPr>
          <w:rFonts w:eastAsia="Times New Roman"/>
          <w:noProof/>
          <w:szCs w:val="24"/>
        </w:rPr>
      </w:pPr>
      <w:r>
        <w:rPr>
          <w:noProof/>
        </w:rPr>
        <w:t>-</w:t>
      </w:r>
      <w:r>
        <w:rPr>
          <w:noProof/>
        </w:rPr>
        <w:tab/>
        <w:t>Регламент за изпълнение (ЕС) № 829/2014 на Комисията от 30 юли 2014 г. (ОВ L 228, 31.7.2014 г., стр. 9),</w:t>
      </w:r>
    </w:p>
    <w:p>
      <w:pPr>
        <w:ind w:left="1984" w:hanging="567"/>
        <w:rPr>
          <w:rFonts w:eastAsia="Times New Roman"/>
          <w:noProof/>
          <w:szCs w:val="24"/>
        </w:rPr>
      </w:pPr>
      <w:r>
        <w:rPr>
          <w:noProof/>
        </w:rPr>
        <w:t>-</w:t>
      </w:r>
      <w:r>
        <w:rPr>
          <w:noProof/>
        </w:rPr>
        <w:tab/>
        <w:t xml:space="preserve">Регламент за изпълнение (ЕС) № 1287/2014 на Комисията от 28 ноември 2014 г. (ОВ L 348, 4.12.2014 г., стр. 1), </w:t>
      </w:r>
    </w:p>
    <w:p>
      <w:pPr>
        <w:ind w:left="1984" w:hanging="567"/>
        <w:rPr>
          <w:rFonts w:eastAsia="Times New Roman"/>
          <w:noProof/>
          <w:szCs w:val="24"/>
        </w:rPr>
      </w:pPr>
      <w:r>
        <w:rPr>
          <w:noProof/>
        </w:rPr>
        <w:t>-</w:t>
      </w:r>
      <w:r>
        <w:rPr>
          <w:noProof/>
        </w:rPr>
        <w:tab/>
        <w:t>Регламент за изпълнение (ЕС) 2015/131 на Комисията от 26 януари 2015 г. (OB L 23, 29.1.2015 г., стр. 1),</w:t>
      </w:r>
    </w:p>
    <w:p>
      <w:pPr>
        <w:ind w:left="1984" w:hanging="567"/>
        <w:rPr>
          <w:rFonts w:eastAsia="Times New Roman"/>
          <w:noProof/>
          <w:szCs w:val="24"/>
        </w:rPr>
      </w:pPr>
      <w:r>
        <w:rPr>
          <w:noProof/>
        </w:rPr>
        <w:t>-</w:t>
      </w:r>
      <w:r>
        <w:rPr>
          <w:noProof/>
        </w:rPr>
        <w:tab/>
        <w:t>Регламент за изпълнение (ЕС) 2015/931 на Комисията от 17 юни 2015 г. (OB L 151, 18.6.2015 г., стр. 1),</w:t>
      </w:r>
    </w:p>
    <w:p>
      <w:pPr>
        <w:ind w:left="1984" w:hanging="567"/>
        <w:rPr>
          <w:rFonts w:eastAsia="Times New Roman"/>
          <w:noProof/>
          <w:szCs w:val="24"/>
        </w:rPr>
      </w:pPr>
      <w:r>
        <w:rPr>
          <w:noProof/>
        </w:rPr>
        <w:t>-</w:t>
      </w:r>
      <w:r>
        <w:rPr>
          <w:noProof/>
        </w:rPr>
        <w:tab/>
        <w:t>Регламент за изпълнение (ЕС) 2015/1980 на Комисията от 4 ноември 2015 г. (OB L 289, 5.11.2015 г., стр. 6),</w:t>
      </w:r>
    </w:p>
    <w:p>
      <w:pPr>
        <w:ind w:left="1984" w:hanging="567"/>
        <w:rPr>
          <w:rFonts w:eastAsia="Times New Roman"/>
          <w:noProof/>
          <w:szCs w:val="24"/>
        </w:rPr>
      </w:pPr>
      <w:r>
        <w:rPr>
          <w:noProof/>
        </w:rPr>
        <w:t>-</w:t>
      </w:r>
      <w:r>
        <w:rPr>
          <w:noProof/>
        </w:rPr>
        <w:tab/>
        <w:t>Регламент за изпълнение (ЕС) 2015/2345 на Комисията от 15 декември 2015 г. (OB L 330, 16.12.2015 г., стр. 29),</w:t>
      </w:r>
    </w:p>
    <w:p>
      <w:pPr>
        <w:ind w:left="1984" w:hanging="567"/>
        <w:rPr>
          <w:rFonts w:eastAsia="Times New Roman"/>
          <w:bCs/>
          <w:noProof/>
          <w:szCs w:val="24"/>
        </w:rPr>
      </w:pPr>
      <w:r>
        <w:rPr>
          <w:noProof/>
        </w:rPr>
        <w:t>-</w:t>
      </w:r>
      <w:r>
        <w:rPr>
          <w:noProof/>
        </w:rPr>
        <w:tab/>
        <w:t>Регламент за изпълнение (ЕС) 2016/459 на Комисията от 18 март 2016 г. (OB L 80, 31.3.2016 г., стр. 14),</w:t>
      </w:r>
    </w:p>
    <w:p>
      <w:pPr>
        <w:ind w:left="1984" w:hanging="567"/>
        <w:rPr>
          <w:rFonts w:eastAsia="Times New Roman"/>
          <w:bCs/>
          <w:noProof/>
          <w:szCs w:val="24"/>
        </w:rPr>
      </w:pPr>
      <w:r>
        <w:rPr>
          <w:noProof/>
        </w:rPr>
        <w:t>-</w:t>
      </w:r>
      <w:r>
        <w:rPr>
          <w:noProof/>
        </w:rPr>
        <w:tab/>
        <w:t>Регламент за изпълнение (ЕС) 2016/910 на Комисията от 9 юни 2016 г. (OB L 153, 10.6.2016 г., стр. 23),</w:t>
      </w:r>
    </w:p>
    <w:p>
      <w:pPr>
        <w:ind w:left="1984" w:hanging="567"/>
        <w:rPr>
          <w:noProof/>
        </w:rPr>
      </w:pPr>
      <w:r>
        <w:rPr>
          <w:noProof/>
        </w:rPr>
        <w:t>-</w:t>
      </w:r>
      <w:r>
        <w:rPr>
          <w:noProof/>
        </w:rPr>
        <w:tab/>
        <w:t xml:space="preserve">Регламент за изпълнение (ЕС) 2016/1330 на Комисията от 2 август 2016 г. (OB L 210, 4.8.2016 г., стр. 43), </w:t>
      </w:r>
    </w:p>
    <w:p>
      <w:pPr>
        <w:ind w:left="1984" w:hanging="567"/>
        <w:rPr>
          <w:rFonts w:eastAsia="Times New Roman"/>
          <w:bCs/>
          <w:noProof/>
          <w:szCs w:val="24"/>
        </w:rPr>
      </w:pPr>
      <w:r>
        <w:rPr>
          <w:noProof/>
        </w:rPr>
        <w:t>-</w:t>
      </w:r>
      <w:r>
        <w:rPr>
          <w:noProof/>
        </w:rPr>
        <w:tab/>
        <w:t>Регламент за изпълнение (ЕС) 2016/1842 на Комисията от 14 октомври 2016 г. (OB L 282, 19.10.2016 г., стр. 19),</w:t>
      </w:r>
    </w:p>
    <w:p>
      <w:pPr>
        <w:ind w:left="1984" w:hanging="567"/>
        <w:rPr>
          <w:rFonts w:eastAsia="Times New Roman"/>
          <w:bCs/>
          <w:noProof/>
          <w:szCs w:val="24"/>
        </w:rPr>
      </w:pPr>
      <w:r>
        <w:rPr>
          <w:noProof/>
        </w:rPr>
        <w:t>-</w:t>
      </w:r>
      <w:r>
        <w:rPr>
          <w:noProof/>
        </w:rPr>
        <w:tab/>
        <w:t xml:space="preserve">Регламент за изпълнение (ЕС) 2016/2259 на Комисията от 15 декември 2016 г. (OB L 342, 16.12.2016 г., стр. 4), </w:t>
      </w:r>
    </w:p>
    <w:p>
      <w:pPr>
        <w:ind w:left="1984" w:hanging="567"/>
        <w:rPr>
          <w:rFonts w:eastAsia="Times New Roman"/>
          <w:bCs/>
          <w:noProof/>
          <w:szCs w:val="24"/>
        </w:rPr>
      </w:pPr>
      <w:r>
        <w:rPr>
          <w:noProof/>
        </w:rPr>
        <w:t>-</w:t>
      </w:r>
      <w:r>
        <w:rPr>
          <w:noProof/>
        </w:rPr>
        <w:tab/>
        <w:t>Регламент за изпълнение (ЕС) 2017/872 на Комисията от 22 май 2017 г. (ОВ L 134, 23.5.2017 г., стр. 6),</w:t>
      </w:r>
    </w:p>
    <w:p>
      <w:pPr>
        <w:ind w:left="1984" w:hanging="567"/>
        <w:rPr>
          <w:rFonts w:eastAsia="Times New Roman"/>
          <w:bCs/>
          <w:noProof/>
          <w:szCs w:val="24"/>
        </w:rPr>
      </w:pPr>
      <w:r>
        <w:rPr>
          <w:noProof/>
        </w:rPr>
        <w:t>-</w:t>
      </w:r>
      <w:r>
        <w:rPr>
          <w:noProof/>
        </w:rPr>
        <w:tab/>
        <w:t>Регламент за изпълнение (ЕС) 2017/1473 на Комисията от 14 август 2017 г. (ОВ L 210, 15.8.2017 г., стр. 4),</w:t>
      </w:r>
    </w:p>
    <w:p>
      <w:pPr>
        <w:ind w:left="1984" w:hanging="567"/>
        <w:rPr>
          <w:rFonts w:eastAsia="Times New Roman"/>
          <w:bCs/>
          <w:noProof/>
          <w:szCs w:val="24"/>
        </w:rPr>
      </w:pPr>
      <w:r>
        <w:rPr>
          <w:noProof/>
        </w:rPr>
        <w:t>-</w:t>
      </w:r>
      <w:r>
        <w:rPr>
          <w:noProof/>
        </w:rPr>
        <w:tab/>
        <w:t>Регламент за изпълнение (ЕС) 2017/1862 на Комисията от 16 октомври 2017 г. (OB L 266, 17.10.2017 г., стр. 1),</w:t>
      </w:r>
    </w:p>
    <w:p>
      <w:pPr>
        <w:ind w:left="1984" w:hanging="567"/>
        <w:rPr>
          <w:rFonts w:eastAsia="Times New Roman"/>
          <w:bCs/>
          <w:noProof/>
          <w:szCs w:val="24"/>
        </w:rPr>
      </w:pPr>
      <w:r>
        <w:rPr>
          <w:noProof/>
        </w:rPr>
        <w:t>-</w:t>
      </w:r>
      <w:r>
        <w:rPr>
          <w:noProof/>
        </w:rPr>
        <w:tab/>
        <w:t>Регламент за изпълнение (ЕС) 2017/2329 на Комисията от 14 декември 2017 г. (OB L 333, 15.12.2017 г., стр. 29),</w:t>
      </w:r>
    </w:p>
    <w:p>
      <w:pPr>
        <w:ind w:left="1984" w:hanging="567"/>
        <w:rPr>
          <w:rFonts w:eastAsia="Times New Roman"/>
          <w:bCs/>
          <w:noProof/>
          <w:szCs w:val="24"/>
        </w:rPr>
      </w:pPr>
      <w:r>
        <w:rPr>
          <w:noProof/>
        </w:rPr>
        <w:t>-</w:t>
      </w:r>
      <w:r>
        <w:rPr>
          <w:noProof/>
        </w:rPr>
        <w:tab/>
        <w:t>Регламент за изпълнение (ЕС) 2018/949 на Комисията от 3 юли 2018 г. (OB L 167, 4.7.2018 г., стр. 3),</w:t>
      </w:r>
    </w:p>
    <w:p>
      <w:pPr>
        <w:ind w:left="1984" w:hanging="567"/>
        <w:rPr>
          <w:rFonts w:eastAsia="Times New Roman"/>
          <w:bCs/>
          <w:noProof/>
          <w:szCs w:val="24"/>
        </w:rPr>
      </w:pPr>
      <w:r>
        <w:rPr>
          <w:noProof/>
        </w:rPr>
        <w:t>поправен с:</w:t>
      </w:r>
    </w:p>
    <w:p>
      <w:pPr>
        <w:ind w:left="1984" w:hanging="567"/>
        <w:rPr>
          <w:rFonts w:eastAsia="Times New Roman"/>
          <w:bCs/>
          <w:noProof/>
          <w:szCs w:val="24"/>
        </w:rPr>
      </w:pPr>
      <w:r>
        <w:rPr>
          <w:noProof/>
        </w:rPr>
        <w:t>OВ L 28, 4.2.2015 г., стр. 48 (1287/2014),</w:t>
      </w:r>
    </w:p>
    <w:p>
      <w:pPr>
        <w:ind w:left="1984" w:hanging="567"/>
        <w:rPr>
          <w:rFonts w:eastAsia="Times New Roman"/>
          <w:bCs/>
          <w:noProof/>
          <w:szCs w:val="24"/>
        </w:rPr>
      </w:pPr>
      <w:r>
        <w:rPr>
          <w:noProof/>
        </w:rPr>
        <w:t>OВ L 241, 17.9.2015 г., стр. 51 (2015/131).</w:t>
      </w:r>
    </w:p>
    <w:p>
      <w:pPr>
        <w:jc w:val="center"/>
        <w:rPr>
          <w:b/>
          <w:noProof/>
        </w:rPr>
      </w:pPr>
      <w:r>
        <w:rPr>
          <w:b/>
          <w:noProof/>
        </w:rPr>
        <w:t>ПРИЛОЖЕНИЕ Б</w:t>
      </w:r>
    </w:p>
    <w:p>
      <w:pPr>
        <w:jc w:val="center"/>
        <w:rPr>
          <w:b/>
          <w:noProof/>
        </w:rPr>
      </w:pPr>
      <w:r>
        <w:rPr>
          <w:b/>
          <w:noProof/>
        </w:rPr>
        <w:t>ПРАВИЛА, КЪМ КОИТО ПРЕПРАЩА ЧЛЕН 2</w:t>
      </w:r>
    </w:p>
    <w:p>
      <w:pPr>
        <w:jc w:val="center"/>
        <w:rPr>
          <w:noProof/>
        </w:rPr>
      </w:pPr>
    </w:p>
    <w:p>
      <w:pPr>
        <w:pStyle w:val="Point0"/>
        <w:spacing w:after="240"/>
        <w:ind w:left="851" w:hanging="851"/>
        <w:rPr>
          <w:noProof/>
        </w:rPr>
      </w:pPr>
      <w:r>
        <w:rPr>
          <w:noProof/>
        </w:rPr>
        <w:t xml:space="preserve"> 1. </w:t>
      </w:r>
      <w:r>
        <w:rPr>
          <w:noProof/>
        </w:rPr>
        <w:tab/>
        <w:t>Биологичните продукти, внасяни в Република Сан Марино от трети държави, се придружават от сертификат за инспекция, както е посочено в член 33, параграф 1, алинея първа, буква г) от Регламент (ЕО) № 834/2007.</w:t>
      </w:r>
    </w:p>
    <w:p>
      <w:pPr>
        <w:pStyle w:val="Point0"/>
        <w:spacing w:after="240"/>
        <w:ind w:left="851" w:hanging="851"/>
        <w:rPr>
          <w:noProof/>
        </w:rPr>
      </w:pPr>
      <w:r>
        <w:rPr>
          <w:noProof/>
        </w:rPr>
        <w:t xml:space="preserve">2. </w:t>
      </w:r>
      <w:r>
        <w:rPr>
          <w:noProof/>
        </w:rPr>
        <w:tab/>
        <w:t>Република Сан Марино използва електронната интегрирана компютризирана ветеринарна система (TRACES), създадена с Решение № 2003/24/ЕО</w:t>
      </w:r>
      <w:r>
        <w:rPr>
          <w:rStyle w:val="FootnoteReference"/>
          <w:noProof/>
        </w:rPr>
        <w:footnoteReference w:id="2"/>
      </w:r>
      <w:r>
        <w:rPr>
          <w:noProof/>
        </w:rPr>
        <w:t xml:space="preserve"> на Комисията за обработка на електронните сертификати за инспекция при внос на биологични продукти от трети държави. </w:t>
      </w:r>
    </w:p>
    <w:p>
      <w:pPr>
        <w:pStyle w:val="Point0"/>
        <w:spacing w:after="240"/>
        <w:ind w:left="851" w:hanging="851"/>
        <w:rPr>
          <w:rFonts w:eastAsia="Times New Roman"/>
          <w:noProof/>
          <w:szCs w:val="24"/>
        </w:rPr>
      </w:pPr>
      <w:r>
        <w:rPr>
          <w:noProof/>
        </w:rPr>
        <w:t xml:space="preserve">3. </w:t>
      </w:r>
      <w:r>
        <w:rPr>
          <w:noProof/>
        </w:rPr>
        <w:tab/>
        <w:t>За целите на член 13 от Регламент (ЕО) № 1235/2008, по отношение на вноса на биологични продукти от трети държави в Република Сан Марино проверката и заверяването на сертификатите за инспекция посредством системата TRACES се извършват от името на Република Сан Марино от митническите служби, посочени в приложение II към Решение „Омнибус“ № 1/2010</w:t>
      </w:r>
      <w:r>
        <w:rPr>
          <w:rStyle w:val="FootnoteReference"/>
          <w:noProof/>
        </w:rPr>
        <w:footnoteReference w:id="3"/>
      </w:r>
      <w:r>
        <w:rPr>
          <w:noProof/>
        </w:rPr>
        <w:t>.</w:t>
      </w:r>
    </w:p>
    <w:p>
      <w:pPr>
        <w:pStyle w:val="Point0"/>
        <w:spacing w:after="240"/>
        <w:ind w:left="851" w:hanging="851"/>
        <w:rPr>
          <w:noProof/>
        </w:rPr>
      </w:pPr>
      <w:r>
        <w:rPr>
          <w:noProof/>
        </w:rPr>
        <w:t xml:space="preserve">4. </w:t>
      </w:r>
      <w:r>
        <w:rPr>
          <w:noProof/>
        </w:rPr>
        <w:tab/>
        <w:t>За целите на член 16, параграф 2 от Регламент (ЕО) № 1235/2008 от Република Сан Марино може да бъде поискано да действа като съдокладчик. Република Сан Марино може да приеме тази задача по собствена преценка.</w:t>
      </w:r>
    </w:p>
    <w:p>
      <w:pPr>
        <w:spacing w:before="0" w:after="200" w:line="276" w:lineRule="auto"/>
        <w:jc w:val="left"/>
        <w:rPr>
          <w:b/>
          <w:noProof/>
        </w:rPr>
      </w:pPr>
      <w:r>
        <w:rPr>
          <w:noProof/>
        </w:rPr>
        <w:br w:type="page"/>
      </w:r>
    </w:p>
    <w:p>
      <w:pPr>
        <w:jc w:val="center"/>
        <w:rPr>
          <w:b/>
          <w:noProof/>
        </w:rPr>
      </w:pPr>
      <w:r>
        <w:rPr>
          <w:b/>
          <w:noProof/>
        </w:rPr>
        <w:t>ПРИЛОЖЕНИЕ В</w:t>
      </w:r>
    </w:p>
    <w:p>
      <w:pPr>
        <w:pStyle w:val="ListParagraph"/>
        <w:jc w:val="center"/>
        <w:rPr>
          <w:b/>
          <w:noProof/>
        </w:rPr>
      </w:pPr>
      <w:r>
        <w:rPr>
          <w:b/>
          <w:noProof/>
        </w:rPr>
        <w:t>ПРАВИЛА, КЪМ КОИТО ПРЕПРАЩА ЧЛЕН 3</w:t>
      </w:r>
    </w:p>
    <w:p>
      <w:pPr>
        <w:rPr>
          <w:noProof/>
        </w:rPr>
      </w:pPr>
    </w:p>
    <w:p>
      <w:pPr>
        <w:pStyle w:val="Point0"/>
        <w:spacing w:after="240"/>
        <w:ind w:left="851" w:hanging="851"/>
        <w:rPr>
          <w:noProof/>
        </w:rPr>
      </w:pPr>
      <w:r>
        <w:rPr>
          <w:noProof/>
        </w:rPr>
        <w:t xml:space="preserve"> 1.</w:t>
      </w:r>
      <w:r>
        <w:rPr>
          <w:noProof/>
        </w:rPr>
        <w:tab/>
        <w:t xml:space="preserve">В съответните членове от регламентите, изброени в приложение А, терминът „държава членка“ или „държави членки“ трябва да се разбира като включващ Република Сан Марино. </w:t>
      </w:r>
    </w:p>
    <w:p>
      <w:pPr>
        <w:pStyle w:val="Point0"/>
        <w:spacing w:after="240"/>
        <w:ind w:left="851" w:hanging="851"/>
        <w:rPr>
          <w:noProof/>
        </w:rPr>
      </w:pPr>
      <w:r>
        <w:rPr>
          <w:noProof/>
        </w:rPr>
        <w:t>2.</w:t>
      </w:r>
      <w:r>
        <w:rPr>
          <w:noProof/>
        </w:rPr>
        <w:tab/>
        <w:t xml:space="preserve">Когато в съответните членове от регламентите, изброени в приложение А, се предвижда, че държава членка трябва да вземе решение или да подаде уведомление или нотификация, органите на Република Сан Марино вземат такова решение или подават такова уведомление или нотификация. Тези органи вземат под внимание становищата на научните комитети на Съюза и използват за основа на своите решения съдебната практика на Съда на Европейския съюз и правилата за административно поведение, приети от Европейската комисия.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84, 28.3.2002 г., стр. 43.</w:t>
      </w:r>
    </w:p>
  </w:footnote>
  <w:footnote w:id="2">
    <w:p>
      <w:pPr>
        <w:pStyle w:val="FootnoteText"/>
      </w:pPr>
      <w:r>
        <w:rPr>
          <w:rStyle w:val="FootnoteReference"/>
        </w:rPr>
        <w:footnoteRef/>
      </w:r>
      <w:r>
        <w:tab/>
        <w:t>Решение 2003/24/ЕО на Комисията от 30 декември 2002 г. относно разработването на интегрирана компютризирана ветеринарна система (OВ L 8, 14.1.2003 г., стр. 44).</w:t>
      </w:r>
    </w:p>
  </w:footnote>
  <w:footnote w:id="3">
    <w:p>
      <w:pPr>
        <w:pStyle w:val="FootnoteText"/>
      </w:pPr>
      <w:r>
        <w:rPr>
          <w:rStyle w:val="FootnoteReference"/>
        </w:rPr>
        <w:footnoteRef/>
      </w:r>
      <w:r>
        <w:tab/>
        <w:t>Решение „Омнибус“ № 1/2010 на Комитета за сътрудничество ЕС — Сан Марино от 29 март 2010 г. за определяне на различни мерки за прилагане на Споразумението за сътрудничество и митнически съюз между Европейската икономическа общност и Република Сан Марино (OВ L 156, 23.6.2010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14C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0E83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AC0B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F884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88A7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64B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F875BC"/>
    <w:lvl w:ilvl="0">
      <w:start w:val="1"/>
      <w:numFmt w:val="decimal"/>
      <w:pStyle w:val="ListNumber"/>
      <w:lvlText w:val="%1."/>
      <w:lvlJc w:val="left"/>
      <w:pPr>
        <w:tabs>
          <w:tab w:val="num" w:pos="360"/>
        </w:tabs>
        <w:ind w:left="360" w:hanging="360"/>
      </w:pPr>
    </w:lvl>
  </w:abstractNum>
  <w:abstractNum w:abstractNumId="7">
    <w:nsid w:val="FFFFFF89"/>
    <w:multiLevelType w:val="singleLevel"/>
    <w:tmpl w:val="D72070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 WINKEL Hans (SJ)">
    <w15:presenceInfo w15:providerId="None" w15:userId="TE WINKEL Hans (SJ)"/>
  </w15:person>
  <w15:person w15:author="FORNESA ROCA Carla (AGRI)">
    <w15:presenceInfo w15:providerId="None" w15:userId="FORNESA ROCA Carl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3 11:28: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387E647-712F-45BF-A288-AF3453A27F47"/>
    <w:docVar w:name="LW_COVERPAGE_TYPE" w:val="1"/>
    <w:docVar w:name="LW_CROSSREFERENCE" w:val="&lt;UNUSED&gt;"/>
    <w:docVar w:name="LW_DocType" w:val="ANNEX"/>
    <w:docVar w:name="LW_EMISSION" w:val="30.4.2019"/>
    <w:docVar w:name="LW_EMISSION_ISODATE" w:val="2019-04-30"/>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89?\u1098?\u1090?\u1088?\u1091?\u1076?\u1085?\u1080?\u1095?\u1077?\u1089?\u1090?\u1074?\u1086?, \u1089?\u1098?\u1079?\u1076?\u1072?\u1076?\u1077?\u1085? \u1089?\u1098?\u1089? \u1057?\u1087?\u1086?\u1088?\u1072?\u1079?\u1091?\u1084?\u1077?\u1085?\u1080?\u1077?\u1090?\u1086? \u1079?\u1072? \u1089?\u1098?\u1090?\u1088?\u1091?\u1076?\u1085?\u1080?\u1095?\u1077?\u1089?\u1090?\u1074?\u1086? \u1080? \u1084?\u1080?\u1090?\u1085?\u1080?\u1095?\u1077?\u1089?\u1082?\u1080? \u1089?\u1098?\u1102?\u1079? \u1084?\u1077?\u1078?\u1076?\u1091? \u1045?\u1074?\u1088?\u1086?\u1087?\u1077?\u1081?\u1089?\u1082?\u1072?\u1090?\u1072? \u1080?\u1082?\u1086?\u1085?\u1086?\u1084?\u1080?\u1095?\u1077?\u1089?\u1082?\u1072? \u1086?\u1073?\u1097?\u1085?\u1086?\u1089?\u1090? \u1080? \u1056?\u1077?\u1087?\u1091?\u1073?\u1083?\u1080?\u1082?\u1072? \u1057?\u1072?\u1085? \u1052?\u1072?\u1088?\u1080?\u1085?\u1086?, \u1087?\u1086? \u1086?\u1090?\u1085?\u1086?\u1096?\u1077?\u1085?\u1080?\u1077? \u1085?\u1072? \u1087?\u1088?\u1080?\u1083?\u1086?\u1078?\u1080?\u1084?\u1080?\u1090?\u1077? \u1088?\u1072?\u1079?\u1087?\u1086?\u1088?\u1077?\u1076?\u1073?\u1080? \u1079?\u1072? \u1073?\u1080?\u1086?\u1083?\u1086?\u1075?\u1080?\u1095?\u1085?\u1086?\u1090?\u1086? \u1087?\u1088?\u1086?\u1080?\u1079?\u1074?\u1086?\u1076?\u1089?\u1090?\u1074?\u1086? \u1080? \u1077?\u1090?\u1080?\u1082?\u1077?\u1090?\u1080?\u1088?\u1072?\u1085?\u1077?\u1090?\u1086? \u1085?\u1072? \u1073?\u1080?\u1086?\u1083?\u1086?\u1075?\u1080?\u1095?\u1085?\u1080? \u1087?\u1088?\u1086?\u1076?\u1091?\u1082?\u1090?\u1080?, \u1082?\u1072?\u1082?\u1090?\u1086? \u1080? \u1091?\u1089?\u1083?\u1086?\u1074?\u1080?\u1103?\u1090?\u1072? \u1079?\u1072? \u1074?\u1085?\u1086?\u1089? \u1085?\u1072? \u1073?\u1080?\u1086?\u1083?\u1086?\u1075?\u1080?\u1095?\u1085?\u1080? \u1087?\u1088?\u1086?\u1076?\u1091?\u1082?\u1090?\u1080? "/>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89?\u1098?\u1090?\u1088?\u1091?\u1076?\u1085?\u1080?\u1095?\u1077?\u1089?\u1090?\u1074?\u1086?, \u1089?\u1098?\u1079?\u1076?\u1072?\u1076?\u1077?\u1085? \u1089?\u1098?\u1089? \u1057?\u1087?\u1086?\u1088?\u1072?\u1079?\u1091?\u1084?\u1077?\u1085?\u1080?\u1077?\u1090?\u1086? \u1079?\u1072? \u1089?\u1098?\u1090?\u1088?\u1091?\u1076?\u1085?\u1080?\u1095?\u1077?\u1089?\u1090?\u1074?\u1086? \u1080? \u1084?\u1080?\u1090?\u1085?\u1080?\u1095?\u1077?\u1089?\u1082?\u1080? \u1089?\u1098?\u1102?\u1079? \u1084?\u1077?\u1078?\u1076?\u1091? \u1045?\u1074?\u1088?\u1086?\u1087?\u1077?\u1081?\u1089?\u1082?\u1072?\u1090?\u1072? \u1080?\u1082?\u1086?\u1085?\u1086?\u1084?\u1080?\u1095?\u1077?\u1089?\u1082?\u1072? \u1086?\u1073?\u1097?\u1085?\u1086?\u1089?\u1090? \u1080? \u1056?\u1077?\u1087?\u1091?\u1073?\u1083?\u1080?\u1082?\u1072? \u1057?\u1072?\u1085? \u1052?\u1072?\u1088?\u1080?\u1085?\u1086?, \u1087?\u1086? \u1086?\u1090?\u1085?\u1086?\u1096?\u1077?\u1085?\u1080?\u1077? \u1085?\u1072? \u1087?\u1088?\u1080?\u1083?\u1086?\u1078?\u1080?\u1084?\u1080?\u1090?\u1077? \u1088?\u1072?\u1079?\u1087?\u1086?\u1088?\u1077?\u1076?\u1073?\u1080? \u1079?\u1072? \u1073?\u1080?\u1086?\u1083?\u1086?\u1075?\u1080?\u1095?\u1085?\u1086?\u1090?\u1086? \u1087?\u1088?\u1086?\u1080?\u1079?\u1074?\u1086?\u1076?\u1089?\u1090?\u1074?\u1086? \u1080? \u1077?\u1090?\u1080?\u1082?\u1077?\u1090?\u1080?\u1088?\u1072?\u1085?\u1077?\u1090?\u1086? \u1085?\u1072? \u1073?\u1080?\u1086?\u1083?\u1086?\u1075?\u1080?\u1095?\u1085?\u1080? \u1087?\u1088?\u1086?\u1076?\u1091?\u1082?\u1090?\u1080?, \u1082?\u1072?\u1082?\u1090?\u1086? \u1080? \u1091?\u1089?\u1083?\u1086?\u1074?\u1080?\u1103?\u1090?\u1072? \u1079?\u1072? \u1074?\u1085?\u1086?\u1089? \u1085?\u1072? \u1073?\u1080?\u1086?\u1083?\u1086?\u1075?\u1080?\u1095?\u1085?\u1080? \u1087?\u1088?\u1086?\u1076?\u1091?\u1082?\u1090?\u1080? "/>
    <w:docVar w:name="LW_PART_NBR" w:val="1"/>
    <w:docVar w:name="LW_PART_NBR_TOTAL" w:val="1"/>
    <w:docVar w:name="LW_REF.INST.NEW" w:val="COM"/>
    <w:docVar w:name="LW_REF.INST.NEW_ADOPTED" w:val="final"/>
    <w:docVar w:name="LW_REF.INST.NEW_TEXT" w:val="(2019)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u1090?\u1086? \u1079?\u1072? \u1088?\u1077?\u1096?\u1077?\u1085?\u1080?\u1077? \u1085?\u1072? \u1057?\u1098?\u1074?\u1077?\u1090?\u1072?"/>
    <w:docVar w:name="LW_TYPEACTEPRINCIPAL.CP" w:val="\u1087?\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06742">
      <w:bodyDiv w:val="1"/>
      <w:marLeft w:val="0"/>
      <w:marRight w:val="0"/>
      <w:marTop w:val="0"/>
      <w:marBottom w:val="0"/>
      <w:divBdr>
        <w:top w:val="none" w:sz="0" w:space="0" w:color="auto"/>
        <w:left w:val="none" w:sz="0" w:space="0" w:color="auto"/>
        <w:bottom w:val="none" w:sz="0" w:space="0" w:color="auto"/>
        <w:right w:val="none" w:sz="0" w:space="0" w:color="auto"/>
      </w:divBdr>
    </w:div>
    <w:div w:id="1539078125">
      <w:bodyDiv w:val="1"/>
      <w:marLeft w:val="0"/>
      <w:marRight w:val="0"/>
      <w:marTop w:val="0"/>
      <w:marBottom w:val="0"/>
      <w:divBdr>
        <w:top w:val="none" w:sz="0" w:space="0" w:color="auto"/>
        <w:left w:val="none" w:sz="0" w:space="0" w:color="auto"/>
        <w:bottom w:val="none" w:sz="0" w:space="0" w:color="auto"/>
        <w:right w:val="none" w:sz="0" w:space="0" w:color="auto"/>
      </w:divBdr>
    </w:div>
    <w:div w:id="20719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1579-3AEF-49CE-84A1-C17B7BD4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Pages>
  <Words>2019</Words>
  <Characters>9954</Characters>
  <Application>Microsoft Office Word</Application>
  <DocSecurity>0</DocSecurity>
  <Lines>231</Lines>
  <Paragraphs>117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WES PDFC Administrator</cp:lastModifiedBy>
  <cp:revision>8</cp:revision>
  <cp:lastPrinted>2019-01-09T08:13:00Z</cp:lastPrinted>
  <dcterms:created xsi:type="dcterms:W3CDTF">2019-04-04T06:44:00Z</dcterms:created>
  <dcterms:modified xsi:type="dcterms:W3CDTF">2019-04-23T09:28:00Z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