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2191263-72F3-49F3-A342-DBA494343589" style="width:450.45pt;height:347.9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jc w:val="center"/>
        <w:rPr>
          <w:b/>
          <w:noProof/>
        </w:rPr>
      </w:pPr>
      <w:bookmarkStart w:id="1" w:name="_GoBack"/>
      <w:bookmarkEnd w:id="1"/>
      <w:r>
        <w:rPr>
          <w:b/>
          <w:noProof/>
        </w:rPr>
        <w:lastRenderedPageBreak/>
        <w:t>ДОКЛАД НА КОМИСИЯТА ДО ЕВРОПЕЙСКИЯ ПАРЛАМЕНТ И СЪВЕТА</w:t>
      </w:r>
    </w:p>
    <w:p>
      <w:pPr>
        <w:jc w:val="center"/>
        <w:rPr>
          <w:b/>
          <w:noProof/>
        </w:rPr>
      </w:pPr>
    </w:p>
    <w:p>
      <w:pPr>
        <w:jc w:val="center"/>
        <w:rPr>
          <w:b/>
          <w:noProof/>
        </w:rPr>
      </w:pPr>
      <w:r>
        <w:rPr>
          <w:b/>
          <w:noProof/>
        </w:rPr>
        <w:t>относно упражняването на правомощието за приемане на делегирани актове, предоставено на Комисията по силата на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w:t>
      </w:r>
    </w:p>
    <w:p>
      <w:pPr>
        <w:jc w:val="center"/>
        <w:rPr>
          <w:b/>
          <w:noProof/>
        </w:rPr>
      </w:pPr>
    </w:p>
    <w:p>
      <w:pPr>
        <w:rPr>
          <w:noProof/>
        </w:rPr>
      </w:pPr>
    </w:p>
    <w:p>
      <w:pPr>
        <w:jc w:val="both"/>
        <w:rPr>
          <w:b/>
          <w:noProof/>
        </w:rPr>
      </w:pPr>
      <w:r>
        <w:rPr>
          <w:b/>
          <w:noProof/>
        </w:rPr>
        <w:t xml:space="preserve">1. </w:t>
      </w:r>
      <w:r>
        <w:rPr>
          <w:noProof/>
        </w:rPr>
        <w:tab/>
      </w:r>
      <w:r>
        <w:rPr>
          <w:b/>
          <w:noProof/>
        </w:rPr>
        <w:t>ВЪВЕДЕНИЕ</w:t>
      </w:r>
    </w:p>
    <w:p>
      <w:pPr>
        <w:spacing w:before="120" w:after="120"/>
        <w:jc w:val="both"/>
        <w:rPr>
          <w:noProof/>
        </w:rPr>
      </w:pPr>
      <w:r>
        <w:rPr>
          <w:noProof/>
        </w:rPr>
        <w:t xml:space="preserve">В Регламент (ЕС) № 1315/2013 на Европейския парламент и на Съвета </w:t>
      </w:r>
      <w:r>
        <w:rPr>
          <w:i/>
          <w:noProof/>
        </w:rPr>
        <w:t>относно насоките на Съюза за развитието на трансевропейската транспортна мрежа и за отмяна на Решение № 661/2010/ЕС</w:t>
      </w:r>
      <w:r>
        <w:rPr>
          <w:noProof/>
          <w:vertAlign w:val="superscript"/>
        </w:rPr>
        <w:footnoteReference w:id="2"/>
      </w:r>
      <w:r>
        <w:rPr>
          <w:noProof/>
        </w:rPr>
        <w:t xml:space="preserve"> се определя дългосрочна стратегия за развитието на цялостна трансевропейска транспортна мрежа (TEN-T), състояща се от инфраструктура за железопътен транспорт, морски и въздушен транспорт, пътища, вътрешни водни пътища и железопътно-автомобилни терминали. Регламентът обхваща определение на елементите на TEN-T, техническите им стандарти, както и изискванията за оперативна съвместимост на инфраструктурите и установява приоритетите за развитието на TEN-T. </w:t>
      </w:r>
    </w:p>
    <w:p>
      <w:pPr>
        <w:spacing w:before="120" w:after="240"/>
        <w:jc w:val="both"/>
        <w:rPr>
          <w:noProof/>
        </w:rPr>
      </w:pPr>
      <w:r>
        <w:rPr>
          <w:noProof/>
        </w:rPr>
        <w:t>С член 49, параграф 4 от Регламент (ЕС) № 1315/2013 на Комисията се предоставя правомощието да приема делегирани актове относно адаптирането на приложения I и II, за да бъдат взети под внимание евентуалните промени, произтичащи от количествените прагове, приложими за някои компоненти на TEN-T. Тези изисквания са определени в членове 14, 20, 24 и 27 от посочения регламент.</w:t>
      </w:r>
    </w:p>
    <w:p>
      <w:pPr>
        <w:spacing w:before="120" w:after="240"/>
        <w:jc w:val="both"/>
        <w:rPr>
          <w:noProof/>
        </w:rPr>
      </w:pPr>
      <w:r>
        <w:rPr>
          <w:noProof/>
        </w:rPr>
        <w:t>С член 49, параграф 6 от Регламент (ЕС) № 1315/2013 на Комисията се предоставя правомощието да приема делегирани актове във връзка с адаптирането на приложение III, с цел да бъдат включени или адаптирани индикативните карти на съседни страни.</w:t>
      </w:r>
    </w:p>
    <w:p>
      <w:pPr>
        <w:jc w:val="both"/>
        <w:rPr>
          <w:b/>
          <w:noProof/>
        </w:rPr>
      </w:pPr>
      <w:r>
        <w:rPr>
          <w:b/>
          <w:noProof/>
        </w:rPr>
        <w:t xml:space="preserve">2. </w:t>
      </w:r>
      <w:r>
        <w:rPr>
          <w:noProof/>
        </w:rPr>
        <w:tab/>
      </w:r>
      <w:r>
        <w:rPr>
          <w:b/>
          <w:noProof/>
        </w:rPr>
        <w:t>ПРАВНО ОСНОВАНИЕ</w:t>
      </w:r>
    </w:p>
    <w:p>
      <w:pPr>
        <w:spacing w:before="120" w:after="240"/>
        <w:jc w:val="both"/>
        <w:rPr>
          <w:noProof/>
        </w:rPr>
      </w:pPr>
      <w:r>
        <w:rPr>
          <w:noProof/>
        </w:rPr>
        <w:t>Настоящият доклад е изготвен във връзка с изискването по член 53, параграф 2 от Регламент (ЕС) № 1315/2013.</w:t>
      </w:r>
    </w:p>
    <w:p>
      <w:pPr>
        <w:jc w:val="both"/>
        <w:rPr>
          <w:b/>
          <w:noProof/>
        </w:rPr>
      </w:pPr>
      <w:r>
        <w:rPr>
          <w:b/>
          <w:noProof/>
        </w:rPr>
        <w:t>3.</w:t>
      </w:r>
      <w:r>
        <w:rPr>
          <w:noProof/>
        </w:rPr>
        <w:tab/>
      </w:r>
      <w:r>
        <w:rPr>
          <w:b/>
          <w:noProof/>
        </w:rPr>
        <w:t>УПРАЖНЯВАНЕ НА ДЕЛЕГИРАНЕТО</w:t>
      </w:r>
    </w:p>
    <w:p>
      <w:pPr>
        <w:spacing w:before="120" w:after="120"/>
        <w:jc w:val="both"/>
        <w:rPr>
          <w:b/>
          <w:noProof/>
        </w:rPr>
      </w:pPr>
    </w:p>
    <w:p>
      <w:pPr>
        <w:spacing w:before="120" w:after="120"/>
        <w:jc w:val="both"/>
        <w:rPr>
          <w:b/>
          <w:noProof/>
        </w:rPr>
      </w:pPr>
      <w:r>
        <w:rPr>
          <w:b/>
          <w:noProof/>
        </w:rPr>
        <w:t>3.1.</w:t>
      </w:r>
      <w:r>
        <w:rPr>
          <w:noProof/>
        </w:rPr>
        <w:tab/>
      </w:r>
      <w:r>
        <w:rPr>
          <w:b/>
          <w:noProof/>
        </w:rPr>
        <w:t>Адаптиране на списъка и картите въз основа на статистически данни</w:t>
      </w:r>
    </w:p>
    <w:p>
      <w:pPr>
        <w:spacing w:before="120" w:after="120"/>
        <w:jc w:val="both"/>
        <w:rPr>
          <w:noProof/>
        </w:rPr>
      </w:pPr>
      <w:r>
        <w:rPr>
          <w:noProof/>
        </w:rPr>
        <w:t xml:space="preserve">Приложение I към Регламент (ЕС) № 1315/2013 съдържа карти на широкообхватната и основната мрежа, които определят обхвата на Регламент (ЕС) № 1315/2013 и проектите от общ интерес. В приложение II към посочения регламент се определя списък на възлите от основната и широкообхватната мрежа. </w:t>
      </w:r>
    </w:p>
    <w:p>
      <w:pPr>
        <w:spacing w:before="120" w:after="120"/>
        <w:jc w:val="both"/>
        <w:rPr>
          <w:noProof/>
        </w:rPr>
      </w:pPr>
      <w:r>
        <w:rPr>
          <w:noProof/>
        </w:rPr>
        <w:t>Съгласно член 49, параграф 4 от Регламент (ЕС) № 1315/2013 на Комисията се предоставя правомощието да приема делегирани актове, с които да се адаптират приложените към регламента карти и списъци по отношение на количествените прагове, които трябва да бъдат достигнати от морските и вътрешните пристанища, летищата и железопътно-автомобилните терминали, за да бъдат част от TEN-T. Това адаптиране се основава на най-новите налични статистически данни, публикувани от Евростат или — ако такива не са налични, от националните статистически служби. Комисията може също така да коригира картите на пътната и железопътната инфраструктура и инфраструктурата на вътрешните водни пътища, като това строго се ограничава до отразяването на напредъка в изграждането на мрежата.</w:t>
      </w:r>
    </w:p>
    <w:p>
      <w:pPr>
        <w:spacing w:before="120" w:after="120"/>
        <w:jc w:val="both"/>
        <w:rPr>
          <w:noProof/>
        </w:rPr>
      </w:pPr>
      <w:r>
        <w:rPr>
          <w:noProof/>
        </w:rPr>
        <w:t xml:space="preserve">На заседанието на комитета по TEN-T, проведено на 30 септември 2015 г., Комисията постави началото на процеса на актуализация и проведе консултации с експерти от компетентните органи на държавите членки в присъствието на експерти на Европейския парламент по време на заседанията, проведени на 9 декември 2015 г. и на 16 март 2016 г. </w:t>
      </w:r>
    </w:p>
    <w:p>
      <w:pPr>
        <w:spacing w:before="120" w:after="120"/>
        <w:jc w:val="both"/>
        <w:rPr>
          <w:noProof/>
        </w:rPr>
      </w:pPr>
      <w:r>
        <w:rPr>
          <w:noProof/>
        </w:rPr>
        <w:t>Въз основа на този процес на консултации и актуализация на наличните данни Комисията прие Делегиран регламент (ЕС) № 2017/849</w:t>
      </w:r>
      <w:r>
        <w:rPr>
          <w:rStyle w:val="FootnoteReference"/>
          <w:noProof/>
        </w:rPr>
        <w:footnoteReference w:id="3"/>
      </w:r>
      <w:r>
        <w:rPr>
          <w:noProof/>
        </w:rPr>
        <w:t xml:space="preserve"> на 7 декември 2016 г.</w:t>
      </w:r>
    </w:p>
    <w:p>
      <w:pPr>
        <w:spacing w:before="120" w:after="120"/>
        <w:jc w:val="both"/>
        <w:rPr>
          <w:noProof/>
        </w:rPr>
      </w:pPr>
      <w:r>
        <w:rPr>
          <w:noProof/>
        </w:rPr>
        <w:t>Установеното с делегирания регламент адаптиране не включват изключенията съгласно член 49, параграф 4, буква б), тъй като тази оценка ще се прилага само шест години след приемането на Регламент (ЕС) № 1315/2013.</w:t>
      </w:r>
    </w:p>
    <w:p>
      <w:pPr>
        <w:spacing w:before="120" w:after="120"/>
        <w:jc w:val="both"/>
        <w:rPr>
          <w:b/>
          <w:noProof/>
        </w:rPr>
      </w:pPr>
    </w:p>
    <w:p>
      <w:pPr>
        <w:spacing w:before="120" w:after="120"/>
        <w:jc w:val="both"/>
        <w:rPr>
          <w:b/>
          <w:noProof/>
        </w:rPr>
      </w:pPr>
      <w:r>
        <w:rPr>
          <w:b/>
          <w:noProof/>
        </w:rPr>
        <w:t>3.2.</w:t>
      </w:r>
      <w:r>
        <w:rPr>
          <w:noProof/>
        </w:rPr>
        <w:tab/>
      </w:r>
      <w:r>
        <w:rPr>
          <w:b/>
          <w:noProof/>
        </w:rPr>
        <w:t>Адаптиране на примерните карти на съседните държави</w:t>
      </w:r>
    </w:p>
    <w:p>
      <w:pPr>
        <w:spacing w:before="120" w:after="120"/>
        <w:jc w:val="both"/>
        <w:rPr>
          <w:noProof/>
        </w:rPr>
      </w:pPr>
      <w:r>
        <w:rPr>
          <w:noProof/>
        </w:rPr>
        <w:t>В приложение III към Регламент (ЕС) № 1315/2013 се съдържат примерни карти на някои съседни държави.</w:t>
      </w:r>
    </w:p>
    <w:p>
      <w:pPr>
        <w:spacing w:before="120" w:after="120"/>
        <w:jc w:val="both"/>
        <w:rPr>
          <w:noProof/>
        </w:rPr>
      </w:pPr>
      <w:r>
        <w:rPr>
          <w:noProof/>
        </w:rPr>
        <w:t>В член 49, параграф 6 от Регламент (ЕС) № 1315/2013 се предвижда възможността за приемане на делегирани актове за адаптиране на тези карти или за включване на карти на други съседни държави въз основа на споразумения на високо равнище за транспортни инфраструктурни мрежи между Съюза и съответните съседни държави.</w:t>
      </w:r>
    </w:p>
    <w:p>
      <w:pPr>
        <w:spacing w:before="120" w:after="120"/>
        <w:jc w:val="both"/>
        <w:rPr>
          <w:noProof/>
        </w:rPr>
      </w:pPr>
      <w:r>
        <w:rPr>
          <w:noProof/>
        </w:rPr>
        <w:t>Комисията използва това делегиране в следните случаи:</w:t>
      </w:r>
    </w:p>
    <w:p>
      <w:pPr>
        <w:spacing w:before="120" w:after="120"/>
        <w:jc w:val="both"/>
        <w:rPr>
          <w:noProof/>
        </w:rPr>
      </w:pPr>
      <w:r>
        <w:rPr>
          <w:noProof/>
        </w:rPr>
        <w:t>а) на 17 януари 2014 г. Комисията прие Делегиран регламент (ЕС) № 473/2014</w:t>
      </w:r>
      <w:r>
        <w:rPr>
          <w:rStyle w:val="FootnoteReference"/>
          <w:noProof/>
        </w:rPr>
        <w:footnoteReference w:id="4"/>
      </w:r>
      <w:r>
        <w:rPr>
          <w:noProof/>
        </w:rPr>
        <w:t>. Този регламент се отнася до железопътните линии и пътната мрежа, както и до пристанищата, летищата и железопътно-автомобилните терминали на широкообхватната мрежа в следните трети държави: Беларус, Украйна, Молдова, Грузия, Армения, Азербайджан и Русия;</w:t>
      </w:r>
    </w:p>
    <w:p>
      <w:pPr>
        <w:spacing w:before="120" w:after="120"/>
        <w:jc w:val="both"/>
        <w:rPr>
          <w:noProof/>
        </w:rPr>
      </w:pPr>
      <w:r>
        <w:rPr>
          <w:noProof/>
        </w:rPr>
        <w:t>б) на 4 февруари 2016 г. Комисията прие Делегиран регламент (ЕС) № 2016/758</w:t>
      </w:r>
      <w:r>
        <w:rPr>
          <w:rStyle w:val="FootnoteReference"/>
          <w:noProof/>
        </w:rPr>
        <w:footnoteReference w:id="5"/>
      </w:r>
      <w:r>
        <w:rPr>
          <w:noProof/>
        </w:rPr>
        <w:t>. Този регламент се отнася до определянето на връзките по основната мрежа върху картите на широкообхватната мрежа на железопътната и пътната мрежа, както и до пристанищата и летищата в следните трети държави: Албания, Босна и Херцеговина, Косово</w:t>
      </w:r>
      <w:r>
        <w:rPr>
          <w:rStyle w:val="FootnoteReference"/>
          <w:noProof/>
        </w:rPr>
        <w:footnoteReference w:customMarkFollows="1" w:id="6"/>
        <w:t>*</w:t>
      </w:r>
      <w:r>
        <w:rPr>
          <w:noProof/>
        </w:rPr>
        <w:t>, Република Северна Македония, Черна гора и Сърбия;</w:t>
      </w:r>
    </w:p>
    <w:p>
      <w:pPr>
        <w:spacing w:before="120" w:after="120"/>
        <w:jc w:val="both"/>
        <w:rPr>
          <w:noProof/>
        </w:rPr>
      </w:pPr>
      <w:r>
        <w:rPr>
          <w:noProof/>
        </w:rPr>
        <w:t>в) на 9 ноември 2018 г. Комисията прие Делегиран регламент (ЕС) № 2019/254</w:t>
      </w:r>
      <w:r>
        <w:rPr>
          <w:rStyle w:val="FootnoteReference"/>
          <w:noProof/>
        </w:rPr>
        <w:footnoteReference w:id="7"/>
      </w:r>
      <w:r>
        <w:rPr>
          <w:noProof/>
        </w:rPr>
        <w:t>. Този регламент се отнася до преразглеждането на примерното разширяване на картите на широкообхватната мрежа TEN-T, както и до определянето на връзките по основната мрежа върху картите на широкообхватната мрежа в следните трети държави: Армения, Азербайджан, Беларус, Република Молдова и Украйна</w:t>
      </w:r>
      <w:r>
        <w:rPr>
          <w:rStyle w:val="FootnoteReference"/>
          <w:noProof/>
        </w:rPr>
        <w:footnoteReference w:id="8"/>
      </w:r>
      <w:r>
        <w:rPr>
          <w:noProof/>
        </w:rPr>
        <w:t>.</w:t>
      </w:r>
    </w:p>
    <w:p>
      <w:pPr>
        <w:spacing w:before="120" w:after="120"/>
        <w:jc w:val="both"/>
        <w:rPr>
          <w:noProof/>
        </w:rPr>
      </w:pPr>
    </w:p>
    <w:p>
      <w:pPr>
        <w:spacing w:before="120" w:after="120"/>
        <w:jc w:val="both"/>
        <w:rPr>
          <w:noProof/>
        </w:rPr>
      </w:pPr>
      <w:r>
        <w:rPr>
          <w:noProof/>
        </w:rPr>
        <w:t>Преди приемането на всички посочени по-горе делегирани актове Комисията проведе консултации с експерти от държавите членки и с представители на Европейския парламент.</w:t>
      </w:r>
    </w:p>
    <w:p>
      <w:pPr>
        <w:spacing w:before="120" w:after="120"/>
        <w:jc w:val="both"/>
        <w:rPr>
          <w:noProof/>
        </w:rPr>
      </w:pPr>
    </w:p>
    <w:p>
      <w:pPr>
        <w:jc w:val="both"/>
        <w:rPr>
          <w:b/>
          <w:noProof/>
        </w:rPr>
      </w:pPr>
      <w:r>
        <w:rPr>
          <w:b/>
          <w:noProof/>
        </w:rPr>
        <w:t xml:space="preserve">4. </w:t>
      </w:r>
      <w:r>
        <w:rPr>
          <w:noProof/>
        </w:rPr>
        <w:tab/>
      </w:r>
      <w:r>
        <w:rPr>
          <w:b/>
          <w:noProof/>
        </w:rPr>
        <w:t>ЗАКЛЮЧЕНИЕ И БЪДЕЩИ ПЕРСПЕКТИВИ</w:t>
      </w:r>
    </w:p>
    <w:p>
      <w:pPr>
        <w:spacing w:before="120" w:after="120"/>
        <w:jc w:val="both"/>
        <w:rPr>
          <w:noProof/>
        </w:rPr>
      </w:pPr>
      <w:r>
        <w:rPr>
          <w:noProof/>
        </w:rPr>
        <w:t>Комисията приканва Европейския парламент и Съвета да вземат под внимание настоящия доклад.</w:t>
      </w:r>
    </w:p>
    <w:p>
      <w:pPr>
        <w:spacing w:before="120" w:after="120"/>
        <w:jc w:val="both"/>
        <w:rPr>
          <w:noProof/>
        </w:rPr>
      </w:pPr>
      <w:r>
        <w:rPr>
          <w:noProof/>
        </w:rPr>
        <w:t>В бъдеще Комисията планира да използва делегираните си правомощия за по-нататъшното адаптиране на приложения I, II и III към Регламент (ЕС) № 1315/2013.</w:t>
      </w:r>
    </w:p>
    <w:p>
      <w:pPr>
        <w:pStyle w:val="Corps"/>
        <w:spacing w:before="240" w:after="24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046"/>
      </w:tabs>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348, 20.12.2013 г., стр.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2017/849 на Комисията от 7 декември 2016 година за изменение на Регламент (ЕС) № 1315/2013 на Европейския парламент и на Съвета по отношение на картите от приложение I, както и списъка от приложение II към посочения регламент, ОВ L 128I, 19.5.2017 г., стр. 1.</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 473/2014 на Комисията от 17 януари 2014 година за изменение на Регламент (ЕС) № 1315/2013 на Европейския парламент и на Съвета по отношение на допълването на приложение III към посочения регламент с нови примерни карти, ОВ L 136, 9.5.2014 г., стр. 10</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2016/758 на Комисията от 4 февруари 2016 г. за изменение на Регламент (ЕС) № 1315/2013 на Европейския парламент и на Съвета във връзка с адаптирането на приложение III към него, ОВ L 126, 14.5.2016 г., стр. 3.</w:t>
      </w:r>
    </w:p>
  </w:footnote>
  <w:footnote w:id="6">
    <w:p>
      <w:pPr>
        <w:pStyle w:val="FootnoteText"/>
        <w:rPr>
          <w:rFonts w:ascii="Times New Roman" w:hAnsi="Times New Roman" w:cs="Times New Roman"/>
        </w:rPr>
      </w:pPr>
      <w:r>
        <w:rPr>
          <w:rStyle w:val="FootnoteReference"/>
          <w:rFonts w:ascii="Times New Roman" w:hAnsi="Times New Roman"/>
        </w:rPr>
        <w:t>*</w:t>
      </w:r>
      <w:r>
        <w:rPr>
          <w:rFonts w:ascii="Times New Roman" w:hAnsi="Times New Roman"/>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7">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Делегиран регламент (ЕС) 2019/254 от 9 ноември 2018 г. относно адаптирането на приложение III към Регламент (ЕС) № 1315/2013 на Европейския парламент и на Съвета относно насоките на Съюза за развитието на трансевропейската транспортна мрежа.</w:t>
      </w:r>
    </w:p>
  </w:footnote>
  <w:footnote w:id="8">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Въз основа на член 49, параграф 6 от Регламента за TEN T Комисията прие на 2 февруари 2017 г. делегиран регламент за адаптиране на индикативните карти на основната мрежа на TEN-T в Турция и държавите от Източното партньорство. Комисията обаче реши да оттегли този делегиран регламент поради изразените от държавите членки опасения. Следователно в този случай не е имало делегиране.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3EE0"/>
    <w:multiLevelType w:val="multilevel"/>
    <w:tmpl w:val="054CA020"/>
    <w:numStyleLink w:val="Style1import"/>
  </w:abstractNum>
  <w:abstractNum w:abstractNumId="1">
    <w:nsid w:val="163A64C4"/>
    <w:multiLevelType w:val="multilevel"/>
    <w:tmpl w:val="054CA020"/>
    <w:styleLink w:val="Style1import"/>
    <w:lvl w:ilvl="0">
      <w:start w:val="1"/>
      <w:numFmt w:val="decimal"/>
      <w:lvlText w:val="%1."/>
      <w:lvlJc w:val="left"/>
      <w:pPr>
        <w:tabs>
          <w:tab w:val="left" w:pos="85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850"/>
        </w:tabs>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13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850"/>
        </w:tabs>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0"/>
        </w:tabs>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850"/>
        </w:tabs>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850"/>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850"/>
        </w:tabs>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850"/>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3BBC5AB2"/>
    <w:multiLevelType w:val="hybridMultilevel"/>
    <w:tmpl w:val="364A1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5"/>
    </w:lvlOverride>
  </w:num>
  <w:num w:numId="4">
    <w:abstractNumId w:val="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88"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0" w:hanging="1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24" w:hanging="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228" w:hanging="7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732" w:hanging="93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3236" w:hanging="107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3740" w:hanging="122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4316" w:hanging="143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82191263-72F3-49F3-A342-DBA494343589"/>
    <w:docVar w:name="LW_COVERPAGE_TYPE" w:val="1"/>
    <w:docVar w:name="LW_CROSSREFERENCE" w:val="&lt;UNUSED&gt;"/>
    <w:docVar w:name="LW_DocType" w:val="NORMAL"/>
    <w:docVar w:name="LW_EMISSION" w:val="6.5.2019"/>
    <w:docVar w:name="LW_EMISSION_ISODATE" w:val="2019-05-0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u8470? 1315/2013 \u1085?\u1072? \u1045?\u1074?\u1088?\u1086?\u1087?\u1077?\u1081?\u1089?\u1082?\u1080?\u1103? \u1087?\u1072?\u1088?\u1083?\u1072?\u1084?\u1077?\u1085?\u1090? \u1080? \u1085?\u1072? \u1057?\u1098?\u1074?\u1077?\u1090?\u1072? \u1086?\u1090? 11 \u1076?\u1077?\u1082?\u1077?\u1084?\u1074?\u1088?\u1080? 2013 \u1075?. \u1086?\u1090?\u1085?\u1086?\u1089?\u1085?\u1086? \u1085?\u1072?\u1089?\u1086?\u1082?\u1080?\u1090?\u1077? \u1085?\u1072? \u1057?\u1098?\u1102?\u1079?\u1072? \u1079?\u1072? \u1088?\u1072?\u1079?\u1074?\u1080?\u1090?\u1080?\u1077?\u1090?\u1086? \u1085?\u1072? \u1090?\u1088?\u1072?\u1085?\u1089?\u1077?\u1074?\u1088?\u1086?\u1087?\u1077?\u1081?\u1089?\u1082?\u1072?\u1090?\u1072? \u1090?\u1088?\u1072?\u1085?\u1089?\u1087?\u1086?\u1088?\u1090?\u1085?\u1072? \u1084?\u1088?\u1077?\u1078?\u1072? \u1080? \u1079?\u1072? \u1086?\u1090?\u1084?\u1103?\u1085?\u1072? \u1085?\u1072? \u1056?\u1077?\u1096?\u1077?\u1085?\u1080?\u1077? \u8470? 661/2010/\u1045?\u105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bg-BG" w:eastAsia="bg-BG" w:bidi="bg-BG"/>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Corps"/>
    <w:pPr>
      <w:jc w:val="both"/>
    </w:pPr>
    <w:rPr>
      <w:rFonts w:eastAsia="Times New Roman"/>
      <w:color w:val="000000"/>
      <w:sz w:val="24"/>
      <w:szCs w:val="24"/>
      <w:u w:color="000000"/>
    </w:rPr>
  </w:style>
  <w:style w:type="paragraph" w:customStyle="1" w:styleId="Corps">
    <w:name w:val="Corps"/>
    <w:link w:val="CorpsChar"/>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rPr>
  </w:style>
  <w:style w:type="numbering" w:customStyle="1" w:styleId="Style1import">
    <w:name w:val="Style 1 importé"/>
    <w:pPr>
      <w:numPr>
        <w:numId w:val="1"/>
      </w:numPr>
    </w:pPr>
  </w:style>
  <w:style w:type="paragraph" w:styleId="FootnoteText">
    <w:name w:val="footnote text"/>
    <w:link w:val="FootnoteTextChar"/>
    <w:uiPriority w:val="99"/>
    <w:rPr>
      <w:rFonts w:ascii="Calibri" w:eastAsia="Calibri" w:hAnsi="Calibri" w:cs="Calibri"/>
      <w:color w:val="000000"/>
      <w:u w:color="000000"/>
    </w:rPr>
  </w:style>
  <w:style w:type="paragraph" w:customStyle="1" w:styleId="ManualHeading2">
    <w:name w:val="Manual Heading 2"/>
    <w:next w:val="Corps"/>
    <w:pPr>
      <w:keepNext/>
      <w:tabs>
        <w:tab w:val="left" w:pos="850"/>
      </w:tabs>
      <w:spacing w:before="120" w:after="120"/>
      <w:ind w:left="850" w:hanging="850"/>
      <w:jc w:val="both"/>
      <w:outlineLvl w:val="1"/>
    </w:pPr>
    <w:rPr>
      <w:rFonts w:cs="Arial Unicode MS"/>
      <w:b/>
      <w:bCs/>
      <w:color w:val="000000"/>
      <w:sz w:val="24"/>
      <w:szCs w:val="24"/>
      <w:u w:color="000000"/>
    </w:rPr>
  </w:style>
  <w:style w:type="paragraph" w:customStyle="1" w:styleId="Default">
    <w:name w:val="Default"/>
    <w:rPr>
      <w:rFonts w:ascii="Calibri" w:eastAsia="Calibri" w:hAnsi="Calibri" w:cs="Calibri"/>
      <w:color w:val="000000"/>
      <w:sz w:val="24"/>
      <w:szCs w:val="24"/>
      <w:u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eastAsia="bg-BG"/>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bg-B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bg-BG" w:eastAsia="bg-BG"/>
    </w:rPr>
  </w:style>
  <w:style w:type="paragraph" w:customStyle="1" w:styleId="CM1">
    <w:name w:val="CM1"/>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3">
    <w:name w:val="CM3"/>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paragraph" w:customStyle="1" w:styleId="CM4">
    <w:name w:val="CM4"/>
    <w:basedOn w:val="Default"/>
    <w:next w:val="Default"/>
    <w:uiPriority w:val="9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EUAlbertina" w:eastAsia="Arial Unicode MS" w:hAnsi="EUAlbertina" w:cs="Times New Roman"/>
      <w:color w:val="auto"/>
    </w:rPr>
  </w:style>
  <w:style w:type="character" w:customStyle="1" w:styleId="A3">
    <w:name w:val="A3"/>
    <w:uiPriority w:val="99"/>
    <w:rPr>
      <w:rFonts w:cs="EC Square Sans Pro"/>
      <w:color w:val="000000"/>
      <w:sz w:val="22"/>
      <w:szCs w:val="2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bg-BG" w:eastAsia="bg-BG"/>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bg-BG"/>
    </w:rPr>
  </w:style>
  <w:style w:type="character" w:customStyle="1" w:styleId="Marker">
    <w:name w:val="Marker"/>
    <w:basedOn w:val="DefaultParagraphFont"/>
    <w:rPr>
      <w:color w:val="0000FF"/>
      <w:shd w:val="clear" w:color="auto" w:fill="auto"/>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CorpsChar">
    <w:name w:val="Corps Char"/>
    <w:basedOn w:val="DefaultParagraphFont"/>
    <w:link w:val="Corps"/>
    <w:rPr>
      <w:rFonts w:ascii="Calibri" w:eastAsia="Calibri" w:hAnsi="Calibri" w:cs="Calibri"/>
      <w:color w:val="000000"/>
      <w:sz w:val="22"/>
      <w:szCs w:val="22"/>
      <w:u w:color="000000"/>
    </w:rPr>
  </w:style>
  <w:style w:type="character" w:customStyle="1" w:styleId="FooterSensitivityChar">
    <w:name w:val="Footer Sensitivity Char"/>
    <w:basedOn w:val="CorpsChar"/>
    <w:link w:val="FooterSensitivity"/>
    <w:rPr>
      <w:rFonts w:ascii="Calibri" w:eastAsia="Calibri" w:hAnsi="Calibri" w:cs="Calibri"/>
      <w:b/>
      <w:color w:val="000000"/>
      <w:sz w:val="32"/>
      <w:szCs w:val="24"/>
      <w:u w:color="000000"/>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CorpsChar"/>
    <w:link w:val="HeaderCoverPage"/>
    <w:rPr>
      <w:rFonts w:ascii="Calibri" w:eastAsia="Calibri" w:hAnsi="Calibri" w:cs="Calibri"/>
      <w:color w:val="000000"/>
      <w:sz w:val="24"/>
      <w:szCs w:val="24"/>
      <w:u w:color="00000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orpsChar"/>
    <w:link w:val="HeaderSensitivity"/>
    <w:rPr>
      <w:rFonts w:ascii="Calibri" w:eastAsia="Calibri" w:hAnsi="Calibri" w:cs="Calibri"/>
      <w:b/>
      <w:color w:val="000000"/>
      <w:sz w:val="32"/>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6163">
      <w:bodyDiv w:val="1"/>
      <w:marLeft w:val="0"/>
      <w:marRight w:val="0"/>
      <w:marTop w:val="0"/>
      <w:marBottom w:val="0"/>
      <w:divBdr>
        <w:top w:val="none" w:sz="0" w:space="0" w:color="auto"/>
        <w:left w:val="none" w:sz="0" w:space="0" w:color="auto"/>
        <w:bottom w:val="none" w:sz="0" w:space="0" w:color="auto"/>
        <w:right w:val="none" w:sz="0" w:space="0" w:color="auto"/>
      </w:divBdr>
    </w:div>
    <w:div w:id="120729774">
      <w:bodyDiv w:val="1"/>
      <w:marLeft w:val="0"/>
      <w:marRight w:val="0"/>
      <w:marTop w:val="0"/>
      <w:marBottom w:val="0"/>
      <w:divBdr>
        <w:top w:val="none" w:sz="0" w:space="0" w:color="auto"/>
        <w:left w:val="none" w:sz="0" w:space="0" w:color="auto"/>
        <w:bottom w:val="none" w:sz="0" w:space="0" w:color="auto"/>
        <w:right w:val="none" w:sz="0" w:space="0" w:color="auto"/>
      </w:divBdr>
    </w:div>
    <w:div w:id="174879516">
      <w:bodyDiv w:val="1"/>
      <w:marLeft w:val="0"/>
      <w:marRight w:val="0"/>
      <w:marTop w:val="0"/>
      <w:marBottom w:val="0"/>
      <w:divBdr>
        <w:top w:val="none" w:sz="0" w:space="0" w:color="auto"/>
        <w:left w:val="none" w:sz="0" w:space="0" w:color="auto"/>
        <w:bottom w:val="none" w:sz="0" w:space="0" w:color="auto"/>
        <w:right w:val="none" w:sz="0" w:space="0" w:color="auto"/>
      </w:divBdr>
    </w:div>
    <w:div w:id="199514773">
      <w:bodyDiv w:val="1"/>
      <w:marLeft w:val="0"/>
      <w:marRight w:val="0"/>
      <w:marTop w:val="0"/>
      <w:marBottom w:val="0"/>
      <w:divBdr>
        <w:top w:val="none" w:sz="0" w:space="0" w:color="auto"/>
        <w:left w:val="none" w:sz="0" w:space="0" w:color="auto"/>
        <w:bottom w:val="none" w:sz="0" w:space="0" w:color="auto"/>
        <w:right w:val="none" w:sz="0" w:space="0" w:color="auto"/>
      </w:divBdr>
    </w:div>
    <w:div w:id="290981829">
      <w:bodyDiv w:val="1"/>
      <w:marLeft w:val="0"/>
      <w:marRight w:val="0"/>
      <w:marTop w:val="0"/>
      <w:marBottom w:val="0"/>
      <w:divBdr>
        <w:top w:val="none" w:sz="0" w:space="0" w:color="auto"/>
        <w:left w:val="none" w:sz="0" w:space="0" w:color="auto"/>
        <w:bottom w:val="none" w:sz="0" w:space="0" w:color="auto"/>
        <w:right w:val="none" w:sz="0" w:space="0" w:color="auto"/>
      </w:divBdr>
    </w:div>
    <w:div w:id="568617094">
      <w:bodyDiv w:val="1"/>
      <w:marLeft w:val="0"/>
      <w:marRight w:val="0"/>
      <w:marTop w:val="0"/>
      <w:marBottom w:val="0"/>
      <w:divBdr>
        <w:top w:val="none" w:sz="0" w:space="0" w:color="auto"/>
        <w:left w:val="none" w:sz="0" w:space="0" w:color="auto"/>
        <w:bottom w:val="none" w:sz="0" w:space="0" w:color="auto"/>
        <w:right w:val="none" w:sz="0" w:space="0" w:color="auto"/>
      </w:divBdr>
    </w:div>
    <w:div w:id="788666751">
      <w:bodyDiv w:val="1"/>
      <w:marLeft w:val="0"/>
      <w:marRight w:val="0"/>
      <w:marTop w:val="0"/>
      <w:marBottom w:val="0"/>
      <w:divBdr>
        <w:top w:val="none" w:sz="0" w:space="0" w:color="auto"/>
        <w:left w:val="none" w:sz="0" w:space="0" w:color="auto"/>
        <w:bottom w:val="none" w:sz="0" w:space="0" w:color="auto"/>
        <w:right w:val="none" w:sz="0" w:space="0" w:color="auto"/>
      </w:divBdr>
      <w:divsChild>
        <w:div w:id="976302308">
          <w:marLeft w:val="0"/>
          <w:marRight w:val="0"/>
          <w:marTop w:val="0"/>
          <w:marBottom w:val="0"/>
          <w:divBdr>
            <w:top w:val="none" w:sz="0" w:space="0" w:color="auto"/>
            <w:left w:val="none" w:sz="0" w:space="0" w:color="auto"/>
            <w:bottom w:val="none" w:sz="0" w:space="0" w:color="auto"/>
            <w:right w:val="none" w:sz="0" w:space="0" w:color="auto"/>
          </w:divBdr>
          <w:divsChild>
            <w:div w:id="1131630886">
              <w:marLeft w:val="0"/>
              <w:marRight w:val="0"/>
              <w:marTop w:val="0"/>
              <w:marBottom w:val="0"/>
              <w:divBdr>
                <w:top w:val="none" w:sz="0" w:space="0" w:color="auto"/>
                <w:left w:val="none" w:sz="0" w:space="0" w:color="auto"/>
                <w:bottom w:val="none" w:sz="0" w:space="0" w:color="auto"/>
                <w:right w:val="none" w:sz="0" w:space="0" w:color="auto"/>
              </w:divBdr>
              <w:divsChild>
                <w:div w:id="1548184612">
                  <w:marLeft w:val="0"/>
                  <w:marRight w:val="0"/>
                  <w:marTop w:val="0"/>
                  <w:marBottom w:val="0"/>
                  <w:divBdr>
                    <w:top w:val="none" w:sz="0" w:space="0" w:color="auto"/>
                    <w:left w:val="none" w:sz="0" w:space="0" w:color="auto"/>
                    <w:bottom w:val="none" w:sz="0" w:space="0" w:color="auto"/>
                    <w:right w:val="none" w:sz="0" w:space="0" w:color="auto"/>
                  </w:divBdr>
                  <w:divsChild>
                    <w:div w:id="128905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238890">
      <w:bodyDiv w:val="1"/>
      <w:marLeft w:val="0"/>
      <w:marRight w:val="0"/>
      <w:marTop w:val="0"/>
      <w:marBottom w:val="0"/>
      <w:divBdr>
        <w:top w:val="none" w:sz="0" w:space="0" w:color="auto"/>
        <w:left w:val="none" w:sz="0" w:space="0" w:color="auto"/>
        <w:bottom w:val="none" w:sz="0" w:space="0" w:color="auto"/>
        <w:right w:val="none" w:sz="0" w:space="0" w:color="auto"/>
      </w:divBdr>
    </w:div>
    <w:div w:id="1105611107">
      <w:bodyDiv w:val="1"/>
      <w:marLeft w:val="0"/>
      <w:marRight w:val="0"/>
      <w:marTop w:val="0"/>
      <w:marBottom w:val="0"/>
      <w:divBdr>
        <w:top w:val="none" w:sz="0" w:space="0" w:color="auto"/>
        <w:left w:val="none" w:sz="0" w:space="0" w:color="auto"/>
        <w:bottom w:val="none" w:sz="0" w:space="0" w:color="auto"/>
        <w:right w:val="none" w:sz="0" w:space="0" w:color="auto"/>
      </w:divBdr>
    </w:div>
    <w:div w:id="1148478996">
      <w:bodyDiv w:val="1"/>
      <w:marLeft w:val="0"/>
      <w:marRight w:val="0"/>
      <w:marTop w:val="0"/>
      <w:marBottom w:val="0"/>
      <w:divBdr>
        <w:top w:val="none" w:sz="0" w:space="0" w:color="auto"/>
        <w:left w:val="none" w:sz="0" w:space="0" w:color="auto"/>
        <w:bottom w:val="none" w:sz="0" w:space="0" w:color="auto"/>
        <w:right w:val="none" w:sz="0" w:space="0" w:color="auto"/>
      </w:divBdr>
    </w:div>
    <w:div w:id="1173104225">
      <w:bodyDiv w:val="1"/>
      <w:marLeft w:val="0"/>
      <w:marRight w:val="0"/>
      <w:marTop w:val="0"/>
      <w:marBottom w:val="0"/>
      <w:divBdr>
        <w:top w:val="none" w:sz="0" w:space="0" w:color="auto"/>
        <w:left w:val="none" w:sz="0" w:space="0" w:color="auto"/>
        <w:bottom w:val="none" w:sz="0" w:space="0" w:color="auto"/>
        <w:right w:val="none" w:sz="0" w:space="0" w:color="auto"/>
      </w:divBdr>
    </w:div>
    <w:div w:id="1415930445">
      <w:bodyDiv w:val="1"/>
      <w:marLeft w:val="0"/>
      <w:marRight w:val="0"/>
      <w:marTop w:val="0"/>
      <w:marBottom w:val="0"/>
      <w:divBdr>
        <w:top w:val="none" w:sz="0" w:space="0" w:color="auto"/>
        <w:left w:val="none" w:sz="0" w:space="0" w:color="auto"/>
        <w:bottom w:val="none" w:sz="0" w:space="0" w:color="auto"/>
        <w:right w:val="none" w:sz="0" w:space="0" w:color="auto"/>
      </w:divBdr>
    </w:div>
    <w:div w:id="154910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E0FBA-2FE1-488B-9A29-00172A9F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836</Words>
  <Characters>4849</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2019-02-18T18:14:00Z</cp:lastPrinted>
  <dcterms:created xsi:type="dcterms:W3CDTF">2019-03-22T15:34:00Z</dcterms:created>
  <dcterms:modified xsi:type="dcterms:W3CDTF">2019-05-02T11:17:00Z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