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264AF0A7-277F-4B1E-AF74-46884DD6A236" style="width:450.4pt;height:461.3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  <w:szCs w:val="24"/>
        </w:rPr>
        <w:lastRenderedPageBreak/>
        <w:t>Table 1</w:t>
      </w:r>
      <w:r>
        <w:rPr>
          <w:rFonts w:ascii="Times New Roman" w:hAnsi="Times New Roman"/>
          <w:noProof/>
          <w:sz w:val="24"/>
          <w:szCs w:val="24"/>
        </w:rPr>
        <w:tab/>
        <w:t>MULTIANNUAL FINANCIAL FRAMEWORK (EU 28) ADJUSTED FOR 2020*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eastAsia="en-GB"/>
        </w:rPr>
        <w:drawing>
          <wp:inline distT="0" distB="0" distL="0" distR="0">
            <wp:extent cx="8863330" cy="437226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37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* underlying GNI based on ESA 2010 from 2018 onwards </w:t>
      </w:r>
      <w:r>
        <w:rPr>
          <w:rFonts w:ascii="Times New Roman" w:hAnsi="Times New Roman" w:cs="Times New Roman"/>
          <w:noProof/>
        </w:rPr>
        <w:br w:type="page"/>
      </w: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Table 2</w:t>
      </w:r>
      <w:r>
        <w:rPr>
          <w:rFonts w:ascii="Times New Roman" w:hAnsi="Times New Roman"/>
          <w:noProof/>
          <w:sz w:val="24"/>
          <w:szCs w:val="24"/>
        </w:rPr>
        <w:tab/>
        <w:t>MULTIANNUAL FINANCIAL FRAMEWORK (EU 28) ADJUSTED FOR 2020*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eastAsia="en-GB"/>
        </w:rPr>
        <w:drawing>
          <wp:inline distT="0" distB="0" distL="0" distR="0">
            <wp:extent cx="8863330" cy="428664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28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* underlying GNI based on ESA 2010 from 2018 onwards </w:t>
      </w:r>
    </w:p>
    <w:p>
      <w:pPr>
        <w:rPr>
          <w:rFonts w:ascii="Times New Roman" w:hAnsi="Times New Roman" w:cs="Times New Roman"/>
          <w:noProof/>
        </w:rPr>
      </w:pP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80558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64AF0A7-277F-4B1E-AF74-46884DD6A236"/>
    <w:docVar w:name="LW_COVERPAGE_TYPE" w:val="1"/>
    <w:docVar w:name="LW_CROSSREFERENCE" w:val="&lt;UNUSED&gt;"/>
    <w:docVar w:name="LW_DocType" w:val="NORMAL"/>
    <w:docVar w:name="LW_EMISSION" w:val="15.5.2019"/>
    <w:docVar w:name="LW_EMISSION_ISODATE" w:val="2019-05-15"/>
    <w:docVar w:name="LW_EMISSION_LOCATION" w:val="BRX"/>
    <w:docVar w:name="LW_EMISSION_PREFIX" w:val="Brussels, 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Technical adjustment of the financial framework for 2020 in line with movements in GNI (ESA 2010)_x000b__x000b_(Article 6 of Council Regulation No 1311/2013 laying down the multiannual financial framework for the years 2014-2020)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31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UNICATION FROM THE COMMISSION TO THE COUNCIL AND THE EUROPEAN PARLIAMENT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4319963-0B04-433C-AA3F-7767766D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42</Words>
  <Characters>211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 Diana (SG)</dc:creator>
  <cp:lastModifiedBy>WES PDFC Administrator</cp:lastModifiedBy>
  <cp:revision>9</cp:revision>
  <dcterms:created xsi:type="dcterms:W3CDTF">2019-04-26T07:59:00Z</dcterms:created>
  <dcterms:modified xsi:type="dcterms:W3CDTF">2019-05-15T08:16:00Z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6.0.1, Build 20180503</vt:lpwstr>
  </property>
</Properties>
</file>