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DE61D7F-08A9-4211-9738-C0E44FBCA234" style="width:450.75pt;height:384pt">
            <v:imagedata r:id="rId9" o:title=""/>
          </v:shape>
        </w:pict>
      </w:r>
    </w:p>
    <w:p>
      <w:pPr>
        <w:pStyle w:val="Pagedecouverture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</w:p>
    <w:p>
      <w:pPr>
        <w:rPr>
          <w:noProof/>
        </w:rPr>
      </w:pPr>
      <w:r>
        <w:rPr>
          <w:noProof/>
        </w:rPr>
        <w:t>In the table set out in the Annex to Regulation (EU) No 1387/2013, the rows relating to suspensions for the products identified by the following CN and TARIC codes are deleted:</w:t>
      </w:r>
    </w:p>
    <w:p>
      <w:pPr>
        <w:rPr>
          <w:noProof/>
          <w:sz w:val="16"/>
        </w:rPr>
      </w:pPr>
    </w:p>
    <w:tbl>
      <w:tblPr>
        <w:tblStyle w:val="List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20"/>
      </w:tblGrid>
      <w:tr>
        <w:trPr>
          <w:cantSplit/>
          <w:tblHeader/>
          <w:jc w:val="center"/>
        </w:trPr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CN code</w:t>
            </w:r>
          </w:p>
        </w:tc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TARIC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2826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2826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2920 90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2920 90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2920 90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 xml:space="preserve">ex 2921 19 99 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2926 90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12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3208 90 19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3701 30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3701 30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3701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3707 90 29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3707 90 29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3707 90 29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3801 10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3801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3806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3812 39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3815 19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87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3815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22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3824 99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37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3904 10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3907 20 20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3909 40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3921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3921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5603 12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5603 12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5603 13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5603 92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5603 93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7410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8108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8108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8467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8479 89 97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8479 89 97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8479 90 20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8479 90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8482 10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8482 10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8501 31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8501 32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8501 33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82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82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88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40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50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50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50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50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50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50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90 11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90 11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8504 90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8506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10 20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50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50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47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71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80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29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29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30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40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91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40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92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40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93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8518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8522 90 49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8522 90 49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8522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8522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8522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8522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84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8522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97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8526 10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8527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8527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8529 10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8529 10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65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65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65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57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8535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8536 49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8536 50 11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8536 50 11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8536 50 19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93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8536 50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81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8536 50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82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8536 50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83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8536 50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97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8545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9001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9001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9001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75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9027 10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9029 20 31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9029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  <w:tr>
        <w:trPr>
          <w:jc w:val="center"/>
        </w:trPr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9030 31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</w:tr>
    </w:tbl>
    <w:p>
      <w:pPr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ANNEX II</w:t>
      </w:r>
    </w:p>
    <w:p>
      <w:pPr>
        <w:rPr>
          <w:noProof/>
          <w:szCs w:val="19"/>
        </w:rPr>
      </w:pPr>
      <w:r>
        <w:rPr>
          <w:noProof/>
          <w:szCs w:val="19"/>
        </w:rPr>
        <w:t>In the table set out in the Annex to Regulation (EU) No 1387/2013, the following rows are inserted according to the order of the CN and TARIC codes indicated in the first and second columns of that table, respectively:</w:t>
      </w: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20"/>
        <w:gridCol w:w="4511"/>
        <w:gridCol w:w="965"/>
        <w:gridCol w:w="1125"/>
        <w:gridCol w:w="940"/>
      </w:tblGrid>
      <w:tr>
        <w:trPr>
          <w:cantSplit/>
          <w:tblHeader/>
        </w:trPr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CN code</w:t>
            </w:r>
          </w:p>
        </w:tc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TARIC</w:t>
            </w:r>
          </w:p>
        </w:tc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Description</w:t>
            </w:r>
          </w:p>
        </w:tc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Rate of autonomous duty</w:t>
            </w:r>
          </w:p>
        </w:tc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Supplementary Unit</w:t>
            </w:r>
          </w:p>
        </w:tc>
        <w:tc>
          <w:tcPr>
            <w:tcW w:w="0" w:type="auto"/>
            <w:vAlign w:val="center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Date foreseen for mandatory review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1516 20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Hydrogenated castor oil, so called ‘opal-wax’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2818 10 11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Sol-Gel corundum (CAS RN 1302-74-5) with an aluminium oxide content of 99,6 % or more by weight, having a micro crystalline structure in the form of rods with an aspect ratio of  1,3 or more, but not more than 6,0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2826 90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Lithium hexafluorophosphate (1-) (CAS RN 21324-40-3)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2828 10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Calcium hypochlorite (CAS RN 7778-54-3) having an active chlorine content of 65 % or more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2905 32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(2S)-propane-1,2-diol (CAS RN 4254-15-3)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2909 30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1-Chloro-2-(4-ethoxybenzyl)-4-iodobenzene (CAS RN 1103738-29-9)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2910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Phenyloxirane (CAS RN 96-09-3)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2912 29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fr-BE"/>
              </w:rPr>
            </w:pPr>
            <w:r>
              <w:rPr>
                <w:noProof/>
                <w:sz w:val="16"/>
                <w:lang w:val="fr-BE"/>
              </w:rPr>
              <w:t>Cyclohex-3-ene-1-carbaldehyde (CAS RN 100-50-5)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2915 90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2,2-Dimethylbutanoyl chloride (CAS RN 5856-77-9)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2916 39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2-Phenylprop-2-enoic acid (CAS RN 492-38-6)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2918 30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fr-BE"/>
              </w:rPr>
            </w:pPr>
            <w:r>
              <w:rPr>
                <w:noProof/>
                <w:sz w:val="16"/>
                <w:lang w:val="fr-BE"/>
              </w:rPr>
              <w:t>(E)-1-ethoxy-3-oxobut-1-en-1-olate; 2-methylpropan-1-olate; titanium(4+) (CAS RN 83877-91-2)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2918 99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Vanillic Acid (CAS RN 121-34-6) containing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not more than 10 ppm of Palladium (CAS RN 7440-05-3),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not more than 10 ppm of bismuth (CAS RN 7440-69-9),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not more than 14 ppm of formaldehyde (CAS RN 50-00-0),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not more than 1,3 % by weight of  3,4-dihydroxybenzoic acid (CAS RN 99-50-3),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not more than 0,5 % by weight of vanillin (CAS RN 121-33-5)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2920 90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fr-BE"/>
              </w:rPr>
            </w:pPr>
            <w:r>
              <w:rPr>
                <w:noProof/>
                <w:sz w:val="16"/>
                <w:lang w:val="fr-BE"/>
              </w:rPr>
              <w:t>Ethyl methyl carbonate (CAS RN 623-53-0)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2920 90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Diethyl carbonate (CAS RN 105-58-8)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2920 90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Vinylene carbonate (CAS RN 872-36-6)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2920 90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Diethyl phosphorochloridate (CAS RN 814-49-3)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2921 43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pt-PT"/>
              </w:rPr>
            </w:pPr>
            <w:r>
              <w:rPr>
                <w:noProof/>
                <w:sz w:val="16"/>
                <w:lang w:val="pt-PT"/>
              </w:rPr>
              <w:t>5-Bromo-4-fluoro-2-methylaniline (CAS RN 627871-16-3)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2921 45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(5 or 8)-Aminonaphthalene-2-sulphonic acid (CAS RN 51548-48-2)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2921 45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2-Aminonaphthalene-1-sulphonic acid (CAS RN 81-16-3)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2921 49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2-Ethylaniline (CAS RN 578-54-1)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3-Aminoadamantan-1-ol (CAS RN 702-82-9)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2922 29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o-Phenetidine (CAS RN 94-70-2)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2923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N,N,N-trimethyl-tricyclo[3.3.1.13,7]decan-1-aminium hydroxide (CAS RN 53075-09-5) in form of an aqueous solution with a content of  N,N,N-trimethyl-tricyclo[3.3.1.13,7]decan-1-aminium hydroxide by weight of 17,5 % or more but not more than 27,5 %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2924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(S)-4-((tert-Butoxycarbonyl)amino)-2-hydroxybutanoic acid (CAS RN 207305-60-0)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2924 29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fr-BE"/>
              </w:rPr>
            </w:pPr>
            <w:r>
              <w:rPr>
                <w:noProof/>
                <w:sz w:val="16"/>
                <w:lang w:val="fr-BE"/>
              </w:rPr>
              <w:t>N,N'-(2,5-Dichloro-1,4-phenylene)bis[3-oxobutyramide] (CAS RN 42487-09-2)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2924 29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N-[(benzyloxy)carbonyl]glycyl-N-[(2S)-1-{4-[(tert-butoxycarbonyl)oxy]phenyl}-3-hydroxypropan-2-yl]-L-alaninamide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2926 90 70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Cyfluthrin (ISO) (CAS RN 68359-37-5) or beta-cyfluthrin (ISO) (CAS RN 1820573-27-0) with a purity by weight of 95 % or more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2930 90 98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Allyl isothiocyanate (CAS RN 57-06-7)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2930 90 98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3-Mercaptopropionic acid (CAS RN 107-96-0)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2932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Tefuryltrione (ISO) (CAS RN 473278-76-1)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2932 20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3-Acetyl-6-methyl-2</w:t>
            </w:r>
            <w:r>
              <w:rPr>
                <w:i/>
                <w:iCs/>
                <w:noProof/>
                <w:sz w:val="16"/>
                <w:lang w:val="en-US"/>
              </w:rPr>
              <w:t>H</w:t>
            </w:r>
            <w:r>
              <w:rPr>
                <w:noProof/>
                <w:sz w:val="16"/>
                <w:lang w:val="en-US"/>
              </w:rPr>
              <w:t>-pyran-2, 4(3</w:t>
            </w:r>
            <w:r>
              <w:rPr>
                <w:i/>
                <w:iCs/>
                <w:noProof/>
                <w:sz w:val="16"/>
                <w:lang w:val="en-US"/>
              </w:rPr>
              <w:t>H</w:t>
            </w:r>
            <w:r>
              <w:rPr>
                <w:noProof/>
                <w:sz w:val="16"/>
                <w:lang w:val="en-US"/>
              </w:rPr>
              <w:t>)-dione (CAS RN 520-45-6)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2932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(2-Butyl-3-benzofuranyl)(4-hydroxy-3,5-diiodophenyl)methanone (CAS RN 1951-26-4)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19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4-Bromo-1-(1-ethoxyethyl)-1H-pyrazole (CAS RN 1024120-52-2)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39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56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2,5-Dichloro-4,6-dimethylnicotinonitrile (CAS RN 91591-63-8)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39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59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Chlorpyrifos-Methyl (ISO) (CAS RN 5598-13-0)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39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61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6-Bromopyridin-2-amine (CAS RN 19798-81-3)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39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62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Ethyl 2,6-Dichloronicotinate (CAS RN 58584-86-4)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39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64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Methyl 1-(3-chloropyridin-2-yl)-3-hydroxymethyl-1H-pyrazole-5-carboxylate (CAS RN 960316-73-8)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39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1-(3-Chloropyridin-2-yl)-3-[[5-(trifluoromethyl)-2H-tetrazol-2-yl]methyl]-1H-pyrazole-5-carboxylic acid (CAS RN 1352319-02-8) with a purity by weight of 85 % or more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49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Ethyl 6,7,8-trifluoro-1-[formyl(methyl)amino]-4-oxo-1,4-dihydroquinoline-3-carboxylate (CAS RN 100276-65-1)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54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pt-PT"/>
              </w:rPr>
            </w:pPr>
            <w:r>
              <w:rPr>
                <w:noProof/>
                <w:sz w:val="16"/>
                <w:lang w:val="pt-PT"/>
              </w:rPr>
              <w:t>5,5 '-(1,2-diazenediyl)bis [2,4,6 (1H, 3H, 5H)-pyrimidinetrione] (CAS RN 25157-64-6)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59 95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1-(3-Chlorophenyl) piperazine (CAS RN 6640-24-0)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69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Troclosene sodium dihydrate (INNM) (CAS RN 51580-86-0)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99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Ipconazole (ISO) (CAS RN 125225-28-7) with a purity by weight of 90 % or more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99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59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Hydrates of Hydroxybenzotriazole (CAS RN 80029-43-2 and CAS RN 123333-53-9)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99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61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(1R,5S)-8-Benzyl-8-azabicyclo(3.2.1)octan-3-one hydrochloride (CAS RN 83393-23-1)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99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L-Prolinamide (CAS RN 7531-52-4)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2933 99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5-((1S,2S)-2-((2R,6S,9S,11R,12R,14aS,15S,16S,20R,23S,25aR)-9-amino-20-((R)-3-amino-1-hydroxy-3-oxopropyl)-2,11,12,15-tetrahydroxy-6-((R)-1-hydroxyethyl)-16-methyl-5,8,14,19,22,25-hexaoxotetracosahydro-1H-dipyrrolo[2,1-c:2',1'-l][1,4,7,10,13,16]hexaazacyclohenicosin-23-yl)-1,2-dihydroxyethyl)-2-hydroxyphenyl hydrogen sulphate (CAS RN 168110-44-9)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2934 99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[(3aS,5R,6S,6aS)-6-Hydroxy-2,2-dimethyltetrahydrofuro[2,3-d][1,3]dioxol-5-yl] (morpholino)methanone (CAS RN 1103738-19-7)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2934 99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2-(dimethylamino)-2-[(4-methylphenyl)methyl]-1-[4-(morpholin-4-yl)phenyl]butan-1-one (CAS RN 119344-86-4)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4-Chloro-3-pyridinesulphonamide  (CAS RN 33263-43-3)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pt-PT"/>
              </w:rPr>
            </w:pPr>
            <w:r>
              <w:rPr>
                <w:noProof/>
                <w:sz w:val="16"/>
                <w:lang w:val="pt-PT"/>
              </w:rPr>
              <w:t>1,3-Dimethyl-1H-pyrazole-4-sulfonamide (CAS RN 88398-53-2)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2935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fr-BE"/>
              </w:rPr>
            </w:pPr>
            <w:r>
              <w:rPr>
                <w:noProof/>
                <w:sz w:val="16"/>
                <w:lang w:val="fr-BE"/>
              </w:rPr>
              <w:t>4-[(3-Methylphenyl)amino]pyridine-3-sulphonamide (CAS RN72811-73-5)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3204 17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Colourant C.I. Pigment Red 63:1 (CAS RN 6417-83-0) and preparations based thereon with a colourant C.I. Pigment Red 63:1 content of 70 % or more by weight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3205 00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Colourant C.I. Solvent Red 48 (CAS RN 13473-26-2) preparation, in a form of dry powder,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16 % or more but not more than 25 % of Colourant C.I. Solvent Red 48 (CAS RN 13473-26-2)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65 % or more but no more than 75 % of aluminium hydroxide (CAS RN 21645-51-2)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3205 00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Colourant C.I. Pigment Red 174 (CAS RN 15876-58-1) preparation, in a form of dry powder,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16 % or more but not more than 21 % of Colourant C.I. Pigment Red 174 (CAS RN 15876-58-1)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65 % or more but no more than 69 % of aluminium hydroxide (CAS RN 21645-51-2)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3208 90 19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Preparation of 5 % or more but not more than 20 % by weight of a copolymer of propylene and maleic anhydride, or a blend of polypropylene and a copolymer of propylene and maleic anhydride, or a blend of polypropylene and a copolymer of propylene, isobutene and maleic anhydride in an organic solvent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Adhesive based on an aqueous dispersion of a mixture of dimerised rosin and a copolymer of ethylene and vinyl acetate (EVA)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Acrylic pressure sensitive adhesive with a thickness of 0,076 mm or more but not more than 0,127 mm, put up in rolls of a width of 45,7 cm or more but not more than 132 cm supplied on a release liner with an initial peel adhesion release value of not less than 15 N/25 mm (measured according to ASTM D3330)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Preparation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15 % or more but not more than 60 % of styrene butadiene copolymers or styrene isoprene copolymers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10 % or more but not more than 30 % of pinene polymers or pentadiene copolymers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dissolved in 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fr-BE"/>
                    </w:rPr>
                  </w:pPr>
                  <w:r>
                    <w:rPr>
                      <w:noProof/>
                      <w:sz w:val="16"/>
                      <w:lang w:val="fr-BE"/>
                    </w:rPr>
                    <w:t>Methyl ethyl ketone (CAS RN 78-93-3)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Heptane (CAS RN 142-82-5),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Toluene (CAS RN 108-88-3) or light aliphatic solvent naphtha (CAS RN 64742-89-8)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3506 91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Temporary wafer-bonding adhesive material in the form of a suspension of a solid polymer in D-limonene (CAS RN 5989-27-5) with a polymeric content by weight of 25 % or more but not more than 35 %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3812 39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Mixture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25 % or more but not more than 55 % of a mixture of C15-18 tetramethylpiperidinyl esters (CAS RN 86403-32-9)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not more than 20 % of other organic compounds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on a carrier of polypropylene (CAS RN 9003-07-0) or amorphous silica (CAS RN 7631-86-9 or 112926-00-8)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3815 12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Spherical catalyst consisting of a support of aluminium oxide coated with platinum,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diameter of 1,4 mm or more but not more than 2,0 mm,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platinum content by weight of  0,2 % or more but not more than 0,5 % 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3815 12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Catalyst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containing 0,3 gram per litre or more, but not more than 7 gram per litre of precious metals,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deposited on a ceramic honeycomb structure coated with aluminium oxide or cerium/zirconium oxide, the honeycomb structure having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nickel content of 1,26 % by weight or more, but not more than 1,29 % by weight,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62 cells per cm² or more, but not more than 140 cells per cm² 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diameter of 100 mm or more, but not more than 120 mm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60 mm or more, but not more than 150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production of motor vehicles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3815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Catalyst in powder form consisting by weight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2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92,50 % (± 2) % titanium dioxide (CAS RN 13463-67-7)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5 % (± 1) % silicon dioxide (CAS RN 112926-00-8)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2,5 % (± 1,5) % sulphur trioxide (CAS RN 7446-11-9)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3824 99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Liquid crystal mixtures for use in the manufacture of LCD (liquid crystal display) modules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3824 99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Mixture of acetates of 3-butene-1,2-diol with a content by weight of 65 % or more of 3-butene-1,2-diol diacetate (CAS RN 18085-02-4)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3824 99 96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Buffer cartridge not exceeding 8000 ml containing: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0.05 % or more but not more than 0.1 % by weight of 5-Chloro-2-methyl-2,3-dihydroisothiazol-3-one (CAS RN 55965-84-9)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0.05 % or more but not more that 0.1 % by weight of 2-Methyl-2,3-dihydroisothiazol-3-one (CAS RN 2682-20-4) as a biostatic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3904 69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Copolymer of tetrafluoroethylene, heptafluoro-1-pentene and ethene (CAS RN 94228-79-2)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3904 69 80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Copolymer of tetrafluoroethylene, hexafluoropropene and ethene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3907 20 20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Copolymer of tetrahydrofuran and tetrahydro-3-methylfuran with a number average molecular weight (Mn) of 900 or more but not more than 3 600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3920 99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Poly(tetrafluoroethylene) film containing by weight 10 % or more of graphite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3921 19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Transparent, microporous, acrylic acid grafted polyethylene film, in the form of rolls,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09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98 mm or more but not more than170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thickness of 15 µm or more but not more than 36 µm,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 for the manufacture of alkaline battery separators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3926 30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Plastic internal door handle used in the manufacture of motor vehicles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5402 44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Synthetic elastomeric filament yarn: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untwisted or with a twist not exceeding 50 turns per metre, measuring 300 dtex or more but not more than 1000 dtex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composed of polyurethane ureas based on a copolyether glycol of tetrahydrofuran and 3-methyltetrahydrofuran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disposable hygiene products of heading 9619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7006 00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Plates of sodalime glass of STN (Super Twisted Nematic) quality having: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300 mm or more but not more than 600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300 mm or more but not more than 600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thickness of 0,5 mm or more but not more than 1,1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indium-tin-oxide coating with a resistance of 80 Ohms or more, but not more than 160 Ohms on one side,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multi layer anti-reflection-coating on the other side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machined (chamfered) edges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 in the manufacture of LCD (liquid crystal display) modules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7019 40 00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7019 52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E-fibre glass fabrics: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having a weight of 20 g/m² or more, but not more than 214 g/m²,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impregnated with silane,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in rolls,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having a humidity content by weight of 0,13 % or less,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having not more than 3 hollow fibres out of 100 000 fibres,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the exclusive use in the manufacture of prepregs and copper clad laminates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7019 52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Epoxy resin coated glass woven fabric containing by weight: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0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91 % or more but not more than 93 % of glass fibres,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7 % or more but not more than 9 % of epoxy resin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7410 11 00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90 80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8545 90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Roll of laminate foil of graphite and copper,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73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610 mm or more but not more than 620 mm,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diameter of 690 mm or more but not more than 710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lithium-ion electric rechargeable batteries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7607 20 90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Aluminium foil, in rolls: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coated with polypropylene on one side and with polyamide on the other side with adhesive layers between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width of 200 mm or more, but not more than 400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thickness of 0,138 mm or more, but not more than 0,168 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 the manufacture of lithium-ion battery cell pouches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8104 11 00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Unwrought magnesium, containing at least 99,8 % by weight of magnesium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8108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Titanium alloy ingot,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height of 17,8 cm or more, a length of 180 cm or more and a width of 48,3cm or more,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 of 680 kg or more,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containing alloy elements by weight of::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40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3 % or more but not more than 6 % of aluminium,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2,5 % or more but not more than 5 % of tin,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2,5 % or more but not more than 4,5 % of zirconium,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0,2 % or more but not more than 1 % of niobium,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0,1 % or more but not more than 1 % of molybdenum,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0,1 % or more but not more than 0,5 % of silicon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8108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Titanium alloy ingot,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diameter of 63,5 cm or more and a length of 450 cm or more,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 of 6 350 kg or more,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containing alloy elements by weight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09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5,5 % or more but not more than 6,7 % of aluminium,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3,7 % of more but not more than 4,9 % of vanadium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8301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Mechanical or electromechanical steering column lock: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254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height of 10,5 cm (± 3 cm),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width of 6,5 cm (± 3 cm),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in a metal housing,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a holder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goods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8302 30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Support bracket for an exhaust system: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thickness of 0,7 mm or more but not more than 1,3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of stainless steel class 1.4310 and 1.4301 according to norm EN 10088,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mounting holes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exhaust systems for automobiles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8409 91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The air intake module for engine cylinders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264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suction pipe,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pressure sensor,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electric throttle,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hoses,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brackets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goods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8409 91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Inlet manifold, exclusively for use in the manufacture of the motor vehicles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40 mm or more but not more than 70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valves length of 250 mm or more but not more than 350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air volume of 5,2 litres,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electrical flow control system that provides maximum performance at more than 3200 rpm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8409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The exhaust gas recirculation assembly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998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control unit,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air throttle,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intake pipe,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outlet hose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diesel engines of motor vehicles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8414 10 25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Tandem pump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sz w:val="16"/>
                      <w:szCs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sz w:val="16"/>
                      <w:szCs w:val="16"/>
                      <w:lang w:val="en-US"/>
                    </w:rPr>
                    <w:t>an oil pump with displacement of 21,6 cc/rev (± 2 cc/rev) and working pressure 1,5 bar at 1 000 revolutions per minute,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sz w:val="16"/>
                      <w:szCs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szCs w:val="16"/>
                      <w:lang w:val="en-US"/>
                    </w:rPr>
                  </w:pPr>
                  <w:r>
                    <w:rPr>
                      <w:noProof/>
                      <w:sz w:val="16"/>
                      <w:szCs w:val="16"/>
                      <w:lang w:val="en-US"/>
                    </w:rPr>
                    <w:t>vacuum pump with displacement of 120 cc/rev (± 12 cc/rev) and performance of -666 mbar in 6 seconds at 750 revolutions per minute,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engines of motor vehicles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8414 10 89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Electric vacuum pump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455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Controller Area Network (CAN bus),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a rubber hose,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connecting cable with connector,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mounting bracket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goods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8414 30 89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Open shaft, scroll type compressor with clutch assembly, of a power of more than 0,4 kW, for air conditioning in vehicles, for use in the manufacture of motor vehicles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8414 59 35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Radial fan,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dimension of  25mm (height) x 85mm (width) x 85mm (depth),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 of 120 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rated voltage of 13,6 VDC (direct current voltage),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operating voltage of 9 VDC or more but not more than 16 VDC (direct current voltage),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rated current of 1,1 A  (TYP),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 rated power of 15 W,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rotation speed of 500 RPM (revolutions per minute) or more but not more than 4800 RPM (revolutions per minute) (free flow),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air flow of not more than 17,5 litre/s,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air pressure of not more than16 mm H2O ≈ 157 Pa,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 overall sound pressure of not more than 58 dB(A) at 4800 RPM (revolutions per minute), and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with a FIN (Fan Interconnect Network) interface for communication with the heating and air-conditioning control unit used in car seat ventilation systems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8467 99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Mechanical switches for connecting electrical circuits,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13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voltage of 14,4 V or more but not more than 42 V,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amperage of 10 A or more but not more than 42 A,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machines falling within heading 8467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Two-way flow control valve with housing,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at least 5, but not more than 10 outlet holes with at least 0,09 mm, but not more than 0,2 mm diameter,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at least 550 cm</w:t>
                  </w:r>
                  <w:r>
                    <w:rPr>
                      <w:noProof/>
                      <w:sz w:val="16"/>
                      <w:vertAlign w:val="superscript"/>
                      <w:lang w:val="en-US"/>
                    </w:rPr>
                    <w:t>3</w:t>
                  </w:r>
                  <w:r>
                    <w:rPr>
                      <w:noProof/>
                      <w:sz w:val="16"/>
                      <w:lang w:val="en-US"/>
                    </w:rPr>
                    <w:t>/minute, but not more than 2000 cm</w:t>
                  </w:r>
                  <w:r>
                    <w:rPr>
                      <w:noProof/>
                      <w:sz w:val="16"/>
                      <w:vertAlign w:val="superscript"/>
                      <w:lang w:val="en-US"/>
                    </w:rPr>
                    <w:t>3</w:t>
                  </w:r>
                  <w:r>
                    <w:rPr>
                      <w:noProof/>
                      <w:sz w:val="16"/>
                      <w:lang w:val="en-US"/>
                    </w:rPr>
                    <w:t>/minute flow rate,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at least 19, but not more than 300 MPa operating pressure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Flow-control valve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made of steel,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an outlet hole with a diameter of at least 0,1 mm, but not more than 0,3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an inlet hole with a diameter of at least 0,4 mm, but not more than 1,3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chromium nitride coating,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surface roughness of Rp 0,4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Electromagnetic valve for quantity control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plunger,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solenoid with a of coil resistance of at least 2,6 Ohm, but not more than 3 Ohm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8481 80 59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Electromagnetic valve for quantity control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solenoid with a coil resistance of at least 0,19 Ohm, but not more than 0,66 Ohm, and with an inductance of not more than 1 mH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31.12.2022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8481 80 79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8481 80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Service Valve which suits for R410A or R32 gas while connecting indoor and outdoor units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522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withstanding pressure of the valve body of 6,3 MPa,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leakage ratio of less than 1,6 g/a,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impurity ratio of less than 1,2 mg/PCS,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airtight pressure of the valve body of 4,2 MPa,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air conditioners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8484 20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Mechanical face sealing device made of two movable rings (one ceramic mating, having a thermal conductivity lower than 80W/Mk and the other carbon sliding), one spring and a nitrile sealant on the external side, of a kind used in manufacturing circulation pumps of cooling systems in motor vehicles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8501 10 10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Motors for air pumps,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operating voltage of 9 VDC or more but not more than 24 VDC,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operating temperature range of -40°C or more but not more than 80°C,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output not exceeding 18 W 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pneumatic support  and ventilation systems for car seats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8501 31 00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8501 32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DC motor with or without commutator,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external diameter of 24,2 mm or more, but not more than 140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rated speed of 3300 rpm or more, but not more than 26200 rpm,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rated supply voltage of 3,6 V or more, but not more than 230 V,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output power of more than 37,5 W , but not more than 2400 W,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free load current of not more than 20,1 A,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maximum efficiency of 50 % or more,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driving hand-held power tools or lawn mowers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8501 33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AC traction motor of an output of 75 kW or more but not more than 375 kW,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torque output of 200 Nm or more but not more than 300 Nm,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power output of 50 kW or more but not more than 100 kW,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speed of not more than 15 000 rpm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electric vehicles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8503 00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Stator for brushless motor,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42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internal diameter of 206,6 mm (± 0,5)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external diameter of 265,0 mm (± 0,2)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37,2 mm or more but not more than 47,8 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 in the manufacture of washing machine, washer-dryer or dryer equipped with direct drive drums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8506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Cathode, in rolls, for air zinc button cell batteries (hearing aid batteries)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Prismatic lithium-ion electric accumulators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77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173,0 mm (± 0,4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thickness of 45,0 mm (± 0,4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125,0 mm (± 0,3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voltage of 3,67 V (± 0,01 V),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capacity of 94 Ah and/or 120 Ah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rechargeable electric vehicle batteries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Cylindrical lithium-ion-accumulators or modules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48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capacity of 8,8 Ah or more, but not more than 18 Ah,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voltage of 36 V or more, but not more than 48 V,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power of 300 Wh or more, but not more than 648 Wh,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electric bicycles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Rectangular lithium-ion polymer accumulator equipped with a battery management system and can-bus interface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not more than 1600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not more than 448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of not more than 395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 of 125 kg or more but not more than 135 kg,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voltage of 280 V or more but not more than 400 V,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capacity of 9,7 Ah or more but not more than 10,35 Ah,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charging voltage of 110 V or more but not more than 230 V,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containing 6 modules with 90 cells or more but not more than 96 cells enclosed in a steel casing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vehicle capable of being charged by plugging to external source of electric power of heading 8703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Cylindrical lithium-ion accumulator or module, with a length of 63 mm or more and a diameter of 17,2 mm or more, having a nominal capacity of 1 200 mAh or more, for use in the manufacture of rechargeable batteries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Lithium-ion accumulator,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150 mm or more, but not more than 1 000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100 mm or more, but not more than 1 000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of 200 mm or more, but not more than 1 500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 of 75 kg or more, but not more than 200 kg,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nominal capacity not less than 150 Ah and not more than 500 Ah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Modules for the assembly of batteries of ion lithium electric accumulators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22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 298 mm or more, but not more than 408 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 33,5 mm or more, but not more than 209 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of 138 mm or more, but not more than 228 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 of 3,6 kg or more, but not more than 17 kg,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power of 458 Wh or more, but not more than 2 158 Wh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71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Lithium-ion rechargeable batteries,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58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700 mm or more, but not more than 2 820 mm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935 mm or more, but not more than 1 660 mm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of 85 mm or more, but not more than 700 mm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weight of 250 kgor more, but not more than 700 kg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power of not more than 175 kWh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8507 60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85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Lithium-ion Rectangular modules for incorporation in lithium-ion rechargeable batteries: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69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of a length of 300 mm or more, but not more than 350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of a width of 79,8 mm or more, but not more than 225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of a height of 35 mm or more, but not more than 168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of a weight of 3,95 kg or more, but not more than 8,85 kg,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rating of 66,6 Ah or more, but not more than 129 Ah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8507 90 30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Safety Reinforced Separator designed to separate cathode and anode in lithium-ion electric accumulators for motor vehicle batteries for use in the manufacture of lithium-ion electric accumulators for motor vehicle batteries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65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Printed circuit board assembly comprising: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radio tuner (capable of receiving and decoding radio signals and transmitting those signals within the assembly) without signal processing capabilities,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microprocessor capable of receiving remote control messages and controlling the tuner chipset,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home entertainment systems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65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Electronic assembly comprising at least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printed circuit board with,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processors for multi-media applications and video signal processing,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FPGA (Field Programmable Gate Array),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Flash memory,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operating memory,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USB-interface,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or without HDMI, VGA- and RJ-45 interfaces,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sockets and plugs for connecting a LCD-display, a LED lighting and a control panel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65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Printed circuit board subassembly, comprising: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radio tuner, capable of receiving and decoding radio signals and transmitting those signals within the assembly, with a signal decoder,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radio frequency (RF) remote control receiver,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infrared remote control signal transmitter,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SCART signal generator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TV state sensor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home entertainment systems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8529 90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52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LCD module, glass or plastic covered and optically bonded, with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diagonal measurement of the screen of 12 cm or more but not more than 31 cm,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LED backlighting,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printed circuit board with EEPROM (Electrically Erasable Programmable Read-Only Memory), microcontroller, timing controller and other active and passive components,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plug for power supply and CAN (Controller Area Network) and LVDS (Low Voltage Differential Signalling) interfaces,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electronic components to generate additional control indicators for vehicle information on the display,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or without a touch screen,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without a signal processing module,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in a housing with additional LED indicators for warning lights,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or without a gear shift indicator and a photo sensor,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 as a driver information display in motor vehicles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8529 90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54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LCD display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touch panel,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at least one printed circuit board for simple slave device pixel addressing (Timing Controller function) and touch control, with EEPROM (Electrically Erasable Programmable Read-Only Memory) for display settings,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diagonal screen measurement of 15 cm or more but not more than 21 cm,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backlight,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LVDS (Low Voltage Differential Signalling) and a power supply connector,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motor vehicles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8529 90 92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Metal holder, metal fixing item or internal stiffener of metal, for use in the manufacture of televisions, monitors and video players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8535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Semiconductor module switch in a casing: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consisting of an IGBT transistor chip and a diode chip on one or more lead frames,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for a voltage of 600 V or 1 200 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8537 10 91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Programmable memory control board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469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4 or more stepper motor drivers,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4 or more outputs with MOSFET transistors,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main processor,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3 or more inputs for temperature sensors,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for a voltage of 10 V or more but not more than 30 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3D printers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8537 10 91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59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Electronic control units for controlling inter axle torque transferring in all-wheel drive vehicles including: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50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printed circuit board with programmable memory controller,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one single connector,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working at 12 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8537 10 91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63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Electronic control units able to control automatic continuous variable transmission for passenger vehicles including: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050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printed circuit board with programmable memory controller,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metallic housing,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one single connector,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working at 12V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8537 10 91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Electronic Engine Control Unit (ECU)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printed circuit board (PCB),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12 Volts voltage,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reprogrammable,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micro-processor that can control, evaluate and manage support service functions in cars (injection and ignition advance values of fuel, fuel and air flow rate)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goods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40 20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40 50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Automatic transmission assembly with rotary gear shifter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39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aluminium casting housing, 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differential gear,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9 Speed automatic, 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electronic range select gear selection system,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with dimensions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330 mm or more but not more than 420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of 380 mm or more but not more than 450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580 mm or more but not more than 690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 xml:space="preserve">for use in the manufacture of the vehicles in heading 87 (2) 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20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99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99 10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99 97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45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Car transfer case with single input, dual output, to distribute torque between front and rear axles in an aluminium housing, with dimension of not more than 565 x 570 x 510 mm, comprising at least: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007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actuator,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interior distribution by chain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20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Intermediate steel shaft connecting the gearbox with semi-axle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300 mm or more but not more than 650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spline end on both sides,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a pressed bearing in the case,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a holder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goods of Chapter 87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20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Housing of tripod type half shaft inboard joint for transmitting a torque from engine and transmission to wheels of motor vehicles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outer diameter of 67,0 mm or more but not more than 84,5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3 cold calibrated roller tracks with a diameter of 29,90 mm or more but not more than 36,60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 sealing diameter 34,0 mm or more but not more than 41,0 mm, without lead angle,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spline with 21 teeth or more but not more than 35,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bearing seat diameter of 25,0 mm or more but not more than 30,0 mm, with or without oil grooves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20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50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75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Outboard joint assembly for transmitting a torque from engine and transmission to wheels of motor vehicles, consisting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inner race with 6 ball tracks for running with the bearing balls with a diameter 15,0 mm or more but not more than 20,0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an outer race with 6 ball tracks for running with 6 bearing balls, made of steel with carbon content of 0,45 % or more but not more than 0,58 %, with thread and with a spline with 26 teeth or more but not more than 38,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spherical cage keeping bearing balls in the ball tracks of outer race and inner race in proper angular position, made of material suitable for carburizing with carbon content of 0,14 % or more but not more than 0,25 %,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grease compartment,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capable of working at constant speed at variable articulation angle not higher than 50 degrees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80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Aluminium suspension link arm, with dimensions of: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height of 50 mm or more but not more than 150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width of 10 mm or more but not more than 100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length of 100 mm or more but not more than 600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mass of 1000 g or more but not more than 3000 g,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Equipped with at least two bushed holes made of aluminium alloy with the following characteristics: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3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tensile strength of 2000 mPa or more 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strength of 19 kN or more,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stiffness of 5 kN/mm or more but not more than 9 kN/mm,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frequency of 400 Hz or more but not more than 600  Hz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92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Exhaust system inner liner: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wall thickness of 0,7 mm or more but not more than 1,3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made of stainless steel sheets or coil class 1.4310 and 1.4301 according to norm EN 10088,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mounting holes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exhaust systems for automobiles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92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Pipe for guiding exhaust gases from the combustion engine: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diameter of 40 mm or more but not more than 100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length of 90 mm or more but not more than 410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wall thickness of 0,7 mm or more but not more than 1,3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of stainless steel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exhaust systems for automobiles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8708 92 99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Exhaust system end cover: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wall thickness of 0,7 mm or more but not more than 1,3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made of stainless steel class 1.4310 and 1.4301 according to norm EN 10088,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inner liner,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whether or not with surface treatment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exhaust systems for automobiles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9001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Optical, diffuser, reflector or prism sheets, unprinted diffuser plates, whether or not possessing polarising properties, specifically cut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lens with motorised focus adjustment,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916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using wavelengths of 3 μm or more but not more than 5 μm,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providing a clear picture from 50 m to infinity,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fields of vision sizes of  3° x 2,25° and 9° x 6,75 °,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weight of not more than 230 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length of not more than 88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diameter of not more than 46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athermalized,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for use in the manufacture of  thermal imaging cameras, infrared binoculars, weapons scopes (2)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31.12.2020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18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Lens assembly consisting of a cylinder-shaped cover made of metal or plastic and optical elements with: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802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horizontal field of view range to a maximum of 120 deg,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diagonal field of view range to a maximum of 92 deg,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focal length to a maximum of 7,50 mm,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relative aperture of a maximum of F/2,90,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maximum diameter of 22 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 for the production of CMOS (Complementary metal–oxide-semiconductor) automotive cameras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31.12.2023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optical unit composed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monocrystalline silicon lens with a diameter of 84 mm (± 0,1 mm)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monocrystalline germanium lens with a diameter of 62 mm (± 0,05 mm)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assembled on a machined aluminium alloy support, of a kind used for thermal imaging cameras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optical unit composed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silicon lens with a diameter of 29 mm (± 0,05 mm)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monocrystalline calcium fluoride lens with a diameter of 26 mm (± 0,05 mm),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assembled on a machined aluminium alloy support, of kind a used for thermal imaging cameras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45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optical unit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650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silicon lens of a diameter of 62 mm (± 0,05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mounted on a machined aluminium alloy support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 for thermal cameras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55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optical unit composed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germanium lens with a diameter of 11 mm (± 0,05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monocrystalline calcium fluoride lens with a diameter of 14 mm (± 0,05 mm), and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silicon lens with a diameter of 17 mm (± 0,05 mm),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assembled on a machined aluminium alloy support, of a kind used for thermal imaging cameras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65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optical unit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372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with a silicon lens with a diameter of 26 mm (± 0,1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mounted on a machined aluminum alloy support,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of a kind used for thermal imaging cameras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9002 11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75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Infrared optical unit composed of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415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germanium lens with a diameter of 19 mm (± 0,05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monocrystalline calcium fluoride lens with a diameter of 18 mm (± 0,05 mm),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a germanium lens with a diameter of 20,6 mm (± 0,05 mm),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assembled on a machined aluminium alloy support, of a kind used for thermal imaging cameras 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-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31.12.2021</w:t>
            </w:r>
          </w:p>
        </w:tc>
      </w:tr>
      <w:tr>
        <w:tc>
          <w:tcPr>
            <w:tcW w:w="0" w:type="auto"/>
          </w:tcPr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 9029 20 31</w:t>
            </w:r>
          </w:p>
          <w:p>
            <w:pPr>
              <w:spacing w:before="0" w:after="0"/>
              <w:jc w:val="right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ex 9029 90 00</w:t>
            </w:r>
          </w:p>
        </w:tc>
        <w:tc>
          <w:tcPr>
            <w:tcW w:w="0" w:type="auto"/>
          </w:tcPr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30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Clustered instrument panel with the microprocessor control board, with or without stepping motors, and LED indicators showing at least: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1331"/>
            </w:tblGrid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speed,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engine revolutions,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engine temperature,</w:t>
                  </w:r>
                </w:p>
              </w:tc>
            </w:tr>
            <w:t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before="0" w:after="0"/>
                    <w:rPr>
                      <w:noProof/>
                      <w:sz w:val="16"/>
                      <w:lang w:val="en-US"/>
                    </w:rPr>
                  </w:pPr>
                  <w:r>
                    <w:rPr>
                      <w:noProof/>
                      <w:sz w:val="16"/>
                      <w:lang w:val="en-US"/>
                    </w:rPr>
                    <w:t>the fuel level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communicating via CAN-BUS and/or K-LINE protocols, of a kind used in the manufacture of goods of Chapter 87</w:t>
            </w: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  <w:tc>
          <w:tcPr>
            <w:tcW w:w="0" w:type="auto"/>
          </w:tcPr>
          <w:p>
            <w:pPr>
              <w:spacing w:before="0" w:after="0"/>
              <w:rPr>
                <w:noProof/>
                <w:sz w:val="16"/>
                <w:lang w:val="en-US"/>
              </w:rPr>
            </w:pPr>
            <w:r>
              <w:rPr>
                <w:noProof/>
                <w:sz w:val="16"/>
                <w:lang w:val="en-US"/>
              </w:rPr>
              <w:t>31.12.2019</w:t>
            </w:r>
          </w:p>
          <w:p>
            <w:pPr>
              <w:spacing w:before="0" w:after="0"/>
              <w:rPr>
                <w:noProof/>
                <w:sz w:val="16"/>
                <w:lang w:val="en-US"/>
              </w:rPr>
            </w:pPr>
          </w:p>
        </w:tc>
      </w:tr>
    </w:tbl>
    <w:p>
      <w:pPr>
        <w:spacing w:before="0" w:after="0"/>
        <w:rPr>
          <w:noProof/>
          <w:szCs w:val="19"/>
        </w:rPr>
      </w:pPr>
    </w:p>
    <w:p>
      <w:pPr>
        <w:spacing w:before="0" w:after="0"/>
        <w:rPr>
          <w:noProof/>
          <w:sz w:val="16"/>
        </w:rPr>
      </w:pPr>
    </w:p>
    <w:tbl>
      <w:tblPr>
        <w:tblStyle w:val="Notestable"/>
        <w:tblW w:w="9246" w:type="dxa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(2)</w:t>
            </w:r>
          </w:p>
        </w:tc>
        <w:tc>
          <w:tcPr>
            <w:tcW w:w="8821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</w:t>
            </w:r>
          </w:p>
        </w:tc>
      </w:tr>
    </w:tbl>
    <w:p>
      <w:pPr>
        <w:rPr>
          <w:noProof/>
          <w:sz w:val="16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14 18:07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FDE61D7F-08A9-4211-9738-C0E44FBCA234"/>
    <w:docVar w:name="LW_COVERPAGE_TYPE" w:val="1"/>
    <w:docVar w:name="LW_CROSSREFERENCE" w:val="&lt;UNUSED&gt;"/>
    <w:docVar w:name="LW_DocType" w:val="ANNEX"/>
    <w:docVar w:name="LW_EMISSION" w:val="16.5.2019"/>
    <w:docVar w:name="LW_EMISSION_ISODATE" w:val="2019-05-16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387/2013 suspending the autonomous Common Customs Tariff duties on certain agricultural and industrial products"/>
    <w:docVar w:name="LW_OBJETACTEPRINCIPAL.CP" w:val="amending Regulation (EU) No 1387/2013 suspending the autonomous Common Customs Tariff duties on certain agricultural and industrial product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21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uiPriority w:val="10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uiPriority w:val="1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uiPriority w:val="11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uiPriority w:val="1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uiPriority w:val="10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uiPriority w:val="1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uiPriority w:val="11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uiPriority w:val="1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A51A-2DAC-4EAA-A4B3-598E1AFD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21</Pages>
  <Words>7664</Words>
  <Characters>32727</Characters>
  <Application>Microsoft Office Word</Application>
  <DocSecurity>0</DocSecurity>
  <Lines>2181</Lines>
  <Paragraphs>1923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WES PDFC Administrator</cp:lastModifiedBy>
  <cp:revision>8</cp:revision>
  <cp:lastPrinted>2018-04-17T07:18:00Z</cp:lastPrinted>
  <dcterms:created xsi:type="dcterms:W3CDTF">2019-04-09T07:43:00Z</dcterms:created>
  <dcterms:modified xsi:type="dcterms:W3CDTF">2019-05-14T16:07:00Z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