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B0B169D5-7D88-4424-B1BB-4DCB2E016F28" style="width:450.8pt;height:334.3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pPr>
        <w:rPr>
          <w:noProof/>
        </w:rPr>
      </w:pPr>
      <w:bookmarkStart w:id="1" w:name="_GoBack"/>
      <w:bookmarkEnd w:id="1"/>
      <w:r>
        <w:rPr>
          <w:noProof/>
        </w:rPr>
        <w:lastRenderedPageBreak/>
        <w:t>Having regard to:</w:t>
      </w:r>
    </w:p>
    <w:p>
      <w:pPr>
        <w:pStyle w:val="Tiret0"/>
        <w:rPr>
          <w:noProof/>
        </w:rPr>
      </w:pPr>
      <w:r>
        <w:rPr>
          <w:noProof/>
        </w:rPr>
        <w:t>the Treaty on the Functioning of the European Union, and in particular Article 314 thereof, in conjunction with the Treaty establishing the European Atomic Energy Community, and in particular Article 106a thereof,</w:t>
      </w:r>
    </w:p>
    <w:p>
      <w:pPr>
        <w:pStyle w:val="Tiret0"/>
        <w:tabs>
          <w:tab w:val="clear" w:pos="850"/>
          <w:tab w:val="num" w:pos="927"/>
        </w:tabs>
        <w:rPr>
          <w:rFonts w:cs="Arial"/>
          <w:noProof/>
          <w:szCs w:val="18"/>
        </w:rPr>
      </w:pPr>
      <w:r>
        <w:rPr>
          <w:noProof/>
        </w:rPr>
        <w:t>Regulation (EU, Euratom) 2018/1046 of the European Parliament and of the Council of 18 July 2018 on the financial rules applicable to the general budget of the Union (…)</w:t>
      </w:r>
      <w:r>
        <w:rPr>
          <w:rStyle w:val="FootnoteReference"/>
          <w:noProof/>
        </w:rPr>
        <w:footnoteReference w:id="2"/>
      </w:r>
      <w:r>
        <w:rPr>
          <w:noProof/>
        </w:rPr>
        <w:t>, and in particular Article 44 thereof,</w:t>
      </w:r>
    </w:p>
    <w:p>
      <w:pPr>
        <w:pStyle w:val="Tiret0"/>
        <w:tabs>
          <w:tab w:val="clear" w:pos="850"/>
          <w:tab w:val="num" w:pos="927"/>
        </w:tabs>
        <w:rPr>
          <w:noProof/>
        </w:rPr>
      </w:pPr>
      <w:r>
        <w:rPr>
          <w:noProof/>
        </w:rPr>
        <w:t>the general budget of the European Union for the financial year 2019, as adopted on 12 December 2018</w:t>
      </w:r>
      <w:r>
        <w:rPr>
          <w:rStyle w:val="FootnoteReference"/>
          <w:noProof/>
        </w:rPr>
        <w:footnoteReference w:id="3"/>
      </w:r>
      <w:r>
        <w:rPr>
          <w:noProof/>
        </w:rPr>
        <w:t>,</w:t>
      </w:r>
    </w:p>
    <w:p>
      <w:pPr>
        <w:pStyle w:val="Tiret0"/>
        <w:tabs>
          <w:tab w:val="clear" w:pos="850"/>
          <w:tab w:val="num" w:pos="927"/>
        </w:tabs>
        <w:rPr>
          <w:noProof/>
        </w:rPr>
      </w:pPr>
      <w:r>
        <w:rPr>
          <w:noProof/>
        </w:rPr>
        <w:t>draft amending budget No°1/2019</w:t>
      </w:r>
      <w:r>
        <w:rPr>
          <w:rStyle w:val="FootnoteReference"/>
          <w:noProof/>
        </w:rPr>
        <w:footnoteReference w:id="4"/>
      </w:r>
      <w:r>
        <w:rPr>
          <w:noProof/>
        </w:rPr>
        <w:t>, adopted on 15 April 2019,</w:t>
      </w:r>
    </w:p>
    <w:p>
      <w:pPr>
        <w:pStyle w:val="Tiret0"/>
        <w:tabs>
          <w:tab w:val="clear" w:pos="850"/>
          <w:tab w:val="num" w:pos="927"/>
        </w:tabs>
        <w:rPr>
          <w:noProof/>
        </w:rPr>
      </w:pPr>
      <w:r>
        <w:rPr>
          <w:noProof/>
        </w:rPr>
        <w:t>draft amending budget No°2/2019</w:t>
      </w:r>
      <w:r>
        <w:rPr>
          <w:rStyle w:val="FootnoteReference"/>
          <w:noProof/>
        </w:rPr>
        <w:footnoteReference w:id="5"/>
      </w:r>
      <w:r>
        <w:rPr>
          <w:noProof/>
        </w:rPr>
        <w:t>, adopted on 15 May 2019,</w:t>
      </w:r>
    </w:p>
    <w:p>
      <w:pPr>
        <w:jc w:val="both"/>
        <w:rPr>
          <w:noProof/>
        </w:rPr>
      </w:pPr>
      <w:r>
        <w:rPr>
          <w:noProof/>
        </w:rPr>
        <w:t>The European Commission hereby presents to the European Parliament and to the Council Draft Amending Budget No 3 to the 2019 budget.</w:t>
      </w:r>
    </w:p>
    <w:p>
      <w:pPr>
        <w:rPr>
          <w:b/>
          <w:noProof/>
          <w:u w:val="single"/>
        </w:rPr>
      </w:pPr>
    </w:p>
    <w:p>
      <w:pPr>
        <w:jc w:val="both"/>
        <w:rPr>
          <w:b/>
          <w:noProof/>
          <w:u w:val="single"/>
          <w:lang w:eastAsia="ko-KR"/>
        </w:rPr>
      </w:pPr>
      <w:r>
        <w:rPr>
          <w:b/>
          <w:noProof/>
          <w:u w:val="single"/>
          <w:lang w:eastAsia="ko-KR"/>
        </w:rPr>
        <w:t>CHANGES TO THE STATEMENT OF REVENUE AND EXPENDITURE BY SECTION</w:t>
      </w:r>
    </w:p>
    <w:p>
      <w:pPr>
        <w:rPr>
          <w:b/>
          <w:noProof/>
          <w:u w:val="single"/>
          <w:lang w:eastAsia="ko-KR"/>
        </w:rPr>
      </w:pPr>
    </w:p>
    <w:p>
      <w:pPr>
        <w:jc w:val="both"/>
        <w:rPr>
          <w:noProof/>
          <w:lang w:eastAsia="ko-KR"/>
        </w:rPr>
      </w:pPr>
      <w:r>
        <w:rPr>
          <w:noProof/>
        </w:rPr>
        <w:t>The changes to the statement of expenditure of section III are available on EUR-Lex (</w:t>
      </w:r>
      <w:hyperlink r:id="rId19" w:history="1">
        <w:r>
          <w:rPr>
            <w:rStyle w:val="Hyperlink"/>
            <w:noProof/>
            <w:color w:val="auto"/>
          </w:rPr>
          <w:t>http://eur-lex.europa.eu/budget/www/index-en.htm</w:t>
        </w:r>
      </w:hyperlink>
      <w:r>
        <w:rPr>
          <w:noProof/>
        </w:rPr>
        <w:t>). An English version of the changes to this statement is attached for information as a budgetary annex.</w:t>
      </w:r>
    </w:p>
    <w:p>
      <w:pPr>
        <w:rPr>
          <w:noProof/>
        </w:rPr>
        <w:sectPr>
          <w:headerReference w:type="even" r:id="rId20"/>
          <w:headerReference w:type="default" r:id="rId21"/>
          <w:footerReference w:type="even" r:id="rId22"/>
          <w:footerReference w:type="default" r:id="rId23"/>
          <w:headerReference w:type="first" r:id="rId24"/>
          <w:footerReference w:type="first" r:id="rId25"/>
          <w:pgSz w:w="11907" w:h="16839"/>
          <w:pgMar w:top="1134" w:right="1417" w:bottom="1134" w:left="1417" w:header="709" w:footer="709" w:gutter="0"/>
          <w:cols w:space="708"/>
          <w:docGrid w:linePitch="360"/>
        </w:sectPr>
      </w:pPr>
    </w:p>
    <w:p>
      <w:pPr>
        <w:pStyle w:val="TOCHeading"/>
        <w:rPr>
          <w:noProof/>
        </w:rPr>
      </w:pPr>
      <w:bookmarkStart w:id="2" w:name="_Toc194220890"/>
      <w:bookmarkStart w:id="3" w:name="_Toc294675429"/>
      <w:bookmarkStart w:id="4" w:name="_Toc378575883"/>
      <w:r>
        <w:rPr>
          <w:noProof/>
        </w:rPr>
        <w:t>TABLE OF CONTENTS</w:t>
      </w:r>
    </w:p>
    <w:sdt>
      <w:sdtPr>
        <w:rPr>
          <w:b w:val="0"/>
          <w:bCs w:val="0"/>
          <w:caps w:val="0"/>
          <w:smallCaps/>
          <w:noProof/>
          <w:sz w:val="24"/>
          <w:szCs w:val="24"/>
          <w:lang w:eastAsia="de-DE"/>
        </w:rPr>
        <w:id w:val="2029912794"/>
        <w:docPartObj>
          <w:docPartGallery w:val="Table of Contents"/>
          <w:docPartUnique/>
        </w:docPartObj>
      </w:sdtPr>
      <w:sdtEndPr>
        <w:rPr>
          <w:b/>
        </w:rPr>
      </w:sdtEndPr>
      <w:sdtContent>
        <w:p>
          <w:pPr>
            <w:pStyle w:val="TOC1"/>
            <w:tabs>
              <w:tab w:val="left" w:pos="480"/>
              <w:tab w:val="right" w:leader="dot" w:pos="9855"/>
            </w:tabs>
            <w:rPr>
              <w:rFonts w:asciiTheme="minorHAnsi" w:eastAsiaTheme="minorEastAsia" w:hAnsiTheme="minorHAnsi" w:cstheme="minorBidi"/>
              <w:b w:val="0"/>
              <w:bCs w:val="0"/>
              <w:caps w:val="0"/>
              <w:noProof/>
              <w:sz w:val="22"/>
              <w:szCs w:val="22"/>
            </w:rPr>
          </w:pPr>
          <w:r>
            <w:rPr>
              <w:noProof/>
            </w:rPr>
            <w:fldChar w:fldCharType="begin"/>
          </w:r>
          <w:r>
            <w:rPr>
              <w:noProof/>
            </w:rPr>
            <w:instrText xml:space="preserve"> TOC \o "1-3" \h \z \u </w:instrText>
          </w:r>
          <w:r>
            <w:rPr>
              <w:noProof/>
            </w:rPr>
            <w:fldChar w:fldCharType="separate"/>
          </w:r>
          <w:hyperlink w:anchor="_Toc8050772" w:history="1">
            <w:r>
              <w:rPr>
                <w:rStyle w:val="Hyperlink"/>
                <w:noProof/>
              </w:rPr>
              <w:t>1.</w:t>
            </w:r>
            <w:r>
              <w:rPr>
                <w:rFonts w:asciiTheme="minorHAnsi" w:eastAsiaTheme="minorEastAsia" w:hAnsiTheme="minorHAnsi" w:cstheme="minorBidi"/>
                <w:b w:val="0"/>
                <w:bCs w:val="0"/>
                <w:caps w:val="0"/>
                <w:noProof/>
                <w:sz w:val="22"/>
                <w:szCs w:val="22"/>
              </w:rPr>
              <w:tab/>
            </w:r>
            <w:r>
              <w:rPr>
                <w:rStyle w:val="Hyperlink"/>
                <w:noProof/>
              </w:rPr>
              <w:t>Introduction</w:t>
            </w:r>
            <w:r>
              <w:rPr>
                <w:noProof/>
                <w:webHidden/>
              </w:rPr>
              <w:tab/>
            </w:r>
            <w:r>
              <w:rPr>
                <w:noProof/>
                <w:webHidden/>
              </w:rPr>
              <w:fldChar w:fldCharType="begin"/>
            </w:r>
            <w:r>
              <w:rPr>
                <w:noProof/>
                <w:webHidden/>
              </w:rPr>
              <w:instrText xml:space="preserve"> PAGEREF _Toc8050772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sz w:val="22"/>
              <w:szCs w:val="22"/>
            </w:rPr>
          </w:pPr>
          <w:hyperlink w:anchor="_Toc8050773" w:history="1">
            <w:r>
              <w:rPr>
                <w:rStyle w:val="Hyperlink"/>
                <w:smallCaps/>
                <w:noProof/>
                <w:lang w:eastAsia="de-DE"/>
              </w:rPr>
              <w:t>2.</w:t>
            </w:r>
            <w:r>
              <w:rPr>
                <w:rFonts w:asciiTheme="minorHAnsi" w:eastAsiaTheme="minorEastAsia" w:hAnsiTheme="minorHAnsi" w:cstheme="minorBidi"/>
                <w:b w:val="0"/>
                <w:bCs w:val="0"/>
                <w:caps w:val="0"/>
                <w:noProof/>
                <w:sz w:val="22"/>
                <w:szCs w:val="22"/>
              </w:rPr>
              <w:tab/>
            </w:r>
            <w:r>
              <w:rPr>
                <w:rStyle w:val="Hyperlink"/>
                <w:smallCaps/>
                <w:noProof/>
                <w:lang w:eastAsia="de-DE"/>
              </w:rPr>
              <w:t>Financing</w:t>
            </w:r>
            <w:r>
              <w:rPr>
                <w:noProof/>
                <w:webHidden/>
              </w:rPr>
              <w:tab/>
            </w:r>
            <w:r>
              <w:rPr>
                <w:noProof/>
                <w:webHidden/>
              </w:rPr>
              <w:fldChar w:fldCharType="begin"/>
            </w:r>
            <w:r>
              <w:rPr>
                <w:noProof/>
                <w:webHidden/>
              </w:rPr>
              <w:instrText xml:space="preserve"> PAGEREF _Toc8050773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sz w:val="22"/>
              <w:szCs w:val="22"/>
            </w:rPr>
          </w:pPr>
          <w:hyperlink w:anchor="_Toc8050774" w:history="1">
            <w:r>
              <w:rPr>
                <w:rStyle w:val="Hyperlink"/>
                <w:noProof/>
              </w:rPr>
              <w:t>3.</w:t>
            </w:r>
            <w:r>
              <w:rPr>
                <w:rFonts w:asciiTheme="minorHAnsi" w:eastAsiaTheme="minorEastAsia" w:hAnsiTheme="minorHAnsi" w:cstheme="minorBidi"/>
                <w:b w:val="0"/>
                <w:bCs w:val="0"/>
                <w:caps w:val="0"/>
                <w:noProof/>
                <w:sz w:val="22"/>
                <w:szCs w:val="22"/>
              </w:rPr>
              <w:tab/>
            </w:r>
            <w:r>
              <w:rPr>
                <w:rStyle w:val="Hyperlink"/>
                <w:noProof/>
              </w:rPr>
              <w:t>Appropriations requested in the budget of 2019</w:t>
            </w:r>
            <w:r>
              <w:rPr>
                <w:noProof/>
                <w:webHidden/>
              </w:rPr>
              <w:tab/>
            </w:r>
            <w:r>
              <w:rPr>
                <w:noProof/>
                <w:webHidden/>
              </w:rPr>
              <w:fldChar w:fldCharType="begin"/>
            </w:r>
            <w:r>
              <w:rPr>
                <w:noProof/>
                <w:webHidden/>
              </w:rPr>
              <w:instrText xml:space="preserve"> PAGEREF _Toc8050774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sz w:val="22"/>
              <w:szCs w:val="22"/>
            </w:rPr>
          </w:pPr>
          <w:hyperlink w:anchor="_Toc8050775" w:history="1">
            <w:r>
              <w:rPr>
                <w:rStyle w:val="Hyperlink"/>
                <w:noProof/>
              </w:rPr>
              <w:t>4.</w:t>
            </w:r>
            <w:r>
              <w:rPr>
                <w:rFonts w:asciiTheme="minorHAnsi" w:eastAsiaTheme="minorEastAsia" w:hAnsiTheme="minorHAnsi" w:cstheme="minorBidi"/>
                <w:b w:val="0"/>
                <w:bCs w:val="0"/>
                <w:caps w:val="0"/>
                <w:noProof/>
                <w:sz w:val="22"/>
                <w:szCs w:val="22"/>
              </w:rPr>
              <w:tab/>
            </w:r>
            <w:r>
              <w:rPr>
                <w:rStyle w:val="Hyperlink"/>
                <w:noProof/>
              </w:rPr>
              <w:t>Summary table by MFF heading</w:t>
            </w:r>
            <w:r>
              <w:rPr>
                <w:noProof/>
                <w:webHidden/>
              </w:rPr>
              <w:tab/>
            </w:r>
            <w:r>
              <w:rPr>
                <w:noProof/>
                <w:webHidden/>
              </w:rPr>
              <w:fldChar w:fldCharType="begin"/>
            </w:r>
            <w:r>
              <w:rPr>
                <w:noProof/>
                <w:webHidden/>
              </w:rPr>
              <w:instrText xml:space="preserve"> PAGEREF _Toc8050775 \h </w:instrText>
            </w:r>
            <w:r>
              <w:rPr>
                <w:noProof/>
                <w:webHidden/>
              </w:rPr>
            </w:r>
            <w:r>
              <w:rPr>
                <w:noProof/>
                <w:webHidden/>
              </w:rPr>
              <w:fldChar w:fldCharType="separate"/>
            </w:r>
            <w:r>
              <w:rPr>
                <w:noProof/>
                <w:webHidden/>
              </w:rPr>
              <w:t>6</w:t>
            </w:r>
            <w:r>
              <w:rPr>
                <w:noProof/>
                <w:webHidden/>
              </w:rPr>
              <w:fldChar w:fldCharType="end"/>
            </w:r>
          </w:hyperlink>
        </w:p>
        <w:p>
          <w:pPr>
            <w:pStyle w:val="ManualHeading1"/>
            <w:ind w:left="0" w:firstLine="0"/>
            <w:rPr>
              <w:bCs/>
              <w:noProof/>
            </w:rPr>
          </w:pPr>
          <w:r>
            <w:rPr>
              <w:b w:val="0"/>
              <w:bCs/>
              <w:noProof/>
            </w:rPr>
            <w:fldChar w:fldCharType="end"/>
          </w:r>
        </w:p>
      </w:sdtContent>
    </w:sdt>
    <w:p>
      <w:pPr>
        <w:rPr>
          <w:b/>
          <w:noProof/>
          <w:u w:val="single"/>
          <w:lang w:eastAsia="de-DE"/>
        </w:rPr>
        <w:sectPr>
          <w:headerReference w:type="even" r:id="rId26"/>
          <w:headerReference w:type="default" r:id="rId27"/>
          <w:footerReference w:type="even" r:id="rId28"/>
          <w:footerReference w:type="default" r:id="rId29"/>
          <w:headerReference w:type="first" r:id="rId30"/>
          <w:footerReference w:type="first" r:id="rId31"/>
          <w:pgSz w:w="11907" w:h="16839"/>
          <w:pgMar w:top="1021" w:right="1021" w:bottom="1021" w:left="1021" w:header="709" w:footer="709" w:gutter="0"/>
          <w:cols w:space="708"/>
          <w:docGrid w:linePitch="360"/>
        </w:sectPr>
      </w:pPr>
    </w:p>
    <w:p>
      <w:pPr>
        <w:pStyle w:val="Exposdesmotifstitre"/>
        <w:rPr>
          <w:noProof/>
        </w:rPr>
      </w:pPr>
      <w:r>
        <w:rPr>
          <w:noProof/>
        </w:rPr>
        <w:t>EXPLANATORY MEMORANDUM</w:t>
      </w:r>
    </w:p>
    <w:p>
      <w:pPr>
        <w:pStyle w:val="ManualHeading1"/>
        <w:rPr>
          <w:noProof/>
        </w:rPr>
      </w:pPr>
      <w:bookmarkStart w:id="5" w:name="_Toc385506031"/>
      <w:bookmarkStart w:id="6" w:name="_Toc430865946"/>
      <w:bookmarkStart w:id="7" w:name="_Toc430867524"/>
      <w:bookmarkStart w:id="8" w:name="_Toc514181799"/>
      <w:bookmarkStart w:id="9" w:name="_Toc8050772"/>
      <w:bookmarkStart w:id="10" w:name="_Toc351469332"/>
      <w:bookmarkStart w:id="11" w:name="_Toc361649879"/>
      <w:bookmarkEnd w:id="2"/>
      <w:r>
        <w:rPr>
          <w:noProof/>
        </w:rPr>
        <w:t>1.</w:t>
      </w:r>
      <w:r>
        <w:rPr>
          <w:noProof/>
        </w:rPr>
        <w:tab/>
        <w:t>Introduction</w:t>
      </w:r>
      <w:bookmarkEnd w:id="5"/>
      <w:bookmarkEnd w:id="6"/>
      <w:bookmarkEnd w:id="7"/>
      <w:bookmarkEnd w:id="8"/>
      <w:bookmarkEnd w:id="9"/>
    </w:p>
    <w:p>
      <w:pPr>
        <w:spacing w:before="120" w:after="120"/>
        <w:jc w:val="both"/>
        <w:rPr>
          <w:noProof/>
        </w:rPr>
      </w:pPr>
      <w:r>
        <w:rPr>
          <w:noProof/>
        </w:rPr>
        <w:t>Draft Amending Budget (DAB) No 3 for the year 2019 accompanies the proposal</w:t>
      </w:r>
      <w:r>
        <w:rPr>
          <w:rStyle w:val="FootnoteReference"/>
          <w:noProof/>
        </w:rPr>
        <w:footnoteReference w:id="6"/>
      </w:r>
      <w:r>
        <w:rPr>
          <w:noProof/>
        </w:rPr>
        <w:t xml:space="preserve"> to mobilise the European Union Solidarity Fund (EUSF) for an amount of EUR 293 551 794 to provide assistance to Romania, Italy and Austria following natural disasters that took place in these Member States in the course of 2018:</w:t>
      </w:r>
    </w:p>
    <w:p>
      <w:pPr>
        <w:pStyle w:val="ListParagraph"/>
        <w:numPr>
          <w:ilvl w:val="0"/>
          <w:numId w:val="44"/>
        </w:numPr>
        <w:spacing w:after="120" w:line="276" w:lineRule="auto"/>
        <w:jc w:val="both"/>
        <w:rPr>
          <w:noProof/>
        </w:rPr>
      </w:pPr>
      <w:r>
        <w:rPr>
          <w:i/>
          <w:noProof/>
        </w:rPr>
        <w:t>Romania</w:t>
      </w:r>
      <w:r>
        <w:rPr>
          <w:noProof/>
        </w:rPr>
        <w:t>: flooding following heavy rainfall in the North East Region from mid-June to early August;</w:t>
      </w:r>
    </w:p>
    <w:p>
      <w:pPr>
        <w:pStyle w:val="ListParagraph"/>
        <w:numPr>
          <w:ilvl w:val="0"/>
          <w:numId w:val="44"/>
        </w:numPr>
        <w:spacing w:after="120" w:line="276" w:lineRule="auto"/>
        <w:jc w:val="both"/>
        <w:rPr>
          <w:noProof/>
        </w:rPr>
      </w:pPr>
      <w:r>
        <w:rPr>
          <w:i/>
          <w:noProof/>
        </w:rPr>
        <w:t>Italy</w:t>
      </w:r>
      <w:r>
        <w:rPr>
          <w:noProof/>
        </w:rPr>
        <w:t>: flooding and landslides following heavy rainfall from the Alpine areas in the north down to Sicily;</w:t>
      </w:r>
    </w:p>
    <w:p>
      <w:pPr>
        <w:pStyle w:val="ListParagraph"/>
        <w:numPr>
          <w:ilvl w:val="0"/>
          <w:numId w:val="44"/>
        </w:numPr>
        <w:spacing w:after="120" w:line="276" w:lineRule="auto"/>
        <w:jc w:val="both"/>
        <w:rPr>
          <w:noProof/>
        </w:rPr>
      </w:pPr>
      <w:r>
        <w:rPr>
          <w:i/>
          <w:noProof/>
        </w:rPr>
        <w:t>Austria</w:t>
      </w:r>
      <w:r>
        <w:rPr>
          <w:noProof/>
        </w:rPr>
        <w:t>: the meteorological phenomena in Italy also affected the alpine/southern regions, in particular Carinthia and Eastern Tyrol;</w:t>
      </w:r>
    </w:p>
    <w:p>
      <w:pPr>
        <w:spacing w:before="120" w:after="120"/>
        <w:jc w:val="both"/>
        <w:rPr>
          <w:noProof/>
        </w:rPr>
      </w:pPr>
      <w:r>
        <w:rPr>
          <w:noProof/>
        </w:rPr>
        <w:t>DAB No 3/2019 proposes to enter the necessary appropriations in the general budget 2019, both in commitments and payments.</w:t>
      </w:r>
    </w:p>
    <w:p>
      <w:pPr>
        <w:keepNext/>
        <w:tabs>
          <w:tab w:val="left" w:pos="850"/>
        </w:tabs>
        <w:spacing w:before="240" w:after="120"/>
        <w:ind w:left="851" w:hanging="851"/>
        <w:jc w:val="both"/>
        <w:outlineLvl w:val="0"/>
        <w:rPr>
          <w:b/>
          <w:smallCaps/>
          <w:noProof/>
          <w:lang w:eastAsia="de-DE"/>
        </w:rPr>
      </w:pPr>
      <w:bookmarkStart w:id="12" w:name="_Toc514181800"/>
      <w:bookmarkStart w:id="13" w:name="_Toc8050773"/>
      <w:bookmarkStart w:id="14" w:name="_Toc462410050"/>
      <w:bookmarkStart w:id="15" w:name="_Toc430865947"/>
      <w:bookmarkStart w:id="16" w:name="_Toc430867525"/>
      <w:r>
        <w:rPr>
          <w:b/>
          <w:smallCaps/>
          <w:noProof/>
          <w:lang w:eastAsia="de-DE"/>
        </w:rPr>
        <w:t>2.</w:t>
      </w:r>
      <w:r>
        <w:rPr>
          <w:b/>
          <w:smallCaps/>
          <w:noProof/>
          <w:lang w:eastAsia="de-DE"/>
        </w:rPr>
        <w:tab/>
        <w:t>Financing</w:t>
      </w:r>
      <w:bookmarkEnd w:id="12"/>
      <w:bookmarkEnd w:id="13"/>
    </w:p>
    <w:p>
      <w:pPr>
        <w:jc w:val="both"/>
        <w:rPr>
          <w:noProof/>
        </w:rPr>
      </w:pPr>
      <w:bookmarkStart w:id="17" w:name="_Toc460335328"/>
      <w:bookmarkStart w:id="18" w:name="_Toc430865948"/>
      <w:bookmarkStart w:id="19" w:name="_Toc430867526"/>
      <w:bookmarkEnd w:id="14"/>
      <w:r>
        <w:rPr>
          <w:noProof/>
        </w:rPr>
        <w:t>In accordance with Article 10(1) of the MFF regulation, the total amount available for the mobilisation of the EUSF at the beginning of 2019 was EUR 851 082 072, being the sum of the 2019 allocation of EUR 585 829 691, plus the 2018 allocation of EUR 265 252 381 that remained unspent and was carried over to 2019.</w:t>
      </w:r>
    </w:p>
    <w:p>
      <w:pPr>
        <w:spacing w:before="120" w:after="120"/>
        <w:jc w:val="both"/>
        <w:rPr>
          <w:noProof/>
        </w:rPr>
      </w:pPr>
      <w:r>
        <w:rPr>
          <w:noProof/>
        </w:rPr>
        <w:t>The amount that may be mobilised at this stage of the year 2019 is EUR 704 624 649. This corresponds to the total amount available for the mobilisation of the EUSF at the beginning of 2019 (EUR 851 082 072), minus the retained amount of EUR 146 457 423 in order to respect the obligation of keeping aside 25 % of the 2019 annual allocation until 1 October 2019 as stipulated by Article 10(1) of the MFF regulation.</w:t>
      </w:r>
    </w:p>
    <w:tbl>
      <w:tblPr>
        <w:tblStyle w:val="TableGrid"/>
        <w:tblW w:w="0" w:type="auto"/>
        <w:jc w:val="center"/>
        <w:tblLook w:val="04A0" w:firstRow="1" w:lastRow="0" w:firstColumn="1" w:lastColumn="0" w:noHBand="0" w:noVBand="1"/>
      </w:tblPr>
      <w:tblGrid>
        <w:gridCol w:w="6703"/>
        <w:gridCol w:w="1897"/>
      </w:tblGrid>
      <w:tr>
        <w:trPr>
          <w:trHeight w:val="490"/>
          <w:jc w:val="center"/>
        </w:trPr>
        <w:tc>
          <w:tcPr>
            <w:tcW w:w="6703" w:type="dxa"/>
            <w:shd w:val="clear" w:color="auto" w:fill="D9D9D9" w:themeFill="background1" w:themeFillShade="D9"/>
            <w:vAlign w:val="center"/>
          </w:tcPr>
          <w:p>
            <w:pPr>
              <w:keepNext/>
              <w:jc w:val="center"/>
              <w:rPr>
                <w:b/>
                <w:noProof/>
                <w:sz w:val="16"/>
                <w:szCs w:val="16"/>
              </w:rPr>
            </w:pPr>
            <w:r>
              <w:rPr>
                <w:b/>
                <w:noProof/>
                <w:sz w:val="20"/>
                <w:szCs w:val="20"/>
              </w:rPr>
              <w:t>EUSF financing summary table</w:t>
            </w:r>
          </w:p>
        </w:tc>
        <w:tc>
          <w:tcPr>
            <w:tcW w:w="1897" w:type="dxa"/>
            <w:shd w:val="clear" w:color="auto" w:fill="D9D9D9" w:themeFill="background1" w:themeFillShade="D9"/>
            <w:vAlign w:val="center"/>
          </w:tcPr>
          <w:p>
            <w:pPr>
              <w:keepNext/>
              <w:jc w:val="center"/>
              <w:rPr>
                <w:b/>
                <w:noProof/>
                <w:sz w:val="16"/>
                <w:szCs w:val="16"/>
              </w:rPr>
            </w:pPr>
            <w:r>
              <w:rPr>
                <w:b/>
                <w:noProof/>
                <w:sz w:val="16"/>
                <w:szCs w:val="16"/>
              </w:rPr>
              <w:t>Amount</w:t>
            </w:r>
          </w:p>
          <w:p>
            <w:pPr>
              <w:keepNext/>
              <w:jc w:val="center"/>
              <w:rPr>
                <w:noProof/>
                <w:sz w:val="16"/>
                <w:szCs w:val="16"/>
              </w:rPr>
            </w:pPr>
            <w:r>
              <w:rPr>
                <w:b/>
                <w:noProof/>
                <w:sz w:val="16"/>
                <w:szCs w:val="16"/>
              </w:rPr>
              <w:t>EUR</w:t>
            </w:r>
          </w:p>
        </w:tc>
      </w:tr>
      <w:tr>
        <w:trPr>
          <w:trHeight w:val="258"/>
          <w:jc w:val="center"/>
        </w:trPr>
        <w:tc>
          <w:tcPr>
            <w:tcW w:w="6703" w:type="dxa"/>
          </w:tcPr>
          <w:p>
            <w:pPr>
              <w:keepNext/>
              <w:rPr>
                <w:noProof/>
                <w:sz w:val="16"/>
                <w:szCs w:val="16"/>
              </w:rPr>
            </w:pPr>
            <w:r>
              <w:rPr>
                <w:noProof/>
                <w:sz w:val="16"/>
                <w:szCs w:val="16"/>
              </w:rPr>
              <w:t>2018 allocation carried forward to 2019</w:t>
            </w:r>
          </w:p>
        </w:tc>
        <w:tc>
          <w:tcPr>
            <w:tcW w:w="1897" w:type="dxa"/>
          </w:tcPr>
          <w:p>
            <w:pPr>
              <w:keepNext/>
              <w:jc w:val="right"/>
              <w:rPr>
                <w:noProof/>
                <w:sz w:val="16"/>
                <w:szCs w:val="16"/>
              </w:rPr>
            </w:pPr>
            <w:r>
              <w:rPr>
                <w:noProof/>
                <w:sz w:val="16"/>
                <w:szCs w:val="16"/>
              </w:rPr>
              <w:t>265 252 381</w:t>
            </w:r>
          </w:p>
        </w:tc>
      </w:tr>
      <w:tr>
        <w:trPr>
          <w:trHeight w:val="245"/>
          <w:jc w:val="center"/>
        </w:trPr>
        <w:tc>
          <w:tcPr>
            <w:tcW w:w="6703" w:type="dxa"/>
          </w:tcPr>
          <w:p>
            <w:pPr>
              <w:keepNext/>
              <w:rPr>
                <w:noProof/>
                <w:sz w:val="16"/>
                <w:szCs w:val="16"/>
              </w:rPr>
            </w:pPr>
            <w:r>
              <w:rPr>
                <w:noProof/>
                <w:sz w:val="16"/>
                <w:szCs w:val="16"/>
              </w:rPr>
              <w:t>2019 allocation</w:t>
            </w:r>
          </w:p>
        </w:tc>
        <w:tc>
          <w:tcPr>
            <w:tcW w:w="1897" w:type="dxa"/>
          </w:tcPr>
          <w:p>
            <w:pPr>
              <w:keepNext/>
              <w:jc w:val="right"/>
              <w:rPr>
                <w:noProof/>
                <w:sz w:val="16"/>
                <w:szCs w:val="16"/>
              </w:rPr>
            </w:pPr>
            <w:r>
              <w:rPr>
                <w:noProof/>
                <w:sz w:val="16"/>
                <w:szCs w:val="16"/>
              </w:rPr>
              <w:t>585 829 691</w:t>
            </w:r>
          </w:p>
          <w:p>
            <w:pPr>
              <w:keepNext/>
              <w:jc w:val="right"/>
              <w:rPr>
                <w:noProof/>
                <w:sz w:val="16"/>
                <w:szCs w:val="16"/>
              </w:rPr>
            </w:pPr>
            <w:r>
              <w:rPr>
                <w:noProof/>
                <w:sz w:val="16"/>
                <w:szCs w:val="16"/>
              </w:rPr>
              <w:t>---------------</w:t>
            </w:r>
          </w:p>
        </w:tc>
      </w:tr>
      <w:tr>
        <w:trPr>
          <w:trHeight w:val="245"/>
          <w:jc w:val="center"/>
        </w:trPr>
        <w:tc>
          <w:tcPr>
            <w:tcW w:w="6703" w:type="dxa"/>
          </w:tcPr>
          <w:p>
            <w:pPr>
              <w:keepNext/>
              <w:rPr>
                <w:b/>
                <w:noProof/>
                <w:sz w:val="16"/>
                <w:szCs w:val="16"/>
              </w:rPr>
            </w:pPr>
            <w:r>
              <w:rPr>
                <w:b/>
                <w:noProof/>
                <w:sz w:val="16"/>
                <w:szCs w:val="16"/>
              </w:rPr>
              <w:t>Total available at the beginning of 2019</w:t>
            </w:r>
          </w:p>
        </w:tc>
        <w:tc>
          <w:tcPr>
            <w:tcW w:w="1897" w:type="dxa"/>
          </w:tcPr>
          <w:p>
            <w:pPr>
              <w:keepNext/>
              <w:jc w:val="right"/>
              <w:rPr>
                <w:b/>
                <w:noProof/>
                <w:sz w:val="16"/>
                <w:szCs w:val="16"/>
              </w:rPr>
            </w:pPr>
            <w:r>
              <w:rPr>
                <w:b/>
                <w:noProof/>
                <w:sz w:val="16"/>
                <w:szCs w:val="16"/>
              </w:rPr>
              <w:t>851 082 072</w:t>
            </w:r>
          </w:p>
        </w:tc>
      </w:tr>
      <w:tr>
        <w:trPr>
          <w:trHeight w:val="299"/>
          <w:jc w:val="center"/>
        </w:trPr>
        <w:tc>
          <w:tcPr>
            <w:tcW w:w="6703" w:type="dxa"/>
          </w:tcPr>
          <w:p>
            <w:pPr>
              <w:keepNext/>
              <w:rPr>
                <w:noProof/>
                <w:sz w:val="16"/>
                <w:szCs w:val="16"/>
              </w:rPr>
            </w:pPr>
            <w:r>
              <w:rPr>
                <w:noProof/>
                <w:sz w:val="16"/>
                <w:szCs w:val="16"/>
              </w:rPr>
              <w:t>Minus 25% of the 2019 allocation retained</w:t>
            </w:r>
          </w:p>
        </w:tc>
        <w:tc>
          <w:tcPr>
            <w:tcW w:w="1897" w:type="dxa"/>
          </w:tcPr>
          <w:p>
            <w:pPr>
              <w:keepNext/>
              <w:jc w:val="right"/>
              <w:rPr>
                <w:noProof/>
                <w:sz w:val="16"/>
                <w:szCs w:val="16"/>
              </w:rPr>
            </w:pPr>
            <w:r>
              <w:rPr>
                <w:noProof/>
                <w:sz w:val="16"/>
                <w:szCs w:val="16"/>
              </w:rPr>
              <w:t>-146 457 423</w:t>
            </w:r>
          </w:p>
          <w:p>
            <w:pPr>
              <w:keepNext/>
              <w:jc w:val="right"/>
              <w:rPr>
                <w:noProof/>
                <w:sz w:val="16"/>
                <w:szCs w:val="16"/>
              </w:rPr>
            </w:pPr>
            <w:r>
              <w:rPr>
                <w:noProof/>
                <w:sz w:val="16"/>
                <w:szCs w:val="16"/>
              </w:rPr>
              <w:t>----------------</w:t>
            </w:r>
          </w:p>
        </w:tc>
      </w:tr>
      <w:tr>
        <w:trPr>
          <w:trHeight w:val="245"/>
          <w:jc w:val="center"/>
        </w:trPr>
        <w:tc>
          <w:tcPr>
            <w:tcW w:w="6703" w:type="dxa"/>
          </w:tcPr>
          <w:p>
            <w:pPr>
              <w:keepNext/>
              <w:rPr>
                <w:b/>
                <w:noProof/>
                <w:sz w:val="16"/>
                <w:szCs w:val="16"/>
              </w:rPr>
            </w:pPr>
            <w:r>
              <w:rPr>
                <w:b/>
                <w:noProof/>
                <w:sz w:val="16"/>
                <w:szCs w:val="16"/>
              </w:rPr>
              <w:t>Maximum amount currently available (2018+2019 allocations)</w:t>
            </w:r>
          </w:p>
        </w:tc>
        <w:tc>
          <w:tcPr>
            <w:tcW w:w="1897" w:type="dxa"/>
          </w:tcPr>
          <w:p>
            <w:pPr>
              <w:keepNext/>
              <w:jc w:val="right"/>
              <w:rPr>
                <w:b/>
                <w:noProof/>
                <w:sz w:val="16"/>
                <w:szCs w:val="16"/>
              </w:rPr>
            </w:pPr>
            <w:r>
              <w:rPr>
                <w:b/>
                <w:noProof/>
                <w:sz w:val="16"/>
                <w:szCs w:val="16"/>
              </w:rPr>
              <w:t>704 624 649</w:t>
            </w:r>
          </w:p>
        </w:tc>
      </w:tr>
      <w:tr>
        <w:trPr>
          <w:trHeight w:val="245"/>
          <w:jc w:val="center"/>
        </w:trPr>
        <w:tc>
          <w:tcPr>
            <w:tcW w:w="6703" w:type="dxa"/>
          </w:tcPr>
          <w:p>
            <w:pPr>
              <w:keepNext/>
              <w:rPr>
                <w:bCs/>
                <w:noProof/>
                <w:sz w:val="16"/>
                <w:szCs w:val="16"/>
              </w:rPr>
            </w:pPr>
            <w:r>
              <w:rPr>
                <w:bCs/>
                <w:noProof/>
                <w:sz w:val="16"/>
                <w:szCs w:val="16"/>
              </w:rPr>
              <w:t>Total amount of aid proposed to be mobilised for Romania, Italy and Austria</w:t>
            </w:r>
          </w:p>
        </w:tc>
        <w:tc>
          <w:tcPr>
            <w:tcW w:w="1897" w:type="dxa"/>
          </w:tcPr>
          <w:p>
            <w:pPr>
              <w:keepNext/>
              <w:jc w:val="right"/>
              <w:rPr>
                <w:bCs/>
                <w:noProof/>
                <w:sz w:val="16"/>
                <w:szCs w:val="16"/>
                <w:u w:val="single"/>
              </w:rPr>
            </w:pPr>
            <w:r>
              <w:rPr>
                <w:bCs/>
                <w:noProof/>
                <w:sz w:val="16"/>
                <w:szCs w:val="16"/>
                <w:u w:val="single"/>
              </w:rPr>
              <w:t>- 293 551 794</w:t>
            </w:r>
          </w:p>
        </w:tc>
      </w:tr>
      <w:tr>
        <w:trPr>
          <w:trHeight w:val="258"/>
          <w:jc w:val="center"/>
        </w:trPr>
        <w:tc>
          <w:tcPr>
            <w:tcW w:w="6703" w:type="dxa"/>
          </w:tcPr>
          <w:p>
            <w:pPr>
              <w:keepNext/>
              <w:rPr>
                <w:b/>
                <w:noProof/>
                <w:sz w:val="16"/>
                <w:szCs w:val="16"/>
              </w:rPr>
            </w:pPr>
            <w:r>
              <w:rPr>
                <w:b/>
                <w:noProof/>
                <w:sz w:val="16"/>
                <w:szCs w:val="16"/>
              </w:rPr>
              <w:t>Remaining availabilities until 1 October 2019</w:t>
            </w:r>
          </w:p>
        </w:tc>
        <w:tc>
          <w:tcPr>
            <w:tcW w:w="1897" w:type="dxa"/>
          </w:tcPr>
          <w:p>
            <w:pPr>
              <w:keepNext/>
              <w:jc w:val="right"/>
              <w:rPr>
                <w:b/>
                <w:noProof/>
                <w:sz w:val="16"/>
                <w:szCs w:val="16"/>
              </w:rPr>
            </w:pPr>
            <w:r>
              <w:rPr>
                <w:b/>
                <w:noProof/>
                <w:sz w:val="16"/>
                <w:szCs w:val="16"/>
              </w:rPr>
              <w:t>411 072 855</w:t>
            </w:r>
          </w:p>
        </w:tc>
      </w:tr>
    </w:tbl>
    <w:p>
      <w:pPr>
        <w:pStyle w:val="ManualHeading1"/>
        <w:rPr>
          <w:noProof/>
        </w:rPr>
      </w:pPr>
      <w:bookmarkStart w:id="20" w:name="_Toc484781561"/>
      <w:bookmarkStart w:id="21" w:name="_Toc514181801"/>
      <w:bookmarkStart w:id="22" w:name="_Toc8050774"/>
      <w:r>
        <w:rPr>
          <w:noProof/>
        </w:rPr>
        <w:t>3.</w:t>
      </w:r>
      <w:r>
        <w:rPr>
          <w:noProof/>
        </w:rPr>
        <w:tab/>
        <w:t xml:space="preserve">Appropriations requested in the budget of </w:t>
      </w:r>
      <w:bookmarkEnd w:id="20"/>
      <w:r>
        <w:rPr>
          <w:noProof/>
        </w:rPr>
        <w:t>201</w:t>
      </w:r>
      <w:bookmarkEnd w:id="21"/>
      <w:r>
        <w:rPr>
          <w:noProof/>
        </w:rPr>
        <w:t>9</w:t>
      </w:r>
      <w:bookmarkEnd w:id="22"/>
    </w:p>
    <w:p>
      <w:pPr>
        <w:spacing w:before="120" w:after="120"/>
        <w:jc w:val="both"/>
        <w:rPr>
          <w:noProof/>
        </w:rPr>
      </w:pPr>
      <w:r>
        <w:rPr>
          <w:noProof/>
        </w:rPr>
        <w:t>On the basis of the applications from Romania, Italy and Austria, the calculation of the finacial contribution from the EUSF, based on the estimate of total direct damages, is set at EU 293 551 794. T</w:t>
      </w:r>
      <w:r>
        <w:rPr>
          <w:noProof/>
          <w:snapToGrid w:val="0"/>
        </w:rPr>
        <w:t xml:space="preserve">he Commission proposes </w:t>
      </w:r>
      <w:r>
        <w:rPr>
          <w:noProof/>
        </w:rPr>
        <w:t xml:space="preserve">to amend the budget 2019 by increasing budget line </w:t>
      </w:r>
      <w:r>
        <w:rPr>
          <w:i/>
          <w:noProof/>
        </w:rPr>
        <w:t>13 06 01 'Assistance to Member States in the event of a major natural disaster with serious repercussions on living conditions, the natural environment or the economy</w:t>
      </w:r>
      <w:r>
        <w:rPr>
          <w:noProof/>
        </w:rPr>
        <w:t>' by EUR 293 551 794 both in commitment and payment appropriations (see table below).</w:t>
      </w:r>
    </w:p>
    <w:p>
      <w:pPr>
        <w:spacing w:before="120" w:after="120"/>
        <w:jc w:val="both"/>
        <w:rPr>
          <w:noProof/>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03"/>
        <w:gridCol w:w="1701"/>
        <w:gridCol w:w="1701"/>
      </w:tblGrid>
      <w:tr>
        <w:tc>
          <w:tcPr>
            <w:tcW w:w="9781" w:type="dxa"/>
            <w:gridSpan w:val="4"/>
            <w:tcBorders>
              <w:top w:val="nil"/>
              <w:left w:val="nil"/>
              <w:bottom w:val="single" w:sz="4" w:space="0" w:color="auto"/>
              <w:right w:val="nil"/>
            </w:tcBorders>
            <w:shd w:val="clear" w:color="auto" w:fill="FFFFFF" w:themeFill="background1"/>
            <w:vAlign w:val="center"/>
          </w:tcPr>
          <w:p>
            <w:pPr>
              <w:widowControl w:val="0"/>
              <w:spacing w:before="15" w:after="15"/>
              <w:jc w:val="right"/>
              <w:rPr>
                <w:b/>
                <w:noProof/>
                <w:sz w:val="22"/>
                <w:szCs w:val="22"/>
              </w:rPr>
            </w:pPr>
            <w:r>
              <w:rPr>
                <w:i/>
                <w:noProof/>
                <w:sz w:val="22"/>
                <w:szCs w:val="22"/>
                <w:shd w:val="clear" w:color="auto" w:fill="FFFFFF" w:themeFill="background1"/>
              </w:rPr>
              <w:t>Amounts in</w:t>
            </w:r>
            <w:r>
              <w:rPr>
                <w:i/>
                <w:noProof/>
                <w:sz w:val="22"/>
                <w:szCs w:val="22"/>
              </w:rPr>
              <w:t xml:space="preserve"> EUR</w:t>
            </w:r>
          </w:p>
        </w:tc>
      </w:tr>
      <w:tr>
        <w:tc>
          <w:tcPr>
            <w:tcW w:w="1276" w:type="dxa"/>
            <w:tcBorders>
              <w:top w:val="single" w:sz="4" w:space="0" w:color="auto"/>
            </w:tcBorders>
            <w:shd w:val="clear" w:color="auto" w:fill="D9D9D9"/>
            <w:vAlign w:val="center"/>
          </w:tcPr>
          <w:p>
            <w:pPr>
              <w:widowControl w:val="0"/>
              <w:spacing w:before="15" w:after="15"/>
              <w:jc w:val="center"/>
              <w:rPr>
                <w:b/>
                <w:noProof/>
                <w:sz w:val="22"/>
                <w:szCs w:val="22"/>
              </w:rPr>
            </w:pPr>
            <w:r>
              <w:rPr>
                <w:b/>
                <w:noProof/>
                <w:sz w:val="22"/>
                <w:szCs w:val="22"/>
              </w:rPr>
              <w:t>Budget line</w:t>
            </w:r>
          </w:p>
        </w:tc>
        <w:tc>
          <w:tcPr>
            <w:tcW w:w="5103" w:type="dxa"/>
            <w:tcBorders>
              <w:top w:val="single" w:sz="4" w:space="0" w:color="auto"/>
            </w:tcBorders>
            <w:shd w:val="clear" w:color="auto" w:fill="D9D9D9"/>
            <w:vAlign w:val="center"/>
          </w:tcPr>
          <w:p>
            <w:pPr>
              <w:widowControl w:val="0"/>
              <w:spacing w:before="15" w:after="15"/>
              <w:jc w:val="center"/>
              <w:rPr>
                <w:b/>
                <w:noProof/>
                <w:sz w:val="22"/>
                <w:szCs w:val="22"/>
              </w:rPr>
            </w:pPr>
            <w:r>
              <w:rPr>
                <w:b/>
                <w:noProof/>
                <w:sz w:val="22"/>
                <w:szCs w:val="22"/>
              </w:rPr>
              <w:t>Name</w:t>
            </w:r>
          </w:p>
        </w:tc>
        <w:tc>
          <w:tcPr>
            <w:tcW w:w="1701" w:type="dxa"/>
            <w:tcBorders>
              <w:top w:val="single" w:sz="4" w:space="0" w:color="auto"/>
            </w:tcBorders>
            <w:shd w:val="clear" w:color="auto" w:fill="D9D9D9"/>
          </w:tcPr>
          <w:p>
            <w:pPr>
              <w:widowControl w:val="0"/>
              <w:spacing w:before="15" w:after="15"/>
              <w:jc w:val="center"/>
              <w:rPr>
                <w:b/>
                <w:noProof/>
                <w:sz w:val="22"/>
                <w:szCs w:val="22"/>
              </w:rPr>
            </w:pPr>
            <w:r>
              <w:rPr>
                <w:b/>
                <w:noProof/>
                <w:sz w:val="22"/>
                <w:szCs w:val="22"/>
              </w:rPr>
              <w:t>Commitment appropriations</w:t>
            </w:r>
          </w:p>
        </w:tc>
        <w:tc>
          <w:tcPr>
            <w:tcW w:w="1701" w:type="dxa"/>
            <w:tcBorders>
              <w:top w:val="single" w:sz="4" w:space="0" w:color="auto"/>
            </w:tcBorders>
            <w:shd w:val="clear" w:color="auto" w:fill="D9D9D9"/>
            <w:vAlign w:val="center"/>
          </w:tcPr>
          <w:p>
            <w:pPr>
              <w:widowControl w:val="0"/>
              <w:spacing w:before="15" w:after="15"/>
              <w:jc w:val="center"/>
              <w:rPr>
                <w:b/>
                <w:noProof/>
                <w:sz w:val="22"/>
                <w:szCs w:val="22"/>
              </w:rPr>
            </w:pPr>
            <w:r>
              <w:rPr>
                <w:b/>
                <w:noProof/>
                <w:sz w:val="22"/>
                <w:szCs w:val="22"/>
              </w:rPr>
              <w:t>Payment appropriations</w:t>
            </w:r>
          </w:p>
        </w:tc>
      </w:tr>
      <w:tr>
        <w:tc>
          <w:tcPr>
            <w:tcW w:w="1276" w:type="dxa"/>
          </w:tcPr>
          <w:p>
            <w:pPr>
              <w:widowControl w:val="0"/>
              <w:spacing w:before="15" w:after="15"/>
              <w:ind w:right="-113"/>
              <w:jc w:val="both"/>
              <w:rPr>
                <w:noProof/>
                <w:sz w:val="22"/>
                <w:szCs w:val="22"/>
              </w:rPr>
            </w:pPr>
            <w:r>
              <w:rPr>
                <w:noProof/>
                <w:sz w:val="22"/>
                <w:szCs w:val="22"/>
              </w:rPr>
              <w:t>13 06 01</w:t>
            </w:r>
          </w:p>
        </w:tc>
        <w:tc>
          <w:tcPr>
            <w:tcW w:w="5103" w:type="dxa"/>
          </w:tcPr>
          <w:p>
            <w:pPr>
              <w:widowControl w:val="0"/>
              <w:spacing w:before="15" w:after="15"/>
              <w:ind w:right="-113"/>
              <w:jc w:val="both"/>
              <w:rPr>
                <w:noProof/>
                <w:sz w:val="22"/>
                <w:szCs w:val="22"/>
              </w:rPr>
            </w:pPr>
            <w:r>
              <w:rPr>
                <w:noProof/>
                <w:sz w:val="22"/>
                <w:szCs w:val="22"/>
              </w:rPr>
              <w:t>Assistance to Member States in the event of a major natural disaster with serious repercussions on living conditions, the natural environment or the economy</w:t>
            </w:r>
          </w:p>
        </w:tc>
        <w:tc>
          <w:tcPr>
            <w:tcW w:w="1701" w:type="dxa"/>
          </w:tcPr>
          <w:p>
            <w:pPr>
              <w:widowControl w:val="0"/>
              <w:spacing w:before="15" w:after="15"/>
              <w:jc w:val="right"/>
              <w:rPr>
                <w:noProof/>
                <w:sz w:val="22"/>
                <w:szCs w:val="22"/>
              </w:rPr>
            </w:pPr>
            <w:r>
              <w:rPr>
                <w:noProof/>
              </w:rPr>
              <w:t>293 551 794</w:t>
            </w:r>
          </w:p>
        </w:tc>
        <w:tc>
          <w:tcPr>
            <w:tcW w:w="1701" w:type="dxa"/>
          </w:tcPr>
          <w:p>
            <w:pPr>
              <w:widowControl w:val="0"/>
              <w:spacing w:before="15" w:after="15"/>
              <w:jc w:val="right"/>
              <w:rPr>
                <w:noProof/>
                <w:sz w:val="22"/>
                <w:szCs w:val="22"/>
              </w:rPr>
            </w:pPr>
            <w:r>
              <w:rPr>
                <w:noProof/>
              </w:rPr>
              <w:t>293 551 794</w:t>
            </w:r>
          </w:p>
        </w:tc>
      </w:tr>
      <w:tr>
        <w:tc>
          <w:tcPr>
            <w:tcW w:w="6379" w:type="dxa"/>
            <w:gridSpan w:val="2"/>
            <w:shd w:val="clear" w:color="auto" w:fill="D9D9D9"/>
          </w:tcPr>
          <w:p>
            <w:pPr>
              <w:widowControl w:val="0"/>
              <w:tabs>
                <w:tab w:val="left" w:pos="975"/>
              </w:tabs>
              <w:spacing w:before="15" w:after="15"/>
              <w:jc w:val="both"/>
              <w:rPr>
                <w:b/>
                <w:noProof/>
                <w:sz w:val="22"/>
                <w:szCs w:val="22"/>
              </w:rPr>
            </w:pPr>
            <w:r>
              <w:rPr>
                <w:b/>
                <w:noProof/>
                <w:sz w:val="22"/>
                <w:szCs w:val="22"/>
              </w:rPr>
              <w:t>Total</w:t>
            </w:r>
            <w:r>
              <w:rPr>
                <w:b/>
                <w:noProof/>
                <w:sz w:val="22"/>
                <w:szCs w:val="22"/>
              </w:rPr>
              <w:tab/>
            </w:r>
          </w:p>
        </w:tc>
        <w:tc>
          <w:tcPr>
            <w:tcW w:w="1701" w:type="dxa"/>
            <w:shd w:val="clear" w:color="auto" w:fill="D9D9D9"/>
          </w:tcPr>
          <w:p>
            <w:pPr>
              <w:widowControl w:val="0"/>
              <w:spacing w:before="15" w:after="15"/>
              <w:jc w:val="right"/>
              <w:rPr>
                <w:b/>
                <w:noProof/>
                <w:sz w:val="22"/>
                <w:szCs w:val="22"/>
              </w:rPr>
            </w:pPr>
            <w:r>
              <w:rPr>
                <w:b/>
                <w:noProof/>
              </w:rPr>
              <w:t>293 551 794</w:t>
            </w:r>
          </w:p>
        </w:tc>
        <w:tc>
          <w:tcPr>
            <w:tcW w:w="1701" w:type="dxa"/>
            <w:shd w:val="clear" w:color="auto" w:fill="D9D9D9"/>
          </w:tcPr>
          <w:p>
            <w:pPr>
              <w:widowControl w:val="0"/>
              <w:spacing w:before="15" w:after="15"/>
              <w:jc w:val="right"/>
              <w:rPr>
                <w:b/>
                <w:noProof/>
                <w:sz w:val="22"/>
                <w:szCs w:val="22"/>
              </w:rPr>
            </w:pPr>
            <w:r>
              <w:rPr>
                <w:b/>
                <w:noProof/>
              </w:rPr>
              <w:t>293 551 794</w:t>
            </w:r>
          </w:p>
        </w:tc>
      </w:tr>
    </w:tbl>
    <w:p>
      <w:pPr>
        <w:pStyle w:val="ManualHeading1"/>
        <w:pageBreakBefore/>
        <w:rPr>
          <w:noProof/>
        </w:rPr>
      </w:pPr>
      <w:bookmarkStart w:id="23" w:name="_Toc514181802"/>
      <w:bookmarkStart w:id="24" w:name="_Toc8050775"/>
      <w:bookmarkEnd w:id="17"/>
      <w:bookmarkEnd w:id="18"/>
      <w:bookmarkEnd w:id="19"/>
      <w:r>
        <w:rPr>
          <w:noProof/>
        </w:rPr>
        <w:t>4.</w:t>
      </w:r>
      <w:r>
        <w:rPr>
          <w:noProof/>
        </w:rPr>
        <w:tab/>
        <w:t>Summary table by MFF heading</w:t>
      </w:r>
      <w:bookmarkEnd w:id="23"/>
      <w:bookmarkEnd w:id="24"/>
    </w:p>
    <w:tbl>
      <w:tblPr>
        <w:tblW w:w="10800" w:type="dxa"/>
        <w:jc w:val="center"/>
        <w:tblLook w:val="04A0" w:firstRow="1" w:lastRow="0" w:firstColumn="1" w:lastColumn="0" w:noHBand="0" w:noVBand="1"/>
      </w:tblPr>
      <w:tblGrid>
        <w:gridCol w:w="356"/>
        <w:gridCol w:w="2678"/>
        <w:gridCol w:w="1347"/>
        <w:gridCol w:w="1347"/>
        <w:gridCol w:w="1189"/>
        <w:gridCol w:w="1189"/>
        <w:gridCol w:w="1347"/>
        <w:gridCol w:w="1347"/>
      </w:tblGrid>
      <w:tr>
        <w:trPr>
          <w:trHeight w:val="210"/>
          <w:jc w:val="center"/>
        </w:trPr>
        <w:tc>
          <w:tcPr>
            <w:tcW w:w="2960" w:type="dxa"/>
            <w:gridSpan w:val="2"/>
            <w:vMerge w:val="restart"/>
            <w:tcBorders>
              <w:top w:val="single" w:sz="4" w:space="0" w:color="auto"/>
              <w:left w:val="single" w:sz="4" w:space="0" w:color="auto"/>
              <w:bottom w:val="nil"/>
              <w:right w:val="single" w:sz="4" w:space="0" w:color="000000"/>
            </w:tcBorders>
            <w:shd w:val="clear" w:color="000000" w:fill="D9D9D9"/>
            <w:vAlign w:val="center"/>
            <w:hideMark/>
          </w:tcPr>
          <w:bookmarkEnd w:id="10"/>
          <w:bookmarkEnd w:id="11"/>
          <w:bookmarkEnd w:id="15"/>
          <w:bookmarkEnd w:id="16"/>
          <w:bookmarkEnd w:id="3"/>
          <w:bookmarkEnd w:id="4"/>
          <w:p>
            <w:pPr>
              <w:jc w:val="center"/>
              <w:rPr>
                <w:b/>
                <w:bCs/>
                <w:noProof/>
                <w:color w:val="000000"/>
                <w:sz w:val="14"/>
                <w:szCs w:val="14"/>
              </w:rPr>
            </w:pPr>
            <w:r>
              <w:rPr>
                <w:b/>
                <w:bCs/>
                <w:noProof/>
                <w:color w:val="000000"/>
                <w:sz w:val="14"/>
                <w:szCs w:val="14"/>
              </w:rPr>
              <w:t>Heading</w:t>
            </w:r>
          </w:p>
        </w:tc>
        <w:tc>
          <w:tcPr>
            <w:tcW w:w="2720"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4"/>
                <w:szCs w:val="14"/>
              </w:rPr>
            </w:pPr>
            <w:r>
              <w:rPr>
                <w:b/>
                <w:bCs/>
                <w:noProof/>
                <w:color w:val="000000"/>
                <w:sz w:val="14"/>
                <w:szCs w:val="14"/>
              </w:rPr>
              <w:t>Budget 2019</w:t>
            </w:r>
          </w:p>
        </w:tc>
        <w:tc>
          <w:tcPr>
            <w:tcW w:w="2400"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pPr>
              <w:jc w:val="center"/>
              <w:rPr>
                <w:b/>
                <w:bCs/>
                <w:noProof/>
                <w:color w:val="000000"/>
                <w:sz w:val="14"/>
                <w:szCs w:val="14"/>
              </w:rPr>
            </w:pPr>
            <w:r>
              <w:rPr>
                <w:b/>
                <w:bCs/>
                <w:noProof/>
                <w:color w:val="000000"/>
                <w:sz w:val="14"/>
                <w:szCs w:val="14"/>
              </w:rPr>
              <w:t>Draft Amending Budget 3/2019</w:t>
            </w:r>
          </w:p>
        </w:tc>
        <w:tc>
          <w:tcPr>
            <w:tcW w:w="2720"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4"/>
                <w:szCs w:val="14"/>
              </w:rPr>
            </w:pPr>
            <w:r>
              <w:rPr>
                <w:b/>
                <w:bCs/>
                <w:noProof/>
                <w:color w:val="000000"/>
                <w:sz w:val="14"/>
                <w:szCs w:val="14"/>
              </w:rPr>
              <w:t>Budget 2019</w:t>
            </w:r>
          </w:p>
        </w:tc>
      </w:tr>
      <w:tr>
        <w:trPr>
          <w:trHeight w:val="210"/>
          <w:jc w:val="center"/>
        </w:trPr>
        <w:tc>
          <w:tcPr>
            <w:tcW w:w="2960"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4"/>
                <w:szCs w:val="14"/>
              </w:rPr>
            </w:pPr>
          </w:p>
        </w:tc>
        <w:tc>
          <w:tcPr>
            <w:tcW w:w="2720"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4"/>
                <w:szCs w:val="14"/>
              </w:rPr>
            </w:pPr>
            <w:r>
              <w:rPr>
                <w:b/>
                <w:bCs/>
                <w:noProof/>
                <w:color w:val="000000"/>
                <w:sz w:val="14"/>
                <w:szCs w:val="14"/>
              </w:rPr>
              <w:t>(incl. DAB 1-2/2019)</w:t>
            </w:r>
          </w:p>
        </w:tc>
        <w:tc>
          <w:tcPr>
            <w:tcW w:w="2400" w:type="dxa"/>
            <w:gridSpan w:val="2"/>
            <w:vMerge/>
            <w:tcBorders>
              <w:top w:val="single" w:sz="4" w:space="0" w:color="auto"/>
              <w:left w:val="single" w:sz="4" w:space="0" w:color="auto"/>
              <w:bottom w:val="single" w:sz="4" w:space="0" w:color="000000"/>
              <w:right w:val="single" w:sz="4" w:space="0" w:color="000000"/>
            </w:tcBorders>
            <w:vAlign w:val="center"/>
            <w:hideMark/>
          </w:tcPr>
          <w:p>
            <w:pPr>
              <w:rPr>
                <w:b/>
                <w:bCs/>
                <w:noProof/>
                <w:color w:val="000000"/>
                <w:sz w:val="14"/>
                <w:szCs w:val="14"/>
              </w:rPr>
            </w:pPr>
          </w:p>
        </w:tc>
        <w:tc>
          <w:tcPr>
            <w:tcW w:w="2720"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4"/>
                <w:szCs w:val="14"/>
              </w:rPr>
            </w:pPr>
            <w:r>
              <w:rPr>
                <w:b/>
                <w:bCs/>
                <w:noProof/>
                <w:color w:val="000000"/>
                <w:sz w:val="14"/>
                <w:szCs w:val="14"/>
              </w:rPr>
              <w:t>(incl. DAB 1-3/2019)</w:t>
            </w:r>
          </w:p>
        </w:tc>
      </w:tr>
      <w:tr>
        <w:trPr>
          <w:trHeight w:val="210"/>
          <w:jc w:val="center"/>
        </w:trPr>
        <w:tc>
          <w:tcPr>
            <w:tcW w:w="2960"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4"/>
                <w:szCs w:val="14"/>
              </w:rPr>
            </w:pPr>
          </w:p>
        </w:tc>
        <w:tc>
          <w:tcPr>
            <w:tcW w:w="1360" w:type="dxa"/>
            <w:tcBorders>
              <w:top w:val="nil"/>
              <w:left w:val="nil"/>
              <w:bottom w:val="nil"/>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CA</w:t>
            </w:r>
          </w:p>
        </w:tc>
        <w:tc>
          <w:tcPr>
            <w:tcW w:w="136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PA</w:t>
            </w:r>
          </w:p>
        </w:tc>
        <w:tc>
          <w:tcPr>
            <w:tcW w:w="120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CA</w:t>
            </w:r>
          </w:p>
        </w:tc>
        <w:tc>
          <w:tcPr>
            <w:tcW w:w="120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PA</w:t>
            </w:r>
          </w:p>
        </w:tc>
        <w:tc>
          <w:tcPr>
            <w:tcW w:w="136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CA</w:t>
            </w:r>
          </w:p>
        </w:tc>
        <w:tc>
          <w:tcPr>
            <w:tcW w:w="136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PA</w:t>
            </w:r>
          </w:p>
        </w:tc>
      </w:tr>
      <w:tr>
        <w:trPr>
          <w:trHeight w:val="225"/>
          <w:jc w:val="center"/>
        </w:trPr>
        <w:tc>
          <w:tcPr>
            <w:tcW w:w="260" w:type="dxa"/>
            <w:tcBorders>
              <w:top w:val="single" w:sz="4" w:space="0" w:color="auto"/>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color w:val="000000"/>
                <w:sz w:val="14"/>
                <w:szCs w:val="14"/>
              </w:rPr>
              <w:t>1.</w:t>
            </w:r>
          </w:p>
        </w:tc>
        <w:tc>
          <w:tcPr>
            <w:tcW w:w="2700" w:type="dxa"/>
            <w:tcBorders>
              <w:top w:val="single" w:sz="4" w:space="0" w:color="auto"/>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Smart and inclusive growth</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80 627 449 848</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67 556 947 173</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80 627 449 848</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67 556 947 173</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under Flexibility Instrument</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under global margin for commitments</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524 734 373</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524 734 373</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 xml:space="preserve">Ceiling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79 924 000 000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79 924 000 000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- 178 715 475</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- 178 715 475</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noProof/>
                <w:color w:val="000000"/>
                <w:sz w:val="14"/>
                <w:szCs w:val="14"/>
              </w:rPr>
            </w:pPr>
            <w:r>
              <w:rPr>
                <w:noProof/>
                <w:color w:val="000000"/>
                <w:sz w:val="14"/>
                <w:szCs w:val="14"/>
              </w:rPr>
              <w:t>1a</w:t>
            </w:r>
          </w:p>
        </w:tc>
        <w:tc>
          <w:tcPr>
            <w:tcW w:w="2700" w:type="dxa"/>
            <w:tcBorders>
              <w:top w:val="nil"/>
              <w:left w:val="nil"/>
              <w:bottom w:val="dotted" w:sz="4" w:space="0" w:color="auto"/>
              <w:right w:val="single" w:sz="4" w:space="0" w:color="auto"/>
            </w:tcBorders>
            <w:shd w:val="clear" w:color="auto" w:fill="auto"/>
            <w:vAlign w:val="center"/>
            <w:hideMark/>
          </w:tcPr>
          <w:p>
            <w:pPr>
              <w:rPr>
                <w:noProof/>
                <w:color w:val="000000"/>
                <w:sz w:val="14"/>
                <w:szCs w:val="14"/>
              </w:rPr>
            </w:pPr>
            <w:r>
              <w:rPr>
                <w:noProof/>
                <w:color w:val="000000"/>
                <w:sz w:val="14"/>
                <w:szCs w:val="14"/>
              </w:rPr>
              <w:t>Competitiveness for growth and jobs</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23 435 449 848</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20 521 537 455</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23 435 449 848</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20 521 537 455</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under Flexibility Instrument</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xml:space="preserve">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under global margin for commitments</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xml:space="preserve"> 174 734 373</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xml:space="preserve"> 174 734 373</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Ceiling</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23 082 000 000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23 082 000 000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- 178 715 475</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- 178 715 475</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noProof/>
                <w:color w:val="000000"/>
                <w:sz w:val="14"/>
                <w:szCs w:val="14"/>
              </w:rPr>
            </w:pPr>
            <w:r>
              <w:rPr>
                <w:noProof/>
                <w:color w:val="000000"/>
                <w:sz w:val="14"/>
                <w:szCs w:val="14"/>
              </w:rPr>
              <w:t xml:space="preserve">1b </w:t>
            </w:r>
          </w:p>
        </w:tc>
        <w:tc>
          <w:tcPr>
            <w:tcW w:w="2700" w:type="dxa"/>
            <w:tcBorders>
              <w:top w:val="nil"/>
              <w:left w:val="nil"/>
              <w:bottom w:val="dotted" w:sz="4" w:space="0" w:color="auto"/>
              <w:right w:val="single" w:sz="4" w:space="0" w:color="auto"/>
            </w:tcBorders>
            <w:shd w:val="clear" w:color="auto" w:fill="auto"/>
            <w:vAlign w:val="center"/>
            <w:hideMark/>
          </w:tcPr>
          <w:p>
            <w:pPr>
              <w:rPr>
                <w:noProof/>
                <w:color w:val="000000"/>
                <w:sz w:val="14"/>
                <w:szCs w:val="14"/>
              </w:rPr>
            </w:pPr>
            <w:r>
              <w:rPr>
                <w:noProof/>
                <w:color w:val="000000"/>
                <w:sz w:val="14"/>
                <w:szCs w:val="14"/>
              </w:rPr>
              <w:t>Economic  social and territorial cohesion</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57 192 000 000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47 035 409 718</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57 192 000 000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47 035 409 718</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under global margin for commitments</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xml:space="preserve"> 350 000 000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350 000 000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Ceiling</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56 842 000 000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56 842 000 000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color w:val="000000"/>
                <w:sz w:val="14"/>
                <w:szCs w:val="14"/>
              </w:rPr>
              <w:t>2.</w:t>
            </w:r>
          </w:p>
        </w:tc>
        <w:tc>
          <w:tcPr>
            <w:tcW w:w="270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Sustainable growth: natural resources</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59 642 077 986</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57 399 857 331</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59 642 077 986</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57 399 857 331</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Ceiling</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60 344 000 000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60 344 000 000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701 922 014</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701 922 014</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34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4"/>
                <w:szCs w:val="14"/>
              </w:rPr>
            </w:pPr>
            <w:r>
              <w:rPr>
                <w:noProof/>
                <w:color w:val="000000"/>
                <w:sz w:val="14"/>
                <w:szCs w:val="14"/>
              </w:rPr>
              <w:t>Of which: European Agricultural Guarantee Fund (EAGF) — Market related expenditure and direct payments</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43 191 947 000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43 116 399 417</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43 191 947 000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43 116 399 417</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Sub-ceiling</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43 881 000 000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43 881 000 000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Rounding difference excluded from margin calculation</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659 000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659 000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EAGF Margin</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688 394 000</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688 394 000</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color w:val="000000"/>
                <w:sz w:val="14"/>
                <w:szCs w:val="14"/>
              </w:rPr>
              <w:t>3.</w:t>
            </w:r>
          </w:p>
        </w:tc>
        <w:tc>
          <w:tcPr>
            <w:tcW w:w="270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Security and citizenship</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3 786 629 138</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3 527 434 894</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3 786 629 138</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3 527 434 894</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under Flexibility Instrument</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985 629 138</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985 629 138</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Ceiling</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2 801 000 000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2 801 000 000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color w:val="000000"/>
                <w:sz w:val="14"/>
                <w:szCs w:val="14"/>
              </w:rPr>
              <w:t>4.</w:t>
            </w:r>
          </w:p>
        </w:tc>
        <w:tc>
          <w:tcPr>
            <w:tcW w:w="270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Global Europe</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11 319 265 627</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9 358 295 603</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11 319 265 627</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9 358 295 603</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under global margin for commitments</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1 051 265 627</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243 842 411</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Ceiling</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10 268 000 000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10 268 000 000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- 807 423 216</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color w:val="000000"/>
                <w:sz w:val="14"/>
                <w:szCs w:val="14"/>
              </w:rPr>
              <w:t>5.</w:t>
            </w:r>
          </w:p>
        </w:tc>
        <w:tc>
          <w:tcPr>
            <w:tcW w:w="270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Administration</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9 942 974 723</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9 944 904 743</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9 942 974 723</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9 944 904 743</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Ceiling</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10 786 000 000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10 786 000 000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offset against Contingency margin</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- 253 882 156</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- 253 882 156</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589 143 121</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589 143 121</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360"/>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4"/>
                <w:szCs w:val="14"/>
              </w:rPr>
            </w:pPr>
            <w:r>
              <w:rPr>
                <w:noProof/>
                <w:color w:val="000000"/>
                <w:sz w:val="14"/>
                <w:szCs w:val="14"/>
              </w:rPr>
              <w:t>Of which: Administrative expenditure of the institutions</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7 747 285 803</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7 749 215 823</w:t>
            </w:r>
          </w:p>
        </w:tc>
        <w:tc>
          <w:tcPr>
            <w:tcW w:w="120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20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7 747 285 803</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7 749 215 823</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Sub-ceiling</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8 700 000 000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8 700 000 000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offset against Contingency margin</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- 253 882 156</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- 253 882 156</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698 832 041</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698 832 041</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60" w:type="dxa"/>
            <w:gridSpan w:val="2"/>
            <w:tcBorders>
              <w:top w:val="single" w:sz="4" w:space="0" w:color="auto"/>
              <w:left w:val="single" w:sz="4" w:space="0" w:color="auto"/>
              <w:bottom w:val="dotted" w:sz="4" w:space="0" w:color="auto"/>
              <w:right w:val="single" w:sz="4" w:space="0" w:color="000000"/>
            </w:tcBorders>
            <w:shd w:val="clear" w:color="000000" w:fill="D9D9D9"/>
            <w:vAlign w:val="center"/>
            <w:hideMark/>
          </w:tcPr>
          <w:p>
            <w:pPr>
              <w:jc w:val="right"/>
              <w:rPr>
                <w:b/>
                <w:bCs/>
                <w:noProof/>
                <w:color w:val="000000"/>
                <w:sz w:val="14"/>
                <w:szCs w:val="14"/>
              </w:rPr>
            </w:pPr>
            <w:r>
              <w:rPr>
                <w:b/>
                <w:bCs/>
                <w:noProof/>
                <w:color w:val="000000"/>
                <w:sz w:val="14"/>
                <w:szCs w:val="14"/>
              </w:rPr>
              <w:t>Total</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165 318 397 322</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147 787 439 744</w:t>
            </w:r>
          </w:p>
        </w:tc>
        <w:tc>
          <w:tcPr>
            <w:tcW w:w="120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 xml:space="preserve">   </w:t>
            </w:r>
          </w:p>
        </w:tc>
        <w:tc>
          <w:tcPr>
            <w:tcW w:w="120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 xml:space="preserve">   </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165 318 397 322</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147 787 439 744</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bCs/>
                <w:i/>
                <w:iCs/>
                <w:noProof/>
                <w:color w:val="000000"/>
                <w:sz w:val="14"/>
                <w:szCs w:val="14"/>
              </w:rPr>
              <w:t>Of which under Flexibility Instrument</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1 164 344 613</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961 862 659</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1 164 344 613</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961 862 659</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bCs/>
                <w:i/>
                <w:iCs/>
                <w:noProof/>
                <w:color w:val="000000"/>
                <w:sz w:val="14"/>
                <w:szCs w:val="14"/>
              </w:rPr>
              <w:t>Of which under global margin for commitments</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1 576 000 000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768 576 784</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bCs/>
                <w:i/>
                <w:iCs/>
                <w:noProof/>
                <w:color w:val="000000"/>
                <w:sz w:val="14"/>
                <w:szCs w:val="14"/>
              </w:rPr>
              <w:t>Ceiling</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164 123 000 000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166 709 000 000</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164 123 000 000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166 709 000 000</w:t>
            </w:r>
          </w:p>
        </w:tc>
      </w:tr>
      <w:tr>
        <w:trPr>
          <w:trHeight w:val="225"/>
          <w:jc w:val="center"/>
        </w:trPr>
        <w:tc>
          <w:tcPr>
            <w:tcW w:w="296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bCs/>
                <w:i/>
                <w:iCs/>
                <w:noProof/>
                <w:color w:val="000000"/>
                <w:sz w:val="14"/>
                <w:szCs w:val="14"/>
              </w:rPr>
              <w:t>Of which offset against Contingency margin</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- 253 882 156</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- 253 882 156</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r>
      <w:tr>
        <w:trPr>
          <w:trHeight w:val="225"/>
          <w:jc w:val="center"/>
        </w:trPr>
        <w:tc>
          <w:tcPr>
            <w:tcW w:w="2960" w:type="dxa"/>
            <w:gridSpan w:val="2"/>
            <w:tcBorders>
              <w:top w:val="dotted" w:sz="4" w:space="0" w:color="auto"/>
              <w:left w:val="single" w:sz="4" w:space="0" w:color="auto"/>
              <w:bottom w:val="nil"/>
              <w:right w:val="single" w:sz="4" w:space="0" w:color="000000"/>
            </w:tcBorders>
            <w:shd w:val="clear" w:color="000000" w:fill="D9D9D9"/>
            <w:vAlign w:val="center"/>
            <w:hideMark/>
          </w:tcPr>
          <w:p>
            <w:pPr>
              <w:jc w:val="right"/>
              <w:rPr>
                <w:b/>
                <w:bCs/>
                <w:i/>
                <w:iCs/>
                <w:noProof/>
                <w:color w:val="000000"/>
                <w:sz w:val="14"/>
                <w:szCs w:val="14"/>
              </w:rPr>
            </w:pPr>
            <w:r>
              <w:rPr>
                <w:b/>
                <w:bCs/>
                <w:i/>
                <w:iCs/>
                <w:noProof/>
                <w:color w:val="000000"/>
                <w:sz w:val="14"/>
                <w:szCs w:val="14"/>
              </w:rPr>
              <w:t>Margin</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1 291 065 135</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19 883 422 915</w:t>
            </w:r>
          </w:p>
        </w:tc>
        <w:tc>
          <w:tcPr>
            <w:tcW w:w="120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20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483 641 919</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19 883 422 915</w:t>
            </w:r>
          </w:p>
        </w:tc>
      </w:tr>
      <w:tr>
        <w:trPr>
          <w:trHeight w:val="225"/>
          <w:jc w:val="center"/>
        </w:trPr>
        <w:tc>
          <w:tcPr>
            <w:tcW w:w="260" w:type="dxa"/>
            <w:tcBorders>
              <w:top w:val="single" w:sz="4" w:space="0" w:color="auto"/>
              <w:left w:val="single" w:sz="4" w:space="0" w:color="auto"/>
              <w:bottom w:val="single" w:sz="4" w:space="0" w:color="auto"/>
              <w:right w:val="nil"/>
            </w:tcBorders>
            <w:shd w:val="clear" w:color="auto" w:fill="auto"/>
            <w:vAlign w:val="center"/>
            <w:hideMark/>
          </w:tcPr>
          <w:p>
            <w:pPr>
              <w:rPr>
                <w:b/>
                <w:bCs/>
                <w:noProof/>
                <w:color w:val="000000"/>
                <w:sz w:val="14"/>
                <w:szCs w:val="14"/>
              </w:rPr>
            </w:pPr>
            <w:r>
              <w:rPr>
                <w:b/>
                <w:bCs/>
                <w:noProof/>
                <w:color w:val="000000"/>
                <w:sz w:val="14"/>
                <w:szCs w:val="14"/>
              </w:rPr>
              <w:t> </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Other special Instruments</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577 248 000</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411 500 000</w:t>
            </w:r>
          </w:p>
        </w:tc>
        <w:tc>
          <w:tcPr>
            <w:tcW w:w="120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293 551 794</w:t>
            </w:r>
          </w:p>
        </w:tc>
        <w:tc>
          <w:tcPr>
            <w:tcW w:w="120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293 551 794</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870 799 794</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705 051 794</w:t>
            </w:r>
          </w:p>
        </w:tc>
      </w:tr>
      <w:tr>
        <w:trPr>
          <w:trHeight w:val="225"/>
          <w:jc w:val="center"/>
        </w:trPr>
        <w:tc>
          <w:tcPr>
            <w:tcW w:w="2960" w:type="dxa"/>
            <w:gridSpan w:val="2"/>
            <w:tcBorders>
              <w:top w:val="nil"/>
              <w:left w:val="single" w:sz="4" w:space="0" w:color="auto"/>
              <w:bottom w:val="single" w:sz="4" w:space="0" w:color="auto"/>
              <w:right w:val="single" w:sz="4" w:space="0" w:color="000000"/>
            </w:tcBorders>
            <w:shd w:val="clear" w:color="000000" w:fill="D9D9D9"/>
            <w:vAlign w:val="center"/>
            <w:hideMark/>
          </w:tcPr>
          <w:p>
            <w:pPr>
              <w:jc w:val="right"/>
              <w:rPr>
                <w:b/>
                <w:bCs/>
                <w:noProof/>
                <w:color w:val="000000"/>
                <w:sz w:val="14"/>
                <w:szCs w:val="14"/>
              </w:rPr>
            </w:pPr>
            <w:r>
              <w:rPr>
                <w:b/>
                <w:bCs/>
                <w:noProof/>
                <w:color w:val="000000"/>
                <w:sz w:val="14"/>
                <w:szCs w:val="14"/>
              </w:rPr>
              <w:t>Grand Total</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165 895 645 322</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148 198 939 744</w:t>
            </w:r>
          </w:p>
        </w:tc>
        <w:tc>
          <w:tcPr>
            <w:tcW w:w="120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 xml:space="preserve"> 293 551 794</w:t>
            </w:r>
          </w:p>
        </w:tc>
        <w:tc>
          <w:tcPr>
            <w:tcW w:w="120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 xml:space="preserve"> 293 551 794</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166 189 197 116</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148 492 491 538</w:t>
            </w:r>
          </w:p>
        </w:tc>
      </w:tr>
    </w:tbl>
    <w:p>
      <w:pPr>
        <w:pStyle w:val="Text1"/>
        <w:ind w:left="0"/>
        <w:rPr>
          <w:noProof/>
        </w:rPr>
      </w:pPr>
    </w:p>
    <w:sectPr>
      <w:headerReference w:type="even" r:id="rId32"/>
      <w:headerReference w:type="default" r:id="rId33"/>
      <w:footerReference w:type="even" r:id="rId34"/>
      <w:footerReference w:type="default" r:id="rId35"/>
      <w:headerReference w:type="first" r:id="rId36"/>
      <w:footerReference w:type="first" r:id="rId37"/>
      <w:pgSz w:w="11907" w:h="1683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lang w:val="pt-PT"/>
        </w:rPr>
      </w:pPr>
      <w:r>
        <w:rPr>
          <w:rStyle w:val="FootnoteReference"/>
        </w:rPr>
        <w:footnoteRef/>
      </w:r>
      <w:r>
        <w:rPr>
          <w:lang w:val="pt-PT"/>
        </w:rPr>
        <w:t xml:space="preserve"> </w:t>
      </w:r>
      <w:r>
        <w:rPr>
          <w:lang w:val="pt-PT"/>
        </w:rPr>
        <w:tab/>
      </w:r>
      <w:r>
        <w:rPr>
          <w:sz w:val="18"/>
          <w:szCs w:val="18"/>
          <w:lang w:val="pt-PT"/>
        </w:rPr>
        <w:t>OJ L 193, 30.7.2018, p. 1.</w:t>
      </w:r>
    </w:p>
  </w:footnote>
  <w:footnote w:id="3">
    <w:p>
      <w:pPr>
        <w:pStyle w:val="FootnoteText"/>
        <w:rPr>
          <w:lang w:val="pt-PT"/>
        </w:rPr>
      </w:pPr>
      <w:r>
        <w:rPr>
          <w:rStyle w:val="FootnoteReference"/>
        </w:rPr>
        <w:footnoteRef/>
      </w:r>
      <w:r>
        <w:rPr>
          <w:lang w:val="pt-PT"/>
        </w:rPr>
        <w:t>.</w:t>
      </w:r>
      <w:r>
        <w:rPr>
          <w:lang w:val="pt-PT"/>
        </w:rPr>
        <w:tab/>
      </w:r>
      <w:r>
        <w:rPr>
          <w:sz w:val="18"/>
          <w:szCs w:val="18"/>
          <w:lang w:val="pt-PT"/>
        </w:rPr>
        <w:t>OJ L 67, 7.3.2019.</w:t>
      </w:r>
    </w:p>
  </w:footnote>
  <w:footnote w:id="4">
    <w:p>
      <w:pPr>
        <w:pStyle w:val="FootnoteText"/>
        <w:rPr>
          <w:lang w:val="pt-PT"/>
        </w:rPr>
      </w:pPr>
      <w:r>
        <w:rPr>
          <w:rStyle w:val="FootnoteReference"/>
        </w:rPr>
        <w:footnoteRef/>
      </w:r>
      <w:r>
        <w:rPr>
          <w:lang w:val="pt-PT"/>
        </w:rPr>
        <w:t xml:space="preserve"> </w:t>
      </w:r>
      <w:r>
        <w:rPr>
          <w:lang w:val="pt-PT"/>
        </w:rPr>
        <w:tab/>
      </w:r>
      <w:r>
        <w:rPr>
          <w:sz w:val="18"/>
          <w:lang w:val="pt-PT"/>
        </w:rPr>
        <w:t>COM(2019) 300, 15.4.2019.</w:t>
      </w:r>
    </w:p>
  </w:footnote>
  <w:footnote w:id="5">
    <w:p>
      <w:pPr>
        <w:pStyle w:val="FootnoteText"/>
        <w:rPr>
          <w:lang w:val="pt-PT"/>
        </w:rPr>
      </w:pPr>
      <w:r>
        <w:rPr>
          <w:rStyle w:val="FootnoteReference"/>
        </w:rPr>
        <w:footnoteRef/>
      </w:r>
      <w:r>
        <w:rPr>
          <w:lang w:val="pt-PT"/>
        </w:rPr>
        <w:t xml:space="preserve"> </w:t>
      </w:r>
      <w:r>
        <w:rPr>
          <w:lang w:val="pt-PT"/>
        </w:rPr>
        <w:tab/>
      </w:r>
      <w:r>
        <w:rPr>
          <w:sz w:val="18"/>
          <w:lang w:val="pt-PT"/>
        </w:rPr>
        <w:t>COM(2019) 320, 15.5.2019.</w:t>
      </w:r>
    </w:p>
  </w:footnote>
  <w:footnote w:id="6">
    <w:p>
      <w:pPr>
        <w:pStyle w:val="FootnoteText"/>
        <w:rPr>
          <w:lang w:val="pt-PT"/>
        </w:rPr>
      </w:pPr>
      <w:r>
        <w:rPr>
          <w:rStyle w:val="FootnoteReference"/>
        </w:rPr>
        <w:footnoteRef/>
      </w:r>
      <w:r>
        <w:rPr>
          <w:lang w:val="pt-PT"/>
        </w:rPr>
        <w:t xml:space="preserve"> </w:t>
      </w:r>
      <w:r>
        <w:rPr>
          <w:lang w:val="pt-PT"/>
        </w:rPr>
        <w:tab/>
        <w:t>COM(2019)206, 22.5.2019.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BA72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7ED41C8C"/>
    <w:lvl w:ilvl="0">
      <w:start w:val="1"/>
      <w:numFmt w:val="decimal"/>
      <w:lvlText w:val="%1."/>
      <w:lvlJc w:val="left"/>
      <w:pPr>
        <w:tabs>
          <w:tab w:val="num" w:pos="360"/>
        </w:tabs>
        <w:ind w:left="360" w:hanging="360"/>
      </w:pPr>
    </w:lvl>
  </w:abstractNum>
  <w:abstractNum w:abstractNumId="2">
    <w:nsid w:val="00A856D4"/>
    <w:multiLevelType w:val="hybridMultilevel"/>
    <w:tmpl w:val="B07CF3C4"/>
    <w:lvl w:ilvl="0" w:tplc="3D900F3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354526B"/>
    <w:multiLevelType w:val="hybridMultilevel"/>
    <w:tmpl w:val="18D88870"/>
    <w:lvl w:ilvl="0" w:tplc="8A36BA8C">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401886"/>
    <w:multiLevelType w:val="hybridMultilevel"/>
    <w:tmpl w:val="FBA0B950"/>
    <w:lvl w:ilvl="0" w:tplc="D1CAE414">
      <w:numFmt w:val="bullet"/>
      <w:lvlText w:val="-"/>
      <w:lvlJc w:val="left"/>
      <w:pPr>
        <w:tabs>
          <w:tab w:val="num" w:pos="810"/>
        </w:tabs>
        <w:ind w:left="810" w:hanging="45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F20AC0"/>
    <w:multiLevelType w:val="hybridMultilevel"/>
    <w:tmpl w:val="32B0E5D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7936C33"/>
    <w:multiLevelType w:val="hybridMultilevel"/>
    <w:tmpl w:val="4036C0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8795CFC"/>
    <w:multiLevelType w:val="hybridMultilevel"/>
    <w:tmpl w:val="D988CAFC"/>
    <w:lvl w:ilvl="0" w:tplc="040C000F">
      <w:start w:val="1"/>
      <w:numFmt w:val="decimal"/>
      <w:lvlText w:val="%1."/>
      <w:lvlJc w:val="left"/>
      <w:pPr>
        <w:tabs>
          <w:tab w:val="num" w:pos="720"/>
        </w:tabs>
        <w:ind w:left="720" w:hanging="360"/>
      </w:pPr>
    </w:lvl>
    <w:lvl w:ilvl="1" w:tplc="94027E84">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29847826"/>
    <w:multiLevelType w:val="hybridMultilevel"/>
    <w:tmpl w:val="42E8160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0">
    <w:nsid w:val="2F78565E"/>
    <w:multiLevelType w:val="hybridMultilevel"/>
    <w:tmpl w:val="3F76E56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nsid w:val="31246D7F"/>
    <w:multiLevelType w:val="hybridMultilevel"/>
    <w:tmpl w:val="E1EA8208"/>
    <w:lvl w:ilvl="0" w:tplc="94027E84">
      <w:start w:val="1"/>
      <w:numFmt w:val="bullet"/>
      <w:lvlText w:val=""/>
      <w:lvlJc w:val="left"/>
      <w:pPr>
        <w:tabs>
          <w:tab w:val="num" w:pos="1437"/>
        </w:tabs>
        <w:ind w:left="1437"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3">
    <w:nsid w:val="33BE45BD"/>
    <w:multiLevelType w:val="hybridMultilevel"/>
    <w:tmpl w:val="6D2219A0"/>
    <w:lvl w:ilvl="0" w:tplc="08090001">
      <w:start w:val="1"/>
      <w:numFmt w:val="bullet"/>
      <w:lvlText w:val=""/>
      <w:lvlJc w:val="left"/>
      <w:pPr>
        <w:tabs>
          <w:tab w:val="num" w:pos="720"/>
        </w:tabs>
        <w:ind w:left="720" w:hanging="360"/>
      </w:pPr>
      <w:rPr>
        <w:rFonts w:ascii="Symbol" w:hAnsi="Symbol" w:hint="default"/>
      </w:rPr>
    </w:lvl>
    <w:lvl w:ilvl="1" w:tplc="94027E84">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34EA3932"/>
    <w:multiLevelType w:val="hybridMultilevel"/>
    <w:tmpl w:val="FA52BE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6">
    <w:nsid w:val="3F090162"/>
    <w:multiLevelType w:val="hybridMultilevel"/>
    <w:tmpl w:val="97F2B26A"/>
    <w:lvl w:ilvl="0" w:tplc="61E27ED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8">
    <w:nsid w:val="41AF2082"/>
    <w:multiLevelType w:val="hybridMultilevel"/>
    <w:tmpl w:val="A672F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38628B4"/>
    <w:multiLevelType w:val="hybridMultilevel"/>
    <w:tmpl w:val="7706A2BE"/>
    <w:lvl w:ilvl="0" w:tplc="3D900F36">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nsid w:val="4B5D68CF"/>
    <w:multiLevelType w:val="hybridMultilevel"/>
    <w:tmpl w:val="4CE08654"/>
    <w:lvl w:ilvl="0" w:tplc="9942206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3">
    <w:nsid w:val="7123216D"/>
    <w:multiLevelType w:val="hybridMultilevel"/>
    <w:tmpl w:val="F648ECEA"/>
    <w:lvl w:ilvl="0" w:tplc="AB00A56E">
      <w:start w:val="1"/>
      <w:numFmt w:val="bullet"/>
      <w:lvlText w:val=""/>
      <w:lvlJc w:val="left"/>
      <w:pPr>
        <w:tabs>
          <w:tab w:val="num" w:pos="720"/>
        </w:tabs>
        <w:ind w:left="720" w:hanging="360"/>
      </w:pPr>
      <w:rPr>
        <w:rFonts w:ascii="Symbol" w:hAnsi="Symbol" w:hint="default"/>
      </w:rPr>
    </w:lvl>
    <w:lvl w:ilvl="1" w:tplc="047A04A6" w:tentative="1">
      <w:start w:val="1"/>
      <w:numFmt w:val="bullet"/>
      <w:lvlText w:val="o"/>
      <w:lvlJc w:val="left"/>
      <w:pPr>
        <w:tabs>
          <w:tab w:val="num" w:pos="1440"/>
        </w:tabs>
        <w:ind w:left="1440" w:hanging="360"/>
      </w:pPr>
      <w:rPr>
        <w:rFonts w:ascii="Courier New" w:hAnsi="Courier New" w:cs="Courier New" w:hint="default"/>
      </w:rPr>
    </w:lvl>
    <w:lvl w:ilvl="2" w:tplc="CED8E37C" w:tentative="1">
      <w:start w:val="1"/>
      <w:numFmt w:val="bullet"/>
      <w:lvlText w:val=""/>
      <w:lvlJc w:val="left"/>
      <w:pPr>
        <w:tabs>
          <w:tab w:val="num" w:pos="2160"/>
        </w:tabs>
        <w:ind w:left="2160" w:hanging="360"/>
      </w:pPr>
      <w:rPr>
        <w:rFonts w:ascii="Wingdings" w:hAnsi="Wingdings" w:hint="default"/>
      </w:rPr>
    </w:lvl>
    <w:lvl w:ilvl="3" w:tplc="99803BDA" w:tentative="1">
      <w:start w:val="1"/>
      <w:numFmt w:val="bullet"/>
      <w:lvlText w:val=""/>
      <w:lvlJc w:val="left"/>
      <w:pPr>
        <w:tabs>
          <w:tab w:val="num" w:pos="2880"/>
        </w:tabs>
        <w:ind w:left="2880" w:hanging="360"/>
      </w:pPr>
      <w:rPr>
        <w:rFonts w:ascii="Symbol" w:hAnsi="Symbol" w:hint="default"/>
      </w:rPr>
    </w:lvl>
    <w:lvl w:ilvl="4" w:tplc="64F20456" w:tentative="1">
      <w:start w:val="1"/>
      <w:numFmt w:val="bullet"/>
      <w:lvlText w:val="o"/>
      <w:lvlJc w:val="left"/>
      <w:pPr>
        <w:tabs>
          <w:tab w:val="num" w:pos="3600"/>
        </w:tabs>
        <w:ind w:left="3600" w:hanging="360"/>
      </w:pPr>
      <w:rPr>
        <w:rFonts w:ascii="Courier New" w:hAnsi="Courier New" w:cs="Courier New" w:hint="default"/>
      </w:rPr>
    </w:lvl>
    <w:lvl w:ilvl="5" w:tplc="9D789344" w:tentative="1">
      <w:start w:val="1"/>
      <w:numFmt w:val="bullet"/>
      <w:lvlText w:val=""/>
      <w:lvlJc w:val="left"/>
      <w:pPr>
        <w:tabs>
          <w:tab w:val="num" w:pos="4320"/>
        </w:tabs>
        <w:ind w:left="4320" w:hanging="360"/>
      </w:pPr>
      <w:rPr>
        <w:rFonts w:ascii="Wingdings" w:hAnsi="Wingdings" w:hint="default"/>
      </w:rPr>
    </w:lvl>
    <w:lvl w:ilvl="6" w:tplc="440617F6" w:tentative="1">
      <w:start w:val="1"/>
      <w:numFmt w:val="bullet"/>
      <w:lvlText w:val=""/>
      <w:lvlJc w:val="left"/>
      <w:pPr>
        <w:tabs>
          <w:tab w:val="num" w:pos="5040"/>
        </w:tabs>
        <w:ind w:left="5040" w:hanging="360"/>
      </w:pPr>
      <w:rPr>
        <w:rFonts w:ascii="Symbol" w:hAnsi="Symbol" w:hint="default"/>
      </w:rPr>
    </w:lvl>
    <w:lvl w:ilvl="7" w:tplc="BA5AA682" w:tentative="1">
      <w:start w:val="1"/>
      <w:numFmt w:val="bullet"/>
      <w:lvlText w:val="o"/>
      <w:lvlJc w:val="left"/>
      <w:pPr>
        <w:tabs>
          <w:tab w:val="num" w:pos="5760"/>
        </w:tabs>
        <w:ind w:left="5760" w:hanging="360"/>
      </w:pPr>
      <w:rPr>
        <w:rFonts w:ascii="Courier New" w:hAnsi="Courier New" w:cs="Courier New" w:hint="default"/>
      </w:rPr>
    </w:lvl>
    <w:lvl w:ilvl="8" w:tplc="64C40A7C" w:tentative="1">
      <w:start w:val="1"/>
      <w:numFmt w:val="bullet"/>
      <w:lvlText w:val=""/>
      <w:lvlJc w:val="left"/>
      <w:pPr>
        <w:tabs>
          <w:tab w:val="num" w:pos="6480"/>
        </w:tabs>
        <w:ind w:left="6480" w:hanging="360"/>
      </w:pPr>
      <w:rPr>
        <w:rFonts w:ascii="Wingdings" w:hAnsi="Wingdings" w:hint="default"/>
      </w:rPr>
    </w:lvl>
  </w:abstractNum>
  <w:abstractNum w:abstractNumId="24">
    <w:nsid w:val="724A4950"/>
    <w:multiLevelType w:val="hybridMultilevel"/>
    <w:tmpl w:val="71D67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7BE95D7F"/>
    <w:multiLevelType w:val="multilevel"/>
    <w:tmpl w:val="F126F78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6">
    <w:nsid w:val="7C966381"/>
    <w:multiLevelType w:val="multilevel"/>
    <w:tmpl w:val="DCC88062"/>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7"/>
  </w:num>
  <w:num w:numId="3">
    <w:abstractNumId w:val="2"/>
  </w:num>
  <w:num w:numId="4">
    <w:abstractNumId w:val="17"/>
  </w:num>
  <w:num w:numId="5">
    <w:abstractNumId w:val="23"/>
  </w:num>
  <w:num w:numId="6">
    <w:abstractNumId w:val="17"/>
  </w:num>
  <w:num w:numId="7">
    <w:abstractNumId w:val="22"/>
  </w:num>
  <w:num w:numId="8">
    <w:abstractNumId w:val="15"/>
  </w:num>
  <w:num w:numId="9">
    <w:abstractNumId w:val="7"/>
  </w:num>
  <w:num w:numId="10">
    <w:abstractNumId w:val="13"/>
  </w:num>
  <w:num w:numId="11">
    <w:abstractNumId w:val="14"/>
  </w:num>
  <w:num w:numId="12">
    <w:abstractNumId w:val="5"/>
  </w:num>
  <w:num w:numId="13">
    <w:abstractNumId w:val="6"/>
  </w:num>
  <w:num w:numId="14">
    <w:abstractNumId w:val="9"/>
  </w:num>
  <w:num w:numId="15">
    <w:abstractNumId w:val="11"/>
  </w:num>
  <w:num w:numId="16">
    <w:abstractNumId w:val="19"/>
  </w:num>
  <w:num w:numId="17">
    <w:abstractNumId w:val="17"/>
  </w:num>
  <w:num w:numId="18">
    <w:abstractNumId w:val="21"/>
  </w:num>
  <w:num w:numId="19">
    <w:abstractNumId w:val="4"/>
  </w:num>
  <w:num w:numId="20">
    <w:abstractNumId w:val="10"/>
  </w:num>
  <w:num w:numId="21">
    <w:abstractNumId w:val="17"/>
  </w:num>
  <w:num w:numId="22">
    <w:abstractNumId w:val="17"/>
  </w:num>
  <w:num w:numId="23">
    <w:abstractNumId w:val="0"/>
  </w:num>
  <w:num w:numId="24">
    <w:abstractNumId w:val="18"/>
  </w:num>
  <w:num w:numId="25">
    <w:abstractNumId w:val="16"/>
  </w:num>
  <w:num w:numId="26">
    <w:abstractNumId w:val="3"/>
  </w:num>
  <w:num w:numId="27">
    <w:abstractNumId w:val="25"/>
  </w:num>
  <w:num w:numId="28">
    <w:abstractNumId w:val="21"/>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6"/>
  </w:num>
  <w:num w:numId="38">
    <w:abstractNumId w:val="26"/>
  </w:num>
  <w:num w:numId="39">
    <w:abstractNumId w:val="26"/>
  </w:num>
  <w:num w:numId="40">
    <w:abstractNumId w:val="26"/>
  </w:num>
  <w:num w:numId="41">
    <w:abstractNumId w:val="26"/>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DocumentType" w:val="ERR"/>
    <w:docVar w:name="FigNum" w:val="1"/>
    <w:docVar w:name="LW_CORRIGENDUM" w:val="&lt;UNUSED&gt;"/>
    <w:docVar w:name="LW_COVERPAGE_EXISTS" w:val="True"/>
    <w:docVar w:name="LW_COVERPAGE_GUID" w:val="B0B169D5-7D88-4424-B1BB-4DCB2E016F28"/>
    <w:docVar w:name="LW_COVERPAGE_TYPE" w:val="1"/>
    <w:docVar w:name="LW_CROSSREFERENCE" w:val="&lt;UNUSED&gt;"/>
    <w:docVar w:name="LW_DocType" w:val="NORMAL"/>
    <w:docVar w:name="LW_EMISSION" w:val="22.5.2019"/>
    <w:docVar w:name="LW_EMISSION_ISODATE" w:val="2019-05-22"/>
    <w:docVar w:name="LW_EMISSION_LOCATION" w:val="BRX"/>
    <w:docVar w:name="LW_EMISSION_PREFIX" w:val="Brussels, "/>
    <w:docVar w:name="LW_EMISSION_SUFFIX" w:val="&lt;EMPTY&gt;"/>
    <w:docVar w:name="LW_ID_DOCTYPE_NONLW" w:val="CP-035"/>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2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Accompanying the proposal to mobilise the European Union Solidarity Fund _x000b__x000b_to provide assistance to Romania, Italy and Austria"/>
    <w:docVar w:name="LW_TITRE.OBJ.CP_PREVIOUS" w:val="&lt;UNUSED&gt;"/>
    <w:docVar w:name="LW_TYPE.DOC.CP" w:val="DRAFT AMENDING BUDGET No 3_x000b_TO THE GENERAL BUDGET 2019"/>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Pr>
      <w:sz w:val="24"/>
      <w:szCs w:val="24"/>
    </w:rPr>
  </w:style>
  <w:style w:type="paragraph" w:styleId="Heading1">
    <w:name w:val="heading 1"/>
    <w:basedOn w:val="Normal"/>
    <w:next w:val="Normal"/>
    <w:autoRedefine/>
    <w:qFormat/>
    <w:pPr>
      <w:keepNext/>
      <w:spacing w:before="240" w:after="120"/>
      <w:outlineLvl w:val="0"/>
    </w:pPr>
    <w:rPr>
      <w:rFonts w:ascii="Arial" w:hAnsi="Arial" w:cs="Arial"/>
      <w:b/>
      <w:bCs/>
      <w:kern w:val="32"/>
      <w:sz w:val="32"/>
      <w:szCs w:val="32"/>
    </w:rPr>
  </w:style>
  <w:style w:type="paragraph" w:styleId="Heading2">
    <w:name w:val="heading 2"/>
    <w:basedOn w:val="Normal"/>
    <w:next w:val="Normal"/>
    <w:autoRedefine/>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qFormat/>
    <w:pPr>
      <w:keepNext/>
      <w:numPr>
        <w:ilvl w:val="3"/>
      </w:numPr>
      <w:tabs>
        <w:tab w:val="num" w:pos="1030"/>
      </w:tabs>
      <w:spacing w:before="120" w:after="120"/>
      <w:ind w:left="1030" w:hanging="850"/>
      <w:jc w:val="both"/>
      <w:outlineLvl w:val="3"/>
    </w:pPr>
    <w:rPr>
      <w:b/>
      <w:bCs/>
      <w:szCs w:val="28"/>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paragraph" w:styleId="FootnoteText">
    <w:name w:val="footnote text"/>
    <w:basedOn w:val="Normal"/>
    <w:link w:val="FootnoteTextChar"/>
    <w:pPr>
      <w:ind w:left="720" w:hanging="720"/>
      <w:jc w:val="both"/>
    </w:pPr>
    <w:rPr>
      <w:sz w:val="20"/>
      <w:szCs w:val="20"/>
      <w:lang w:eastAsia="de-DE"/>
    </w:rPr>
  </w:style>
  <w:style w:type="paragraph" w:styleId="TOC1">
    <w:name w:val="toc 1"/>
    <w:basedOn w:val="Normal"/>
    <w:next w:val="Normal"/>
    <w:uiPriority w:val="39"/>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uiPriority w:val="99"/>
    <w:rPr>
      <w:vertAlign w:val="superscript"/>
    </w:rPr>
  </w:style>
  <w:style w:type="paragraph" w:customStyle="1" w:styleId="Text1">
    <w:name w:val="Text 1"/>
    <w:basedOn w:val="Normal"/>
    <w:pPr>
      <w:spacing w:before="120" w:after="120"/>
      <w:ind w:left="850"/>
      <w:jc w:val="both"/>
    </w:pPr>
    <w:rPr>
      <w:lang w:eastAsia="de-DE"/>
    </w:rPr>
  </w:style>
  <w:style w:type="paragraph" w:customStyle="1" w:styleId="Tiret0">
    <w:name w:val="Tiret 0"/>
    <w:basedOn w:val="Normal"/>
    <w:pPr>
      <w:numPr>
        <w:numId w:val="1"/>
      </w:numPr>
      <w:spacing w:before="120" w:after="120"/>
      <w:jc w:val="both"/>
    </w:pPr>
    <w:rPr>
      <w:lang w:eastAsia="de-DE"/>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lang w:eastAsia="de-DE"/>
    </w:r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b/>
      <w:lang w:eastAsia="de-DE"/>
    </w:rPr>
  </w:style>
  <w:style w:type="paragraph" w:customStyle="1" w:styleId="ListDash">
    <w:name w:val="List Dash"/>
    <w:basedOn w:val="Normal"/>
    <w:link w:val="ListDashChar"/>
    <w:pPr>
      <w:numPr>
        <w:numId w:val="2"/>
      </w:numPr>
      <w:spacing w:before="120" w:after="120"/>
      <w:jc w:val="both"/>
    </w:pPr>
    <w:rPr>
      <w:lang w:eastAsia="de-DE"/>
    </w:rPr>
  </w:style>
  <w:style w:type="paragraph" w:styleId="TOCHeading">
    <w:name w:val="TOC Heading"/>
    <w:basedOn w:val="Normal"/>
    <w:next w:val="Normal"/>
    <w:qFormat/>
    <w:pPr>
      <w:spacing w:before="120" w:after="240"/>
      <w:jc w:val="center"/>
    </w:pPr>
    <w:rPr>
      <w:b/>
      <w:sz w:val="28"/>
      <w:lang w:eastAsia="de-DE"/>
    </w:rPr>
  </w:style>
  <w:style w:type="paragraph" w:customStyle="1" w:styleId="Prliminairetitre">
    <w:name w:val="Préliminaire titre"/>
    <w:basedOn w:val="Normal"/>
    <w:next w:val="Normal"/>
    <w:pPr>
      <w:spacing w:before="360" w:after="360"/>
      <w:jc w:val="center"/>
    </w:pPr>
    <w:rPr>
      <w:b/>
      <w:lang w:eastAsia="de-DE"/>
    </w:rPr>
  </w:style>
  <w:style w:type="paragraph" w:customStyle="1" w:styleId="Prliminairetype">
    <w:name w:val="Préliminaire type"/>
    <w:basedOn w:val="Normal"/>
    <w:next w:val="Normal"/>
    <w:pPr>
      <w:spacing w:before="360"/>
      <w:jc w:val="center"/>
    </w:pPr>
    <w:rPr>
      <w:b/>
      <w:lang w:eastAsia="de-DE"/>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rPr>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pPr>
      <w:ind w:left="240"/>
    </w:pPr>
    <w:rPr>
      <w:smallCaps/>
      <w:sz w:val="20"/>
      <w:szCs w:val="20"/>
    </w:rPr>
  </w:style>
  <w:style w:type="paragraph" w:styleId="TOC3">
    <w:name w:val="toc 3"/>
    <w:basedOn w:val="Normal"/>
    <w:next w:val="Normal"/>
    <w:autoRedefine/>
    <w:semiHidden/>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7"/>
      </w:numPr>
      <w:spacing w:before="120" w:after="120"/>
      <w:jc w:val="both"/>
    </w:pPr>
    <w:rPr>
      <w:lang w:eastAsia="de-DE"/>
    </w:rPr>
  </w:style>
  <w:style w:type="paragraph" w:customStyle="1" w:styleId="ListDash2">
    <w:name w:val="List Dash 2"/>
    <w:basedOn w:val="Normal"/>
    <w:pPr>
      <w:tabs>
        <w:tab w:val="num" w:pos="1134"/>
      </w:tabs>
      <w:spacing w:before="120" w:after="120"/>
      <w:ind w:left="1134" w:hanging="283"/>
      <w:jc w:val="both"/>
    </w:pPr>
    <w:rPr>
      <w:lang w:eastAsia="de-DE"/>
    </w:rPr>
  </w:style>
  <w:style w:type="paragraph" w:customStyle="1" w:styleId="ListBullet1">
    <w:name w:val="List Bullet 1"/>
    <w:basedOn w:val="Text1"/>
    <w:pPr>
      <w:numPr>
        <w:numId w:val="8"/>
      </w:numPr>
      <w:spacing w:before="0" w:after="240"/>
    </w:pPr>
    <w:rPr>
      <w:szCs w:val="20"/>
      <w:lang w:eastAsia="en-US"/>
    </w:rPr>
  </w:style>
  <w:style w:type="paragraph" w:styleId="ListBullet2">
    <w:name w:val="List Bullet 2"/>
    <w:basedOn w:val="Normal"/>
    <w:pPr>
      <w:numPr>
        <w:numId w:val="14"/>
      </w:numPr>
      <w:spacing w:after="240"/>
      <w:jc w:val="both"/>
    </w:pPr>
    <w:rPr>
      <w:szCs w:val="20"/>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lang w:eastAsia="en-US"/>
    </w:rPr>
  </w:style>
  <w:style w:type="paragraph" w:customStyle="1" w:styleId="Titreobjet">
    <w:name w:val="Titre objet"/>
    <w:basedOn w:val="Normal"/>
    <w:next w:val="Normal"/>
    <w:pPr>
      <w:spacing w:before="360" w:after="360"/>
      <w:jc w:val="center"/>
    </w:pPr>
    <w:rPr>
      <w:b/>
      <w:lang w:eastAsia="en-US"/>
    </w:rPr>
  </w:style>
  <w:style w:type="character" w:styleId="Emphasis">
    <w:name w:val="Emphasis"/>
    <w:qFormat/>
    <w:rPr>
      <w:i/>
      <w:iCs/>
    </w:rPr>
  </w:style>
  <w:style w:type="paragraph" w:styleId="NormalWeb">
    <w:name w:val="Normal (Web)"/>
    <w:basedOn w:val="Normal"/>
    <w:pPr>
      <w:spacing w:before="100" w:beforeAutospacing="1" w:after="100" w:afterAutospacing="1"/>
    </w:pPr>
  </w:style>
  <w:style w:type="paragraph" w:customStyle="1" w:styleId="Text2">
    <w:name w:val="Text 2"/>
    <w:basedOn w:val="Normal"/>
    <w:pPr>
      <w:spacing w:before="120" w:after="120"/>
      <w:ind w:left="850"/>
      <w:jc w:val="both"/>
    </w:pPr>
    <w:rPr>
      <w:lang w:eastAsia="en-US"/>
    </w:rPr>
  </w:style>
  <w:style w:type="paragraph" w:styleId="BalloonText">
    <w:name w:val="Balloon Text"/>
    <w:basedOn w:val="Normal"/>
    <w:semiHidden/>
    <w:rPr>
      <w:rFonts w:ascii="Tahoma" w:hAnsi="Tahoma" w:cs="Tahoma"/>
      <w:sz w:val="16"/>
      <w:szCs w:val="16"/>
    </w:rPr>
  </w:style>
  <w:style w:type="paragraph" w:styleId="ListNumber">
    <w:name w:val="List Number"/>
    <w:basedOn w:val="Normal"/>
    <w:pPr>
      <w:numPr>
        <w:numId w:val="28"/>
      </w:numPr>
      <w:spacing w:before="120" w:after="120"/>
      <w:jc w:val="both"/>
    </w:pPr>
    <w:rPr>
      <w:lang w:eastAsia="de-DE"/>
    </w:rPr>
  </w:style>
  <w:style w:type="paragraph" w:customStyle="1" w:styleId="ListNumberLevel2">
    <w:name w:val="List Number (Level 2)"/>
    <w:basedOn w:val="Normal"/>
    <w:pPr>
      <w:numPr>
        <w:ilvl w:val="1"/>
        <w:numId w:val="28"/>
      </w:numPr>
      <w:spacing w:before="120" w:after="120"/>
      <w:jc w:val="both"/>
    </w:pPr>
    <w:rPr>
      <w:lang w:eastAsia="de-DE"/>
    </w:rPr>
  </w:style>
  <w:style w:type="paragraph" w:customStyle="1" w:styleId="ListNumberLevel3">
    <w:name w:val="List Number (Level 3)"/>
    <w:basedOn w:val="Normal"/>
    <w:pPr>
      <w:numPr>
        <w:ilvl w:val="2"/>
        <w:numId w:val="28"/>
      </w:numPr>
      <w:spacing w:before="120" w:after="120"/>
      <w:jc w:val="both"/>
    </w:pPr>
    <w:rPr>
      <w:lang w:eastAsia="de-DE"/>
    </w:rPr>
  </w:style>
  <w:style w:type="paragraph" w:customStyle="1" w:styleId="ListNumberLevel4">
    <w:name w:val="List Number (Level 4)"/>
    <w:basedOn w:val="Normal"/>
    <w:pPr>
      <w:numPr>
        <w:ilvl w:val="3"/>
        <w:numId w:val="28"/>
      </w:numPr>
      <w:spacing w:before="120" w:after="120"/>
      <w:jc w:val="both"/>
    </w:pPr>
    <w:rPr>
      <w:lang w:eastAsia="de-DE"/>
    </w:rPr>
  </w:style>
  <w:style w:type="character" w:customStyle="1" w:styleId="ListDashChar">
    <w:name w:val="List Dash Char"/>
    <w:link w:val="ListDash"/>
    <w:rPr>
      <w:sz w:val="24"/>
      <w:szCs w:val="24"/>
      <w:lang w:eastAsia="de-DE"/>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rPr>
      <w:lang w:eastAsia="de-DE"/>
    </w:rPr>
  </w:style>
  <w:style w:type="paragraph" w:customStyle="1" w:styleId="NormalCentered">
    <w:name w:val="Normal Centered"/>
    <w:basedOn w:val="Normal"/>
    <w:pPr>
      <w:spacing w:before="120" w:after="120"/>
      <w:jc w:val="center"/>
    </w:pPr>
    <w:rPr>
      <w:lang w:eastAsia="de-DE"/>
    </w:rPr>
  </w:style>
  <w:style w:type="paragraph" w:customStyle="1" w:styleId="NormalRight">
    <w:name w:val="Normal Right"/>
    <w:basedOn w:val="Normal"/>
    <w:pPr>
      <w:spacing w:before="120" w:after="120"/>
      <w:jc w:val="right"/>
    </w:pPr>
    <w:rPr>
      <w:lang w:eastAsia="de-DE"/>
    </w:rPr>
  </w:style>
  <w:style w:type="paragraph" w:customStyle="1" w:styleId="NormalLeft">
    <w:name w:val="Normal Left"/>
    <w:basedOn w:val="Normal"/>
    <w:pPr>
      <w:spacing w:before="120" w:after="120"/>
    </w:pPr>
  </w:style>
  <w:style w:type="paragraph" w:customStyle="1" w:styleId="Point0number">
    <w:name w:val="Point 0 (number)"/>
    <w:basedOn w:val="Normal"/>
    <w:uiPriority w:val="99"/>
    <w:pPr>
      <w:numPr>
        <w:numId w:val="27"/>
      </w:numPr>
      <w:spacing w:before="120" w:after="120"/>
      <w:jc w:val="both"/>
    </w:pPr>
    <w:rPr>
      <w:lang w:eastAsia="en-US"/>
    </w:rPr>
  </w:style>
  <w:style w:type="paragraph" w:customStyle="1" w:styleId="Point1number">
    <w:name w:val="Point 1 (number)"/>
    <w:basedOn w:val="Normal"/>
    <w:uiPriority w:val="99"/>
    <w:pPr>
      <w:numPr>
        <w:ilvl w:val="2"/>
        <w:numId w:val="27"/>
      </w:numPr>
      <w:spacing w:before="120" w:after="120"/>
      <w:jc w:val="both"/>
    </w:pPr>
    <w:rPr>
      <w:lang w:eastAsia="en-US"/>
    </w:rPr>
  </w:style>
  <w:style w:type="paragraph" w:customStyle="1" w:styleId="Point2number">
    <w:name w:val="Point 2 (number)"/>
    <w:basedOn w:val="Normal"/>
    <w:uiPriority w:val="99"/>
    <w:pPr>
      <w:numPr>
        <w:ilvl w:val="4"/>
        <w:numId w:val="27"/>
      </w:numPr>
      <w:spacing w:before="120" w:after="120"/>
      <w:jc w:val="both"/>
    </w:pPr>
    <w:rPr>
      <w:lang w:eastAsia="en-US"/>
    </w:rPr>
  </w:style>
  <w:style w:type="paragraph" w:customStyle="1" w:styleId="Point3number">
    <w:name w:val="Point 3 (number)"/>
    <w:basedOn w:val="Normal"/>
    <w:uiPriority w:val="99"/>
    <w:pPr>
      <w:numPr>
        <w:ilvl w:val="6"/>
        <w:numId w:val="27"/>
      </w:numPr>
      <w:spacing w:before="120" w:after="120"/>
      <w:jc w:val="both"/>
    </w:pPr>
    <w:rPr>
      <w:lang w:eastAsia="en-US"/>
    </w:rPr>
  </w:style>
  <w:style w:type="paragraph" w:customStyle="1" w:styleId="Point0letter">
    <w:name w:val="Point 0 (letter)"/>
    <w:basedOn w:val="Normal"/>
    <w:uiPriority w:val="99"/>
    <w:pPr>
      <w:numPr>
        <w:ilvl w:val="1"/>
        <w:numId w:val="27"/>
      </w:numPr>
      <w:spacing w:before="120" w:after="120"/>
      <w:jc w:val="both"/>
    </w:pPr>
    <w:rPr>
      <w:lang w:eastAsia="en-US"/>
    </w:rPr>
  </w:style>
  <w:style w:type="paragraph" w:customStyle="1" w:styleId="Point1letter">
    <w:name w:val="Point 1 (letter)"/>
    <w:basedOn w:val="Normal"/>
    <w:uiPriority w:val="99"/>
    <w:pPr>
      <w:numPr>
        <w:ilvl w:val="3"/>
        <w:numId w:val="27"/>
      </w:numPr>
      <w:spacing w:before="120" w:after="120"/>
      <w:jc w:val="both"/>
    </w:pPr>
    <w:rPr>
      <w:lang w:eastAsia="en-US"/>
    </w:rPr>
  </w:style>
  <w:style w:type="paragraph" w:customStyle="1" w:styleId="Point2letter">
    <w:name w:val="Point 2 (letter)"/>
    <w:basedOn w:val="Normal"/>
    <w:uiPriority w:val="99"/>
    <w:pPr>
      <w:numPr>
        <w:ilvl w:val="5"/>
        <w:numId w:val="27"/>
      </w:numPr>
      <w:spacing w:before="120" w:after="120"/>
      <w:jc w:val="both"/>
    </w:pPr>
    <w:rPr>
      <w:lang w:eastAsia="en-US"/>
    </w:rPr>
  </w:style>
  <w:style w:type="paragraph" w:customStyle="1" w:styleId="Point3letter">
    <w:name w:val="Point 3 (letter)"/>
    <w:basedOn w:val="Normal"/>
    <w:uiPriority w:val="99"/>
    <w:pPr>
      <w:numPr>
        <w:ilvl w:val="7"/>
        <w:numId w:val="27"/>
      </w:numPr>
      <w:spacing w:before="120" w:after="120"/>
      <w:jc w:val="both"/>
    </w:pPr>
    <w:rPr>
      <w:lang w:eastAsia="en-US"/>
    </w:rPr>
  </w:style>
  <w:style w:type="paragraph" w:customStyle="1" w:styleId="Point4letter">
    <w:name w:val="Point 4 (letter)"/>
    <w:basedOn w:val="Normal"/>
    <w:uiPriority w:val="99"/>
    <w:pPr>
      <w:numPr>
        <w:ilvl w:val="8"/>
        <w:numId w:val="27"/>
      </w:numPr>
      <w:spacing w:before="120" w:after="120"/>
      <w:jc w:val="both"/>
    </w:pPr>
    <w:rPr>
      <w:lang w:eastAsia="en-US"/>
    </w:rPr>
  </w:style>
  <w:style w:type="paragraph" w:customStyle="1" w:styleId="NumPar1">
    <w:name w:val="NumPar 1"/>
    <w:basedOn w:val="Normal"/>
    <w:next w:val="Text1"/>
    <w:pPr>
      <w:numPr>
        <w:numId w:val="36"/>
      </w:numPr>
      <w:spacing w:before="120" w:after="120"/>
      <w:jc w:val="both"/>
    </w:pPr>
    <w:rPr>
      <w:lang w:eastAsia="de-DE"/>
    </w:rPr>
  </w:style>
  <w:style w:type="paragraph" w:customStyle="1" w:styleId="NumPar2">
    <w:name w:val="NumPar 2"/>
    <w:basedOn w:val="Normal"/>
    <w:next w:val="Normal"/>
    <w:pPr>
      <w:numPr>
        <w:ilvl w:val="1"/>
        <w:numId w:val="36"/>
      </w:numPr>
      <w:spacing w:before="120" w:after="120"/>
      <w:jc w:val="both"/>
    </w:pPr>
    <w:rPr>
      <w:lang w:eastAsia="de-DE"/>
    </w:rPr>
  </w:style>
  <w:style w:type="paragraph" w:customStyle="1" w:styleId="NumPar3">
    <w:name w:val="NumPar 3"/>
    <w:basedOn w:val="Normal"/>
    <w:next w:val="Normal"/>
    <w:pPr>
      <w:numPr>
        <w:ilvl w:val="2"/>
        <w:numId w:val="36"/>
      </w:numPr>
      <w:spacing w:before="120" w:after="120"/>
      <w:jc w:val="both"/>
    </w:pPr>
    <w:rPr>
      <w:lang w:eastAsia="de-DE"/>
    </w:rPr>
  </w:style>
  <w:style w:type="paragraph" w:customStyle="1" w:styleId="NumPar4">
    <w:name w:val="NumPar 4"/>
    <w:basedOn w:val="Normal"/>
    <w:next w:val="Normal"/>
    <w:pPr>
      <w:numPr>
        <w:ilvl w:val="3"/>
        <w:numId w:val="36"/>
      </w:numPr>
      <w:spacing w:before="120" w:after="120"/>
      <w:jc w:val="both"/>
    </w:pPr>
    <w:rPr>
      <w:lang w:eastAsia="de-DE"/>
    </w:rPr>
  </w:style>
  <w:style w:type="paragraph" w:customStyle="1" w:styleId="Exposdesmotifstitre">
    <w:name w:val="Exposé des motifs titre"/>
    <w:basedOn w:val="Normal"/>
    <w:next w:val="Normal"/>
    <w:pPr>
      <w:spacing w:before="120" w:after="120"/>
      <w:jc w:val="center"/>
    </w:pPr>
    <w:rPr>
      <w:b/>
      <w:u w:val="single"/>
      <w:lang w:eastAsia="de-DE"/>
    </w:rPr>
  </w:style>
  <w:style w:type="character" w:styleId="CommentReference">
    <w:name w:val="annotation reference"/>
    <w:rPr>
      <w:sz w:val="16"/>
      <w:szCs w:val="16"/>
    </w:rPr>
  </w:style>
  <w:style w:type="paragraph" w:customStyle="1" w:styleId="Statut">
    <w:name w:val="Statut"/>
    <w:basedOn w:val="Normal"/>
    <w:next w:val="Typedudocument"/>
    <w:pPr>
      <w:spacing w:before="360"/>
      <w:jc w:val="center"/>
    </w:pPr>
    <w:rPr>
      <w:rFonts w:eastAsia="Calibri"/>
      <w:szCs w:val="22"/>
      <w:lang w:eastAsia="en-US"/>
    </w:rPr>
  </w:style>
  <w:style w:type="paragraph" w:customStyle="1" w:styleId="Declassification">
    <w:name w:val="Declassification"/>
    <w:basedOn w:val="Normal"/>
    <w:next w:val="Normal"/>
    <w:pPr>
      <w:jc w:val="both"/>
    </w:pPr>
    <w:rPr>
      <w:rFonts w:eastAsiaTheme="minorHAnsi"/>
      <w:szCs w:val="22"/>
      <w:lang w:eastAsia="en-US"/>
    </w:rPr>
  </w:style>
  <w:style w:type="character" w:customStyle="1" w:styleId="HeaderChar">
    <w:name w:val="Header Char"/>
    <w:basedOn w:val="DefaultParagraphFont"/>
    <w:link w:val="Header"/>
    <w:uiPriority w:val="99"/>
    <w:rPr>
      <w:rFonts w:eastAsiaTheme="minorHAnsi"/>
      <w:sz w:val="24"/>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FooterChar">
    <w:name w:val="Footer Char"/>
    <w:basedOn w:val="DefaultParagraphFont"/>
    <w:link w:val="Footer"/>
    <w:uiPriority w:val="99"/>
    <w:rPr>
      <w:rFonts w:eastAsiaTheme="minorHAnsi"/>
      <w:sz w:val="24"/>
      <w:szCs w:val="22"/>
      <w:lang w:eastAsia="en-US"/>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ind w:left="720"/>
      <w:contextualSpacing/>
    </w:p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paragraph" w:styleId="Revision">
    <w:name w:val="Revision"/>
    <w:hidden/>
    <w:uiPriority w:val="99"/>
    <w:semiHidden/>
    <w:rPr>
      <w:sz w:val="24"/>
      <w:szCs w:val="24"/>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Pr>
      <w:sz w:val="24"/>
      <w:szCs w:val="24"/>
    </w:rPr>
  </w:style>
  <w:style w:type="paragraph" w:styleId="Heading1">
    <w:name w:val="heading 1"/>
    <w:basedOn w:val="Normal"/>
    <w:next w:val="Normal"/>
    <w:autoRedefine/>
    <w:qFormat/>
    <w:pPr>
      <w:keepNext/>
      <w:spacing w:before="240" w:after="120"/>
      <w:outlineLvl w:val="0"/>
    </w:pPr>
    <w:rPr>
      <w:rFonts w:ascii="Arial" w:hAnsi="Arial" w:cs="Arial"/>
      <w:b/>
      <w:bCs/>
      <w:kern w:val="32"/>
      <w:sz w:val="32"/>
      <w:szCs w:val="32"/>
    </w:rPr>
  </w:style>
  <w:style w:type="paragraph" w:styleId="Heading2">
    <w:name w:val="heading 2"/>
    <w:basedOn w:val="Normal"/>
    <w:next w:val="Normal"/>
    <w:autoRedefine/>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qFormat/>
    <w:pPr>
      <w:keepNext/>
      <w:numPr>
        <w:ilvl w:val="3"/>
      </w:numPr>
      <w:tabs>
        <w:tab w:val="num" w:pos="1030"/>
      </w:tabs>
      <w:spacing w:before="120" w:after="120"/>
      <w:ind w:left="1030" w:hanging="850"/>
      <w:jc w:val="both"/>
      <w:outlineLvl w:val="3"/>
    </w:pPr>
    <w:rPr>
      <w:b/>
      <w:bCs/>
      <w:szCs w:val="28"/>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paragraph" w:styleId="FootnoteText">
    <w:name w:val="footnote text"/>
    <w:basedOn w:val="Normal"/>
    <w:link w:val="FootnoteTextChar"/>
    <w:pPr>
      <w:ind w:left="720" w:hanging="720"/>
      <w:jc w:val="both"/>
    </w:pPr>
    <w:rPr>
      <w:sz w:val="20"/>
      <w:szCs w:val="20"/>
      <w:lang w:eastAsia="de-DE"/>
    </w:rPr>
  </w:style>
  <w:style w:type="paragraph" w:styleId="TOC1">
    <w:name w:val="toc 1"/>
    <w:basedOn w:val="Normal"/>
    <w:next w:val="Normal"/>
    <w:uiPriority w:val="39"/>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uiPriority w:val="99"/>
    <w:rPr>
      <w:vertAlign w:val="superscript"/>
    </w:rPr>
  </w:style>
  <w:style w:type="paragraph" w:customStyle="1" w:styleId="Text1">
    <w:name w:val="Text 1"/>
    <w:basedOn w:val="Normal"/>
    <w:pPr>
      <w:spacing w:before="120" w:after="120"/>
      <w:ind w:left="850"/>
      <w:jc w:val="both"/>
    </w:pPr>
    <w:rPr>
      <w:lang w:eastAsia="de-DE"/>
    </w:rPr>
  </w:style>
  <w:style w:type="paragraph" w:customStyle="1" w:styleId="Tiret0">
    <w:name w:val="Tiret 0"/>
    <w:basedOn w:val="Normal"/>
    <w:pPr>
      <w:numPr>
        <w:numId w:val="1"/>
      </w:numPr>
      <w:spacing w:before="120" w:after="120"/>
      <w:jc w:val="both"/>
    </w:pPr>
    <w:rPr>
      <w:lang w:eastAsia="de-DE"/>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lang w:eastAsia="de-DE"/>
    </w:r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b/>
      <w:lang w:eastAsia="de-DE"/>
    </w:rPr>
  </w:style>
  <w:style w:type="paragraph" w:customStyle="1" w:styleId="ListDash">
    <w:name w:val="List Dash"/>
    <w:basedOn w:val="Normal"/>
    <w:link w:val="ListDashChar"/>
    <w:pPr>
      <w:numPr>
        <w:numId w:val="2"/>
      </w:numPr>
      <w:spacing w:before="120" w:after="120"/>
      <w:jc w:val="both"/>
    </w:pPr>
    <w:rPr>
      <w:lang w:eastAsia="de-DE"/>
    </w:rPr>
  </w:style>
  <w:style w:type="paragraph" w:styleId="TOCHeading">
    <w:name w:val="TOC Heading"/>
    <w:basedOn w:val="Normal"/>
    <w:next w:val="Normal"/>
    <w:qFormat/>
    <w:pPr>
      <w:spacing w:before="120" w:after="240"/>
      <w:jc w:val="center"/>
    </w:pPr>
    <w:rPr>
      <w:b/>
      <w:sz w:val="28"/>
      <w:lang w:eastAsia="de-DE"/>
    </w:rPr>
  </w:style>
  <w:style w:type="paragraph" w:customStyle="1" w:styleId="Prliminairetitre">
    <w:name w:val="Préliminaire titre"/>
    <w:basedOn w:val="Normal"/>
    <w:next w:val="Normal"/>
    <w:pPr>
      <w:spacing w:before="360" w:after="360"/>
      <w:jc w:val="center"/>
    </w:pPr>
    <w:rPr>
      <w:b/>
      <w:lang w:eastAsia="de-DE"/>
    </w:rPr>
  </w:style>
  <w:style w:type="paragraph" w:customStyle="1" w:styleId="Prliminairetype">
    <w:name w:val="Préliminaire type"/>
    <w:basedOn w:val="Normal"/>
    <w:next w:val="Normal"/>
    <w:pPr>
      <w:spacing w:before="360"/>
      <w:jc w:val="center"/>
    </w:pPr>
    <w:rPr>
      <w:b/>
      <w:lang w:eastAsia="de-DE"/>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rPr>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pPr>
      <w:ind w:left="240"/>
    </w:pPr>
    <w:rPr>
      <w:smallCaps/>
      <w:sz w:val="20"/>
      <w:szCs w:val="20"/>
    </w:rPr>
  </w:style>
  <w:style w:type="paragraph" w:styleId="TOC3">
    <w:name w:val="toc 3"/>
    <w:basedOn w:val="Normal"/>
    <w:next w:val="Normal"/>
    <w:autoRedefine/>
    <w:semiHidden/>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7"/>
      </w:numPr>
      <w:spacing w:before="120" w:after="120"/>
      <w:jc w:val="both"/>
    </w:pPr>
    <w:rPr>
      <w:lang w:eastAsia="de-DE"/>
    </w:rPr>
  </w:style>
  <w:style w:type="paragraph" w:customStyle="1" w:styleId="ListDash2">
    <w:name w:val="List Dash 2"/>
    <w:basedOn w:val="Normal"/>
    <w:pPr>
      <w:tabs>
        <w:tab w:val="num" w:pos="1134"/>
      </w:tabs>
      <w:spacing w:before="120" w:after="120"/>
      <w:ind w:left="1134" w:hanging="283"/>
      <w:jc w:val="both"/>
    </w:pPr>
    <w:rPr>
      <w:lang w:eastAsia="de-DE"/>
    </w:rPr>
  </w:style>
  <w:style w:type="paragraph" w:customStyle="1" w:styleId="ListBullet1">
    <w:name w:val="List Bullet 1"/>
    <w:basedOn w:val="Text1"/>
    <w:pPr>
      <w:numPr>
        <w:numId w:val="8"/>
      </w:numPr>
      <w:spacing w:before="0" w:after="240"/>
    </w:pPr>
    <w:rPr>
      <w:szCs w:val="20"/>
      <w:lang w:eastAsia="en-US"/>
    </w:rPr>
  </w:style>
  <w:style w:type="paragraph" w:styleId="ListBullet2">
    <w:name w:val="List Bullet 2"/>
    <w:basedOn w:val="Normal"/>
    <w:pPr>
      <w:numPr>
        <w:numId w:val="14"/>
      </w:numPr>
      <w:spacing w:after="240"/>
      <w:jc w:val="both"/>
    </w:pPr>
    <w:rPr>
      <w:szCs w:val="20"/>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lang w:eastAsia="en-US"/>
    </w:rPr>
  </w:style>
  <w:style w:type="paragraph" w:customStyle="1" w:styleId="Titreobjet">
    <w:name w:val="Titre objet"/>
    <w:basedOn w:val="Normal"/>
    <w:next w:val="Normal"/>
    <w:pPr>
      <w:spacing w:before="360" w:after="360"/>
      <w:jc w:val="center"/>
    </w:pPr>
    <w:rPr>
      <w:b/>
      <w:lang w:eastAsia="en-US"/>
    </w:rPr>
  </w:style>
  <w:style w:type="character" w:styleId="Emphasis">
    <w:name w:val="Emphasis"/>
    <w:qFormat/>
    <w:rPr>
      <w:i/>
      <w:iCs/>
    </w:rPr>
  </w:style>
  <w:style w:type="paragraph" w:styleId="NormalWeb">
    <w:name w:val="Normal (Web)"/>
    <w:basedOn w:val="Normal"/>
    <w:pPr>
      <w:spacing w:before="100" w:beforeAutospacing="1" w:after="100" w:afterAutospacing="1"/>
    </w:pPr>
  </w:style>
  <w:style w:type="paragraph" w:customStyle="1" w:styleId="Text2">
    <w:name w:val="Text 2"/>
    <w:basedOn w:val="Normal"/>
    <w:pPr>
      <w:spacing w:before="120" w:after="120"/>
      <w:ind w:left="850"/>
      <w:jc w:val="both"/>
    </w:pPr>
    <w:rPr>
      <w:lang w:eastAsia="en-US"/>
    </w:rPr>
  </w:style>
  <w:style w:type="paragraph" w:styleId="BalloonText">
    <w:name w:val="Balloon Text"/>
    <w:basedOn w:val="Normal"/>
    <w:semiHidden/>
    <w:rPr>
      <w:rFonts w:ascii="Tahoma" w:hAnsi="Tahoma" w:cs="Tahoma"/>
      <w:sz w:val="16"/>
      <w:szCs w:val="16"/>
    </w:rPr>
  </w:style>
  <w:style w:type="paragraph" w:styleId="ListNumber">
    <w:name w:val="List Number"/>
    <w:basedOn w:val="Normal"/>
    <w:pPr>
      <w:numPr>
        <w:numId w:val="28"/>
      </w:numPr>
      <w:spacing w:before="120" w:after="120"/>
      <w:jc w:val="both"/>
    </w:pPr>
    <w:rPr>
      <w:lang w:eastAsia="de-DE"/>
    </w:rPr>
  </w:style>
  <w:style w:type="paragraph" w:customStyle="1" w:styleId="ListNumberLevel2">
    <w:name w:val="List Number (Level 2)"/>
    <w:basedOn w:val="Normal"/>
    <w:pPr>
      <w:numPr>
        <w:ilvl w:val="1"/>
        <w:numId w:val="28"/>
      </w:numPr>
      <w:spacing w:before="120" w:after="120"/>
      <w:jc w:val="both"/>
    </w:pPr>
    <w:rPr>
      <w:lang w:eastAsia="de-DE"/>
    </w:rPr>
  </w:style>
  <w:style w:type="paragraph" w:customStyle="1" w:styleId="ListNumberLevel3">
    <w:name w:val="List Number (Level 3)"/>
    <w:basedOn w:val="Normal"/>
    <w:pPr>
      <w:numPr>
        <w:ilvl w:val="2"/>
        <w:numId w:val="28"/>
      </w:numPr>
      <w:spacing w:before="120" w:after="120"/>
      <w:jc w:val="both"/>
    </w:pPr>
    <w:rPr>
      <w:lang w:eastAsia="de-DE"/>
    </w:rPr>
  </w:style>
  <w:style w:type="paragraph" w:customStyle="1" w:styleId="ListNumberLevel4">
    <w:name w:val="List Number (Level 4)"/>
    <w:basedOn w:val="Normal"/>
    <w:pPr>
      <w:numPr>
        <w:ilvl w:val="3"/>
        <w:numId w:val="28"/>
      </w:numPr>
      <w:spacing w:before="120" w:after="120"/>
      <w:jc w:val="both"/>
    </w:pPr>
    <w:rPr>
      <w:lang w:eastAsia="de-DE"/>
    </w:rPr>
  </w:style>
  <w:style w:type="character" w:customStyle="1" w:styleId="ListDashChar">
    <w:name w:val="List Dash Char"/>
    <w:link w:val="ListDash"/>
    <w:rPr>
      <w:sz w:val="24"/>
      <w:szCs w:val="24"/>
      <w:lang w:eastAsia="de-DE"/>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rPr>
      <w:lang w:eastAsia="de-DE"/>
    </w:rPr>
  </w:style>
  <w:style w:type="paragraph" w:customStyle="1" w:styleId="NormalCentered">
    <w:name w:val="Normal Centered"/>
    <w:basedOn w:val="Normal"/>
    <w:pPr>
      <w:spacing w:before="120" w:after="120"/>
      <w:jc w:val="center"/>
    </w:pPr>
    <w:rPr>
      <w:lang w:eastAsia="de-DE"/>
    </w:rPr>
  </w:style>
  <w:style w:type="paragraph" w:customStyle="1" w:styleId="NormalRight">
    <w:name w:val="Normal Right"/>
    <w:basedOn w:val="Normal"/>
    <w:pPr>
      <w:spacing w:before="120" w:after="120"/>
      <w:jc w:val="right"/>
    </w:pPr>
    <w:rPr>
      <w:lang w:eastAsia="de-DE"/>
    </w:rPr>
  </w:style>
  <w:style w:type="paragraph" w:customStyle="1" w:styleId="NormalLeft">
    <w:name w:val="Normal Left"/>
    <w:basedOn w:val="Normal"/>
    <w:pPr>
      <w:spacing w:before="120" w:after="120"/>
    </w:pPr>
  </w:style>
  <w:style w:type="paragraph" w:customStyle="1" w:styleId="Point0number">
    <w:name w:val="Point 0 (number)"/>
    <w:basedOn w:val="Normal"/>
    <w:uiPriority w:val="99"/>
    <w:pPr>
      <w:numPr>
        <w:numId w:val="27"/>
      </w:numPr>
      <w:spacing w:before="120" w:after="120"/>
      <w:jc w:val="both"/>
    </w:pPr>
    <w:rPr>
      <w:lang w:eastAsia="en-US"/>
    </w:rPr>
  </w:style>
  <w:style w:type="paragraph" w:customStyle="1" w:styleId="Point1number">
    <w:name w:val="Point 1 (number)"/>
    <w:basedOn w:val="Normal"/>
    <w:uiPriority w:val="99"/>
    <w:pPr>
      <w:numPr>
        <w:ilvl w:val="2"/>
        <w:numId w:val="27"/>
      </w:numPr>
      <w:spacing w:before="120" w:after="120"/>
      <w:jc w:val="both"/>
    </w:pPr>
    <w:rPr>
      <w:lang w:eastAsia="en-US"/>
    </w:rPr>
  </w:style>
  <w:style w:type="paragraph" w:customStyle="1" w:styleId="Point2number">
    <w:name w:val="Point 2 (number)"/>
    <w:basedOn w:val="Normal"/>
    <w:uiPriority w:val="99"/>
    <w:pPr>
      <w:numPr>
        <w:ilvl w:val="4"/>
        <w:numId w:val="27"/>
      </w:numPr>
      <w:spacing w:before="120" w:after="120"/>
      <w:jc w:val="both"/>
    </w:pPr>
    <w:rPr>
      <w:lang w:eastAsia="en-US"/>
    </w:rPr>
  </w:style>
  <w:style w:type="paragraph" w:customStyle="1" w:styleId="Point3number">
    <w:name w:val="Point 3 (number)"/>
    <w:basedOn w:val="Normal"/>
    <w:uiPriority w:val="99"/>
    <w:pPr>
      <w:numPr>
        <w:ilvl w:val="6"/>
        <w:numId w:val="27"/>
      </w:numPr>
      <w:spacing w:before="120" w:after="120"/>
      <w:jc w:val="both"/>
    </w:pPr>
    <w:rPr>
      <w:lang w:eastAsia="en-US"/>
    </w:rPr>
  </w:style>
  <w:style w:type="paragraph" w:customStyle="1" w:styleId="Point0letter">
    <w:name w:val="Point 0 (letter)"/>
    <w:basedOn w:val="Normal"/>
    <w:uiPriority w:val="99"/>
    <w:pPr>
      <w:numPr>
        <w:ilvl w:val="1"/>
        <w:numId w:val="27"/>
      </w:numPr>
      <w:spacing w:before="120" w:after="120"/>
      <w:jc w:val="both"/>
    </w:pPr>
    <w:rPr>
      <w:lang w:eastAsia="en-US"/>
    </w:rPr>
  </w:style>
  <w:style w:type="paragraph" w:customStyle="1" w:styleId="Point1letter">
    <w:name w:val="Point 1 (letter)"/>
    <w:basedOn w:val="Normal"/>
    <w:uiPriority w:val="99"/>
    <w:pPr>
      <w:numPr>
        <w:ilvl w:val="3"/>
        <w:numId w:val="27"/>
      </w:numPr>
      <w:spacing w:before="120" w:after="120"/>
      <w:jc w:val="both"/>
    </w:pPr>
    <w:rPr>
      <w:lang w:eastAsia="en-US"/>
    </w:rPr>
  </w:style>
  <w:style w:type="paragraph" w:customStyle="1" w:styleId="Point2letter">
    <w:name w:val="Point 2 (letter)"/>
    <w:basedOn w:val="Normal"/>
    <w:uiPriority w:val="99"/>
    <w:pPr>
      <w:numPr>
        <w:ilvl w:val="5"/>
        <w:numId w:val="27"/>
      </w:numPr>
      <w:spacing w:before="120" w:after="120"/>
      <w:jc w:val="both"/>
    </w:pPr>
    <w:rPr>
      <w:lang w:eastAsia="en-US"/>
    </w:rPr>
  </w:style>
  <w:style w:type="paragraph" w:customStyle="1" w:styleId="Point3letter">
    <w:name w:val="Point 3 (letter)"/>
    <w:basedOn w:val="Normal"/>
    <w:uiPriority w:val="99"/>
    <w:pPr>
      <w:numPr>
        <w:ilvl w:val="7"/>
        <w:numId w:val="27"/>
      </w:numPr>
      <w:spacing w:before="120" w:after="120"/>
      <w:jc w:val="both"/>
    </w:pPr>
    <w:rPr>
      <w:lang w:eastAsia="en-US"/>
    </w:rPr>
  </w:style>
  <w:style w:type="paragraph" w:customStyle="1" w:styleId="Point4letter">
    <w:name w:val="Point 4 (letter)"/>
    <w:basedOn w:val="Normal"/>
    <w:uiPriority w:val="99"/>
    <w:pPr>
      <w:numPr>
        <w:ilvl w:val="8"/>
        <w:numId w:val="27"/>
      </w:numPr>
      <w:spacing w:before="120" w:after="120"/>
      <w:jc w:val="both"/>
    </w:pPr>
    <w:rPr>
      <w:lang w:eastAsia="en-US"/>
    </w:rPr>
  </w:style>
  <w:style w:type="paragraph" w:customStyle="1" w:styleId="NumPar1">
    <w:name w:val="NumPar 1"/>
    <w:basedOn w:val="Normal"/>
    <w:next w:val="Text1"/>
    <w:pPr>
      <w:numPr>
        <w:numId w:val="36"/>
      </w:numPr>
      <w:spacing w:before="120" w:after="120"/>
      <w:jc w:val="both"/>
    </w:pPr>
    <w:rPr>
      <w:lang w:eastAsia="de-DE"/>
    </w:rPr>
  </w:style>
  <w:style w:type="paragraph" w:customStyle="1" w:styleId="NumPar2">
    <w:name w:val="NumPar 2"/>
    <w:basedOn w:val="Normal"/>
    <w:next w:val="Normal"/>
    <w:pPr>
      <w:numPr>
        <w:ilvl w:val="1"/>
        <w:numId w:val="36"/>
      </w:numPr>
      <w:spacing w:before="120" w:after="120"/>
      <w:jc w:val="both"/>
    </w:pPr>
    <w:rPr>
      <w:lang w:eastAsia="de-DE"/>
    </w:rPr>
  </w:style>
  <w:style w:type="paragraph" w:customStyle="1" w:styleId="NumPar3">
    <w:name w:val="NumPar 3"/>
    <w:basedOn w:val="Normal"/>
    <w:next w:val="Normal"/>
    <w:pPr>
      <w:numPr>
        <w:ilvl w:val="2"/>
        <w:numId w:val="36"/>
      </w:numPr>
      <w:spacing w:before="120" w:after="120"/>
      <w:jc w:val="both"/>
    </w:pPr>
    <w:rPr>
      <w:lang w:eastAsia="de-DE"/>
    </w:rPr>
  </w:style>
  <w:style w:type="paragraph" w:customStyle="1" w:styleId="NumPar4">
    <w:name w:val="NumPar 4"/>
    <w:basedOn w:val="Normal"/>
    <w:next w:val="Normal"/>
    <w:pPr>
      <w:numPr>
        <w:ilvl w:val="3"/>
        <w:numId w:val="36"/>
      </w:numPr>
      <w:spacing w:before="120" w:after="120"/>
      <w:jc w:val="both"/>
    </w:pPr>
    <w:rPr>
      <w:lang w:eastAsia="de-DE"/>
    </w:rPr>
  </w:style>
  <w:style w:type="paragraph" w:customStyle="1" w:styleId="Exposdesmotifstitre">
    <w:name w:val="Exposé des motifs titre"/>
    <w:basedOn w:val="Normal"/>
    <w:next w:val="Normal"/>
    <w:pPr>
      <w:spacing w:before="120" w:after="120"/>
      <w:jc w:val="center"/>
    </w:pPr>
    <w:rPr>
      <w:b/>
      <w:u w:val="single"/>
      <w:lang w:eastAsia="de-DE"/>
    </w:rPr>
  </w:style>
  <w:style w:type="character" w:styleId="CommentReference">
    <w:name w:val="annotation reference"/>
    <w:rPr>
      <w:sz w:val="16"/>
      <w:szCs w:val="16"/>
    </w:rPr>
  </w:style>
  <w:style w:type="paragraph" w:customStyle="1" w:styleId="Statut">
    <w:name w:val="Statut"/>
    <w:basedOn w:val="Normal"/>
    <w:next w:val="Typedudocument"/>
    <w:pPr>
      <w:spacing w:before="360"/>
      <w:jc w:val="center"/>
    </w:pPr>
    <w:rPr>
      <w:rFonts w:eastAsia="Calibri"/>
      <w:szCs w:val="22"/>
      <w:lang w:eastAsia="en-US"/>
    </w:rPr>
  </w:style>
  <w:style w:type="paragraph" w:customStyle="1" w:styleId="Declassification">
    <w:name w:val="Declassification"/>
    <w:basedOn w:val="Normal"/>
    <w:next w:val="Normal"/>
    <w:pPr>
      <w:jc w:val="both"/>
    </w:pPr>
    <w:rPr>
      <w:rFonts w:eastAsiaTheme="minorHAnsi"/>
      <w:szCs w:val="22"/>
      <w:lang w:eastAsia="en-US"/>
    </w:rPr>
  </w:style>
  <w:style w:type="character" w:customStyle="1" w:styleId="HeaderChar">
    <w:name w:val="Header Char"/>
    <w:basedOn w:val="DefaultParagraphFont"/>
    <w:link w:val="Header"/>
    <w:uiPriority w:val="99"/>
    <w:rPr>
      <w:rFonts w:eastAsiaTheme="minorHAnsi"/>
      <w:sz w:val="24"/>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FooterChar">
    <w:name w:val="Footer Char"/>
    <w:basedOn w:val="DefaultParagraphFont"/>
    <w:link w:val="Footer"/>
    <w:uiPriority w:val="99"/>
    <w:rPr>
      <w:rFonts w:eastAsiaTheme="minorHAnsi"/>
      <w:sz w:val="24"/>
      <w:szCs w:val="22"/>
      <w:lang w:eastAsia="en-US"/>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ind w:left="720"/>
      <w:contextualSpacing/>
    </w:p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paragraph" w:styleId="Revision">
    <w:name w:val="Revision"/>
    <w:hidden/>
    <w:uiPriority w:val="99"/>
    <w:semiHidden/>
    <w:rPr>
      <w:sz w:val="24"/>
      <w:szCs w:val="24"/>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94795">
      <w:bodyDiv w:val="1"/>
      <w:marLeft w:val="0"/>
      <w:marRight w:val="0"/>
      <w:marTop w:val="0"/>
      <w:marBottom w:val="0"/>
      <w:divBdr>
        <w:top w:val="none" w:sz="0" w:space="0" w:color="auto"/>
        <w:left w:val="none" w:sz="0" w:space="0" w:color="auto"/>
        <w:bottom w:val="none" w:sz="0" w:space="0" w:color="auto"/>
        <w:right w:val="none" w:sz="0" w:space="0" w:color="auto"/>
      </w:divBdr>
    </w:div>
    <w:div w:id="129058754">
      <w:bodyDiv w:val="1"/>
      <w:marLeft w:val="0"/>
      <w:marRight w:val="0"/>
      <w:marTop w:val="0"/>
      <w:marBottom w:val="0"/>
      <w:divBdr>
        <w:top w:val="none" w:sz="0" w:space="0" w:color="auto"/>
        <w:left w:val="none" w:sz="0" w:space="0" w:color="auto"/>
        <w:bottom w:val="none" w:sz="0" w:space="0" w:color="auto"/>
        <w:right w:val="none" w:sz="0" w:space="0" w:color="auto"/>
      </w:divBdr>
    </w:div>
    <w:div w:id="140775662">
      <w:bodyDiv w:val="1"/>
      <w:marLeft w:val="0"/>
      <w:marRight w:val="0"/>
      <w:marTop w:val="0"/>
      <w:marBottom w:val="0"/>
      <w:divBdr>
        <w:top w:val="none" w:sz="0" w:space="0" w:color="auto"/>
        <w:left w:val="none" w:sz="0" w:space="0" w:color="auto"/>
        <w:bottom w:val="none" w:sz="0" w:space="0" w:color="auto"/>
        <w:right w:val="none" w:sz="0" w:space="0" w:color="auto"/>
      </w:divBdr>
    </w:div>
    <w:div w:id="269511476">
      <w:bodyDiv w:val="1"/>
      <w:marLeft w:val="0"/>
      <w:marRight w:val="0"/>
      <w:marTop w:val="0"/>
      <w:marBottom w:val="0"/>
      <w:divBdr>
        <w:top w:val="none" w:sz="0" w:space="0" w:color="auto"/>
        <w:left w:val="none" w:sz="0" w:space="0" w:color="auto"/>
        <w:bottom w:val="none" w:sz="0" w:space="0" w:color="auto"/>
        <w:right w:val="none" w:sz="0" w:space="0" w:color="auto"/>
      </w:divBdr>
    </w:div>
    <w:div w:id="526875107">
      <w:bodyDiv w:val="1"/>
      <w:marLeft w:val="0"/>
      <w:marRight w:val="0"/>
      <w:marTop w:val="0"/>
      <w:marBottom w:val="0"/>
      <w:divBdr>
        <w:top w:val="none" w:sz="0" w:space="0" w:color="auto"/>
        <w:left w:val="none" w:sz="0" w:space="0" w:color="auto"/>
        <w:bottom w:val="none" w:sz="0" w:space="0" w:color="auto"/>
        <w:right w:val="none" w:sz="0" w:space="0" w:color="auto"/>
      </w:divBdr>
    </w:div>
    <w:div w:id="631600828">
      <w:bodyDiv w:val="1"/>
      <w:marLeft w:val="0"/>
      <w:marRight w:val="0"/>
      <w:marTop w:val="0"/>
      <w:marBottom w:val="0"/>
      <w:divBdr>
        <w:top w:val="none" w:sz="0" w:space="0" w:color="auto"/>
        <w:left w:val="none" w:sz="0" w:space="0" w:color="auto"/>
        <w:bottom w:val="none" w:sz="0" w:space="0" w:color="auto"/>
        <w:right w:val="none" w:sz="0" w:space="0" w:color="auto"/>
      </w:divBdr>
    </w:div>
    <w:div w:id="651643793">
      <w:bodyDiv w:val="1"/>
      <w:marLeft w:val="0"/>
      <w:marRight w:val="0"/>
      <w:marTop w:val="0"/>
      <w:marBottom w:val="0"/>
      <w:divBdr>
        <w:top w:val="none" w:sz="0" w:space="0" w:color="auto"/>
        <w:left w:val="none" w:sz="0" w:space="0" w:color="auto"/>
        <w:bottom w:val="none" w:sz="0" w:space="0" w:color="auto"/>
        <w:right w:val="none" w:sz="0" w:space="0" w:color="auto"/>
      </w:divBdr>
    </w:div>
    <w:div w:id="744688616">
      <w:bodyDiv w:val="1"/>
      <w:marLeft w:val="0"/>
      <w:marRight w:val="0"/>
      <w:marTop w:val="0"/>
      <w:marBottom w:val="0"/>
      <w:divBdr>
        <w:top w:val="none" w:sz="0" w:space="0" w:color="auto"/>
        <w:left w:val="none" w:sz="0" w:space="0" w:color="auto"/>
        <w:bottom w:val="none" w:sz="0" w:space="0" w:color="auto"/>
        <w:right w:val="none" w:sz="0" w:space="0" w:color="auto"/>
      </w:divBdr>
    </w:div>
    <w:div w:id="874540662">
      <w:bodyDiv w:val="1"/>
      <w:marLeft w:val="0"/>
      <w:marRight w:val="0"/>
      <w:marTop w:val="0"/>
      <w:marBottom w:val="0"/>
      <w:divBdr>
        <w:top w:val="none" w:sz="0" w:space="0" w:color="auto"/>
        <w:left w:val="none" w:sz="0" w:space="0" w:color="auto"/>
        <w:bottom w:val="none" w:sz="0" w:space="0" w:color="auto"/>
        <w:right w:val="none" w:sz="0" w:space="0" w:color="auto"/>
      </w:divBdr>
    </w:div>
    <w:div w:id="898131723">
      <w:bodyDiv w:val="1"/>
      <w:marLeft w:val="0"/>
      <w:marRight w:val="0"/>
      <w:marTop w:val="0"/>
      <w:marBottom w:val="0"/>
      <w:divBdr>
        <w:top w:val="none" w:sz="0" w:space="0" w:color="auto"/>
        <w:left w:val="none" w:sz="0" w:space="0" w:color="auto"/>
        <w:bottom w:val="none" w:sz="0" w:space="0" w:color="auto"/>
        <w:right w:val="none" w:sz="0" w:space="0" w:color="auto"/>
      </w:divBdr>
    </w:div>
    <w:div w:id="904336155">
      <w:bodyDiv w:val="1"/>
      <w:marLeft w:val="0"/>
      <w:marRight w:val="0"/>
      <w:marTop w:val="0"/>
      <w:marBottom w:val="0"/>
      <w:divBdr>
        <w:top w:val="none" w:sz="0" w:space="0" w:color="auto"/>
        <w:left w:val="none" w:sz="0" w:space="0" w:color="auto"/>
        <w:bottom w:val="none" w:sz="0" w:space="0" w:color="auto"/>
        <w:right w:val="none" w:sz="0" w:space="0" w:color="auto"/>
      </w:divBdr>
    </w:div>
    <w:div w:id="1017465266">
      <w:bodyDiv w:val="1"/>
      <w:marLeft w:val="0"/>
      <w:marRight w:val="0"/>
      <w:marTop w:val="0"/>
      <w:marBottom w:val="0"/>
      <w:divBdr>
        <w:top w:val="none" w:sz="0" w:space="0" w:color="auto"/>
        <w:left w:val="none" w:sz="0" w:space="0" w:color="auto"/>
        <w:bottom w:val="none" w:sz="0" w:space="0" w:color="auto"/>
        <w:right w:val="none" w:sz="0" w:space="0" w:color="auto"/>
      </w:divBdr>
    </w:div>
    <w:div w:id="1051805765">
      <w:bodyDiv w:val="1"/>
      <w:marLeft w:val="0"/>
      <w:marRight w:val="0"/>
      <w:marTop w:val="0"/>
      <w:marBottom w:val="0"/>
      <w:divBdr>
        <w:top w:val="none" w:sz="0" w:space="0" w:color="auto"/>
        <w:left w:val="none" w:sz="0" w:space="0" w:color="auto"/>
        <w:bottom w:val="none" w:sz="0" w:space="0" w:color="auto"/>
        <w:right w:val="none" w:sz="0" w:space="0" w:color="auto"/>
      </w:divBdr>
      <w:divsChild>
        <w:div w:id="1326399010">
          <w:marLeft w:val="0"/>
          <w:marRight w:val="0"/>
          <w:marTop w:val="0"/>
          <w:marBottom w:val="0"/>
          <w:divBdr>
            <w:top w:val="none" w:sz="0" w:space="0" w:color="auto"/>
            <w:left w:val="none" w:sz="0" w:space="0" w:color="auto"/>
            <w:bottom w:val="none" w:sz="0" w:space="0" w:color="auto"/>
            <w:right w:val="none" w:sz="0" w:space="0" w:color="auto"/>
          </w:divBdr>
          <w:divsChild>
            <w:div w:id="10768024">
              <w:marLeft w:val="0"/>
              <w:marRight w:val="0"/>
              <w:marTop w:val="0"/>
              <w:marBottom w:val="0"/>
              <w:divBdr>
                <w:top w:val="none" w:sz="0" w:space="0" w:color="auto"/>
                <w:left w:val="none" w:sz="0" w:space="0" w:color="auto"/>
                <w:bottom w:val="none" w:sz="0" w:space="0" w:color="auto"/>
                <w:right w:val="none" w:sz="0" w:space="0" w:color="auto"/>
              </w:divBdr>
              <w:divsChild>
                <w:div w:id="1110509085">
                  <w:marLeft w:val="-225"/>
                  <w:marRight w:val="-225"/>
                  <w:marTop w:val="0"/>
                  <w:marBottom w:val="0"/>
                  <w:divBdr>
                    <w:top w:val="none" w:sz="0" w:space="0" w:color="auto"/>
                    <w:left w:val="none" w:sz="0" w:space="0" w:color="auto"/>
                    <w:bottom w:val="none" w:sz="0" w:space="0" w:color="auto"/>
                    <w:right w:val="none" w:sz="0" w:space="0" w:color="auto"/>
                  </w:divBdr>
                  <w:divsChild>
                    <w:div w:id="2092005566">
                      <w:marLeft w:val="0"/>
                      <w:marRight w:val="0"/>
                      <w:marTop w:val="0"/>
                      <w:marBottom w:val="0"/>
                      <w:divBdr>
                        <w:top w:val="none" w:sz="0" w:space="0" w:color="auto"/>
                        <w:left w:val="none" w:sz="0" w:space="0" w:color="auto"/>
                        <w:bottom w:val="none" w:sz="0" w:space="0" w:color="auto"/>
                        <w:right w:val="none" w:sz="0" w:space="0" w:color="auto"/>
                      </w:divBdr>
                      <w:divsChild>
                        <w:div w:id="1084764764">
                          <w:marLeft w:val="0"/>
                          <w:marRight w:val="0"/>
                          <w:marTop w:val="0"/>
                          <w:marBottom w:val="0"/>
                          <w:divBdr>
                            <w:top w:val="none" w:sz="0" w:space="0" w:color="auto"/>
                            <w:left w:val="none" w:sz="0" w:space="0" w:color="auto"/>
                            <w:bottom w:val="none" w:sz="0" w:space="0" w:color="auto"/>
                            <w:right w:val="none" w:sz="0" w:space="0" w:color="auto"/>
                          </w:divBdr>
                          <w:divsChild>
                            <w:div w:id="1888908354">
                              <w:marLeft w:val="0"/>
                              <w:marRight w:val="0"/>
                              <w:marTop w:val="0"/>
                              <w:marBottom w:val="0"/>
                              <w:divBdr>
                                <w:top w:val="none" w:sz="0" w:space="0" w:color="auto"/>
                                <w:left w:val="none" w:sz="0" w:space="0" w:color="auto"/>
                                <w:bottom w:val="none" w:sz="0" w:space="0" w:color="auto"/>
                                <w:right w:val="none" w:sz="0" w:space="0" w:color="auto"/>
                              </w:divBdr>
                              <w:divsChild>
                                <w:div w:id="982350976">
                                  <w:marLeft w:val="0"/>
                                  <w:marRight w:val="0"/>
                                  <w:marTop w:val="0"/>
                                  <w:marBottom w:val="133"/>
                                  <w:divBdr>
                                    <w:top w:val="none" w:sz="0" w:space="0" w:color="auto"/>
                                    <w:left w:val="none" w:sz="0" w:space="0" w:color="auto"/>
                                    <w:bottom w:val="none" w:sz="0" w:space="0" w:color="auto"/>
                                    <w:right w:val="none" w:sz="0" w:space="0" w:color="auto"/>
                                  </w:divBdr>
                                  <w:divsChild>
                                    <w:div w:id="49118662">
                                      <w:marLeft w:val="0"/>
                                      <w:marRight w:val="0"/>
                                      <w:marTop w:val="0"/>
                                      <w:marBottom w:val="0"/>
                                      <w:divBdr>
                                        <w:top w:val="none" w:sz="0" w:space="0" w:color="auto"/>
                                        <w:left w:val="none" w:sz="0" w:space="0" w:color="auto"/>
                                        <w:bottom w:val="none" w:sz="0" w:space="0" w:color="auto"/>
                                        <w:right w:val="none" w:sz="0" w:space="0" w:color="auto"/>
                                      </w:divBdr>
                                      <w:divsChild>
                                        <w:div w:id="834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9237249">
      <w:bodyDiv w:val="1"/>
      <w:marLeft w:val="0"/>
      <w:marRight w:val="0"/>
      <w:marTop w:val="0"/>
      <w:marBottom w:val="0"/>
      <w:divBdr>
        <w:top w:val="none" w:sz="0" w:space="0" w:color="auto"/>
        <w:left w:val="none" w:sz="0" w:space="0" w:color="auto"/>
        <w:bottom w:val="none" w:sz="0" w:space="0" w:color="auto"/>
        <w:right w:val="none" w:sz="0" w:space="0" w:color="auto"/>
      </w:divBdr>
    </w:div>
    <w:div w:id="1288586908">
      <w:bodyDiv w:val="1"/>
      <w:marLeft w:val="0"/>
      <w:marRight w:val="0"/>
      <w:marTop w:val="0"/>
      <w:marBottom w:val="0"/>
      <w:divBdr>
        <w:top w:val="none" w:sz="0" w:space="0" w:color="auto"/>
        <w:left w:val="none" w:sz="0" w:space="0" w:color="auto"/>
        <w:bottom w:val="none" w:sz="0" w:space="0" w:color="auto"/>
        <w:right w:val="none" w:sz="0" w:space="0" w:color="auto"/>
      </w:divBdr>
    </w:div>
    <w:div w:id="1691947953">
      <w:bodyDiv w:val="1"/>
      <w:marLeft w:val="0"/>
      <w:marRight w:val="0"/>
      <w:marTop w:val="0"/>
      <w:marBottom w:val="0"/>
      <w:divBdr>
        <w:top w:val="none" w:sz="0" w:space="0" w:color="auto"/>
        <w:left w:val="none" w:sz="0" w:space="0" w:color="auto"/>
        <w:bottom w:val="none" w:sz="0" w:space="0" w:color="auto"/>
        <w:right w:val="none" w:sz="0" w:space="0" w:color="auto"/>
      </w:divBdr>
    </w:div>
    <w:div w:id="1695381422">
      <w:bodyDiv w:val="1"/>
      <w:marLeft w:val="0"/>
      <w:marRight w:val="0"/>
      <w:marTop w:val="0"/>
      <w:marBottom w:val="0"/>
      <w:divBdr>
        <w:top w:val="none" w:sz="0" w:space="0" w:color="auto"/>
        <w:left w:val="none" w:sz="0" w:space="0" w:color="auto"/>
        <w:bottom w:val="none" w:sz="0" w:space="0" w:color="auto"/>
        <w:right w:val="none" w:sz="0" w:space="0" w:color="auto"/>
      </w:divBdr>
    </w:div>
    <w:div w:id="1708601875">
      <w:bodyDiv w:val="1"/>
      <w:marLeft w:val="0"/>
      <w:marRight w:val="0"/>
      <w:marTop w:val="0"/>
      <w:marBottom w:val="0"/>
      <w:divBdr>
        <w:top w:val="none" w:sz="0" w:space="0" w:color="auto"/>
        <w:left w:val="none" w:sz="0" w:space="0" w:color="auto"/>
        <w:bottom w:val="none" w:sz="0" w:space="0" w:color="auto"/>
        <w:right w:val="none" w:sz="0" w:space="0" w:color="auto"/>
      </w:divBdr>
    </w:div>
    <w:div w:id="1725518721">
      <w:bodyDiv w:val="1"/>
      <w:marLeft w:val="0"/>
      <w:marRight w:val="0"/>
      <w:marTop w:val="0"/>
      <w:marBottom w:val="0"/>
      <w:divBdr>
        <w:top w:val="none" w:sz="0" w:space="0" w:color="auto"/>
        <w:left w:val="none" w:sz="0" w:space="0" w:color="auto"/>
        <w:bottom w:val="none" w:sz="0" w:space="0" w:color="auto"/>
        <w:right w:val="none" w:sz="0" w:space="0" w:color="auto"/>
      </w:divBdr>
    </w:div>
    <w:div w:id="1777287212">
      <w:bodyDiv w:val="1"/>
      <w:marLeft w:val="0"/>
      <w:marRight w:val="0"/>
      <w:marTop w:val="0"/>
      <w:marBottom w:val="0"/>
      <w:divBdr>
        <w:top w:val="none" w:sz="0" w:space="0" w:color="auto"/>
        <w:left w:val="none" w:sz="0" w:space="0" w:color="auto"/>
        <w:bottom w:val="none" w:sz="0" w:space="0" w:color="auto"/>
        <w:right w:val="none" w:sz="0" w:space="0" w:color="auto"/>
      </w:divBdr>
    </w:div>
    <w:div w:id="1825969139">
      <w:bodyDiv w:val="1"/>
      <w:marLeft w:val="0"/>
      <w:marRight w:val="0"/>
      <w:marTop w:val="0"/>
      <w:marBottom w:val="0"/>
      <w:divBdr>
        <w:top w:val="none" w:sz="0" w:space="0" w:color="auto"/>
        <w:left w:val="none" w:sz="0" w:space="0" w:color="auto"/>
        <w:bottom w:val="none" w:sz="0" w:space="0" w:color="auto"/>
        <w:right w:val="none" w:sz="0" w:space="0" w:color="auto"/>
      </w:divBdr>
    </w:div>
    <w:div w:id="1849320990">
      <w:bodyDiv w:val="1"/>
      <w:marLeft w:val="0"/>
      <w:marRight w:val="0"/>
      <w:marTop w:val="0"/>
      <w:marBottom w:val="0"/>
      <w:divBdr>
        <w:top w:val="none" w:sz="0" w:space="0" w:color="auto"/>
        <w:left w:val="none" w:sz="0" w:space="0" w:color="auto"/>
        <w:bottom w:val="none" w:sz="0" w:space="0" w:color="auto"/>
        <w:right w:val="none" w:sz="0" w:space="0" w:color="auto"/>
      </w:divBdr>
    </w:div>
    <w:div w:id="2010595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oter" Target="footer10.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2.xml"/><Relationship Id="rId10" Type="http://schemas.openxmlformats.org/officeDocument/2006/relationships/footnotes" Target="footnotes.xml"/><Relationship Id="rId19" Type="http://schemas.openxmlformats.org/officeDocument/2006/relationships/hyperlink" Target="http://eur-lex.europa.eu/budget/www/index-en.htm" TargetMode="Externa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d9606faa-45a1-44ba-9f56-4f4a8f4034dc">EN</EC_Collab_DocumentLanguage>
    <EC_Collab_Reference xmlns="d9606faa-45a1-44ba-9f56-4f4a8f4034dc" xsi:nil="true"/>
    <EC_Collab_Status xmlns="d9606faa-45a1-44ba-9f56-4f4a8f4034dc">Not Started</EC_Collab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885EF0364217924BAD471D1695637112" ma:contentTypeVersion="1" ma:contentTypeDescription="Create a new document in this library." ma:contentTypeScope="" ma:versionID="205d5bdeabaca534a5226ddab7fc3cab">
  <xsd:schema xmlns:xsd="http://www.w3.org/2001/XMLSchema" xmlns:xs="http://www.w3.org/2001/XMLSchema" xmlns:p="http://schemas.microsoft.com/office/2006/metadata/properties" xmlns:ns3="d9606faa-45a1-44ba-9f56-4f4a8f4034dc" targetNamespace="http://schemas.microsoft.com/office/2006/metadata/properties" ma:root="true" ma:fieldsID="2dd27c47d5134ace2527d0f4f98d29d2" ns3:_="">
    <xsd:import namespace="d9606faa-45a1-44ba-9f56-4f4a8f4034dc"/>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06faa-45a1-44ba-9f56-4f4a8f4034dc"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7BA85-4E09-4A59-BEF7-0E1E6301EDD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9606faa-45a1-44ba-9f56-4f4a8f4034dc"/>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6F60D5B-412D-4C96-96FC-1DDF56CE96D9}">
  <ds:schemaRefs>
    <ds:schemaRef ds:uri="http://schemas.microsoft.com/sharepoint/v3/contenttype/forms"/>
  </ds:schemaRefs>
</ds:datastoreItem>
</file>

<file path=customXml/itemProps3.xml><?xml version="1.0" encoding="utf-8"?>
<ds:datastoreItem xmlns:ds="http://schemas.openxmlformats.org/officeDocument/2006/customXml" ds:itemID="{8C111116-EBCB-4080-853B-DEAA17D1E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606faa-45a1-44ba-9f56-4f4a8f403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2745F2-61F4-4FB0-9176-D8815A8C2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1441</Words>
  <Characters>6387</Characters>
  <Application>Microsoft Office Word</Application>
  <DocSecurity>0</DocSecurity>
  <Lines>491</Lines>
  <Paragraphs>313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7515</CharactersWithSpaces>
  <SharedDoc>false</SharedDoc>
  <HLinks>
    <vt:vector size="6" baseType="variant">
      <vt:variant>
        <vt:i4>5046279</vt:i4>
      </vt:variant>
      <vt:variant>
        <vt:i4>0</vt:i4>
      </vt:variant>
      <vt:variant>
        <vt:i4>0</vt:i4>
      </vt:variant>
      <vt:variant>
        <vt:i4>5</vt:i4>
      </vt:variant>
      <vt:variant>
        <vt:lpwstr>http://eur-lex.europa.eu/budget/www/index-en.htm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16</cp:revision>
  <cp:lastPrinted>2019-04-26T13:48:00Z</cp:lastPrinted>
  <dcterms:created xsi:type="dcterms:W3CDTF">2019-05-16T15:50:00Z</dcterms:created>
  <dcterms:modified xsi:type="dcterms:W3CDTF">2019-05-22T08:19:00Z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y fmtid="{D5CDD505-2E9C-101B-9397-08002B2CF9AE}" pid="8" name="ContentTypeId">
    <vt:lpwstr>0x010100258AA79CEB83498886A3A0868112325000885EF0364217924BAD471D1695637112</vt:lpwstr>
  </property>
</Properties>
</file>