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DEDFBE6-C14D-4CDB-83D1-3EF91D90FBD7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Приложение IA към Регламент (ЕС) 2019/124 се изменя, както следва:</w:t>
      </w:r>
    </w:p>
    <w:p>
      <w:pPr>
        <w:pStyle w:val="Point1number"/>
        <w:numPr>
          <w:ilvl w:val="2"/>
          <w:numId w:val="11"/>
        </w:numPr>
        <w:rPr>
          <w:noProof/>
        </w:rPr>
      </w:pPr>
      <w:r>
        <w:rPr>
          <w:noProof/>
        </w:rPr>
        <w:t>таблицата за възможностите за риболов на меджид в участък 7a на ICES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70"/>
        <w:gridCol w:w="1076"/>
        <w:gridCol w:w="490"/>
        <w:gridCol w:w="931"/>
        <w:gridCol w:w="773"/>
        <w:gridCol w:w="1074"/>
        <w:gridCol w:w="1074"/>
        <w:gridCol w:w="931"/>
        <w:gridCol w:w="931"/>
        <w:gridCol w:w="931"/>
      </w:tblGrid>
      <w:tr>
        <w:trPr>
          <w:trHeight w:val="255"/>
        </w:trPr>
        <w:tc>
          <w:tcPr>
            <w:tcW w:w="9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Меджид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7a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Merlangius merlangus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(WHG/07A.)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Белгия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Прилага се член 8 от настоящия регламент.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1 246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1 246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0"/>
              <w:rPr>
                <w:rFonts w:ascii="Cambria" w:eastAsia="Times New Roman" w:hAnsi="Cambria" w:cs="Arial"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mbria" w:eastAsia="Times New Roman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vertAlign w:val="superscript"/>
              </w:rPr>
              <w:t>Изключително за прилов на меджид при улов на други видове. Целевият риболов на меджид в рамките на тази квота не се разрешава.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“;</w:t>
      </w:r>
    </w:p>
    <w:p>
      <w:pPr>
        <w:pStyle w:val="Point1number"/>
        <w:rPr>
          <w:noProof/>
        </w:rPr>
      </w:pPr>
      <w:r>
        <w:rPr>
          <w:noProof/>
        </w:rPr>
        <w:t>таблицата за възможностите за риболов на северна скарида в участък 3a на ICES се заменя със следното:</w:t>
      </w:r>
    </w:p>
    <w:p>
      <w:pPr>
        <w:pStyle w:val="Point1"/>
        <w:rPr>
          <w:noProof/>
        </w:rPr>
      </w:pPr>
      <w:r>
        <w:rPr>
          <w:noProof/>
        </w:rPr>
        <w:t>„</w:t>
      </w:r>
    </w:p>
    <w:tbl>
      <w:tblPr>
        <w:tblW w:w="8290" w:type="dxa"/>
        <w:tblInd w:w="108" w:type="dxa"/>
        <w:tblLook w:val="04A0" w:firstRow="1" w:lastRow="0" w:firstColumn="1" w:lastColumn="0" w:noHBand="0" w:noVBand="1"/>
      </w:tblPr>
      <w:tblGrid>
        <w:gridCol w:w="976"/>
        <w:gridCol w:w="1503"/>
        <w:gridCol w:w="1207"/>
        <w:gridCol w:w="392"/>
        <w:gridCol w:w="1034"/>
        <w:gridCol w:w="1267"/>
        <w:gridCol w:w="868"/>
        <w:gridCol w:w="1043"/>
      </w:tblGrid>
      <w:tr>
        <w:trPr>
          <w:trHeight w:val="255"/>
        </w:trPr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Северна скарида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3a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Pandalus borealis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(PRA/03A.)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1 306</w:t>
            </w:r>
          </w:p>
        </w:tc>
        <w:tc>
          <w:tcPr>
            <w:tcW w:w="392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Предпазен ОДУ</w:t>
            </w:r>
          </w:p>
        </w:tc>
        <w:tc>
          <w:tcPr>
            <w:tcW w:w="8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704</w:t>
            </w:r>
          </w:p>
        </w:tc>
        <w:tc>
          <w:tcPr>
            <w:tcW w:w="392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67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2 010</w:t>
            </w:r>
          </w:p>
        </w:tc>
        <w:tc>
          <w:tcPr>
            <w:tcW w:w="392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67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07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3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67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4 314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</w:tbl>
    <w:p>
      <w:pPr>
        <w:jc w:val="right"/>
        <w:rPr>
          <w:noProof/>
        </w:rPr>
      </w:pPr>
      <w:r>
        <w:rPr>
          <w:noProof/>
        </w:rPr>
        <w:t>“;</w:t>
      </w:r>
    </w:p>
    <w:p>
      <w:pPr>
        <w:pStyle w:val="Point1number"/>
        <w:rPr>
          <w:noProof/>
        </w:rPr>
      </w:pPr>
      <w:r>
        <w:rPr>
          <w:noProof/>
        </w:rPr>
        <w:t>таблицата за възможностите за риболов на сайда в участък 3a и подзона 4 на ICES и във водите на Съюза от участък 2а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</w:t>
      </w:r>
    </w:p>
    <w:tbl>
      <w:tblPr>
        <w:tblW w:w="8290" w:type="dxa"/>
        <w:tblInd w:w="108" w:type="dxa"/>
        <w:tblLook w:val="04A0" w:firstRow="1" w:lastRow="0" w:firstColumn="1" w:lastColumn="0" w:noHBand="0" w:noVBand="1"/>
      </w:tblPr>
      <w:tblGrid>
        <w:gridCol w:w="976"/>
        <w:gridCol w:w="1503"/>
        <w:gridCol w:w="1065"/>
        <w:gridCol w:w="534"/>
        <w:gridCol w:w="1034"/>
        <w:gridCol w:w="1092"/>
        <w:gridCol w:w="1043"/>
        <w:gridCol w:w="1043"/>
      </w:tblGrid>
      <w:tr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Сайда</w:t>
            </w: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53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1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3а и 4; води на Съюза от 2a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Pollachius virens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(POK/2C3A4)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lastRenderedPageBreak/>
              <w:t>Белгия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33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104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3 865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Прилага се член 7, параграф 2 от настоящия регламент.</w:t>
            </w:r>
          </w:p>
        </w:tc>
        <w:tc>
          <w:tcPr>
            <w:tcW w:w="104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9 759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22 967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2479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98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531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2479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7 482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44 735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Норвегия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48 879</w:t>
            </w:r>
          </w:p>
        </w:tc>
        <w:tc>
          <w:tcPr>
            <w:tcW w:w="53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93 614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731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Може да се лови единствено във води на Съюза от 4 и в 3a (POK/*3A4-C). Уловът в рамките на тази квота се приспада от дела на Норвегия в ОДУ.</w:t>
            </w:r>
          </w:p>
        </w:tc>
      </w:tr>
      <w:tr>
        <w:trPr>
          <w:trHeight w:val="255"/>
        </w:trPr>
        <w:tc>
          <w:tcPr>
            <w:tcW w:w="976" w:type="dxa"/>
            <w:noWrap/>
            <w:hideMark/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</w:tbl>
    <w:p>
      <w:pPr>
        <w:jc w:val="right"/>
        <w:rPr>
          <w:noProof/>
        </w:rPr>
      </w:pPr>
      <w:r>
        <w:rPr>
          <w:noProof/>
        </w:rPr>
        <w:t>“;</w:t>
      </w:r>
    </w:p>
    <w:p>
      <w:pPr>
        <w:pStyle w:val="Point1number"/>
        <w:rPr>
          <w:noProof/>
        </w:rPr>
      </w:pPr>
      <w:r>
        <w:rPr>
          <w:noProof/>
        </w:rPr>
        <w:t>таблицата за възможностите за риболов на цаца и свързания с нея прилов във водите на Съюза от участък 2a на ICES и подзона 4 на ICES се заменя със следното:</w:t>
      </w:r>
    </w:p>
    <w:p>
      <w:pPr>
        <w:pStyle w:val="Point1"/>
        <w:rPr>
          <w:noProof/>
        </w:rPr>
      </w:pPr>
      <w:r>
        <w:rPr>
          <w:noProof/>
        </w:rPr>
        <w:t>„</w:t>
      </w:r>
    </w:p>
    <w:tbl>
      <w:tblPr>
        <w:tblW w:w="9150" w:type="dxa"/>
        <w:tblInd w:w="108" w:type="dxa"/>
        <w:tblLook w:val="04A0" w:firstRow="1" w:lastRow="0" w:firstColumn="1" w:lastColumn="0" w:noHBand="0" w:noVBand="1"/>
      </w:tblPr>
      <w:tblGrid>
        <w:gridCol w:w="1126"/>
        <w:gridCol w:w="1414"/>
        <w:gridCol w:w="1142"/>
        <w:gridCol w:w="790"/>
        <w:gridCol w:w="969"/>
        <w:gridCol w:w="513"/>
        <w:gridCol w:w="2049"/>
        <w:gridCol w:w="625"/>
        <w:gridCol w:w="261"/>
        <w:gridCol w:w="261"/>
      </w:tblGrid>
      <w:tr>
        <w:trPr>
          <w:trHeight w:val="255"/>
        </w:trPr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Цаца и свързан с нея прилов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от 2a и 4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463"/>
        </w:trPr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Sprattus sprattus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 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(SPR/2AC4-C)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Белгия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(1)(2)(3)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Норвегия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Фарьорски острови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(1)(4)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pm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Риболов по тази квота може да се извършва само от 1 юли 2019 г. до 30 юни 2020 г.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Приловът на меджид може да бъде до 2 % от квотата (OTH/ *2AC4C). Сумата от прилова на меджид, отчетен спрямо квотата в съответствие с настоящата разпоредба, и от прилова на видове, отчетен спрямо квотата в съответствие с член 15, параграф 8 от Регламент (ЕС) № 1380/2013, не може да надхвърля 9 % от квотата.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lastRenderedPageBreak/>
              <w:t>(3)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Включително пясъчница.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(4)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Може да съдържа до 4 % прилов на херинга.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</w:tbl>
    <w:p>
      <w:pPr>
        <w:pStyle w:val="Text1"/>
        <w:jc w:val="right"/>
        <w:rPr>
          <w:noProof/>
        </w:rPr>
      </w:pPr>
      <w:r>
        <w:rPr>
          <w:noProof/>
        </w:rPr>
        <w:t>“;</w:t>
      </w:r>
    </w:p>
    <w:p>
      <w:pPr>
        <w:pStyle w:val="Point1number"/>
        <w:rPr>
          <w:noProof/>
        </w:rPr>
      </w:pPr>
      <w:r>
        <w:rPr>
          <w:noProof/>
        </w:rPr>
        <w:t>таблицата за възможностите за риболов на норвежки омар в участък 8c на ICES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116"/>
        <w:gridCol w:w="1510"/>
        <w:gridCol w:w="1053"/>
        <w:gridCol w:w="655"/>
        <w:gridCol w:w="980"/>
        <w:gridCol w:w="1207"/>
        <w:gridCol w:w="706"/>
        <w:gridCol w:w="1954"/>
      </w:tblGrid>
      <w:tr>
        <w:trPr>
          <w:trHeight w:val="255"/>
        </w:trPr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Норвежки омар</w:t>
            </w: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8c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Nephrops norvegicus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(NEP/08C.)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Предпазен ОДУ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 Изключително за улов, извършван в рамките на контролен улов за събиране на данни относно улова за единица усилие с кораби, на които се намират наблюдатели:</w:t>
            </w: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2 тона във функционална единица 25 в продължение на пет месечни курса през август и септември;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0,7 тона във функционална единица 31 в продължение на 7 дни през юли.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“.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Приложение IV към Регламент (ЕС) 2019/124 се изменя, както следва:</w:t>
      </w:r>
    </w:p>
    <w:p>
      <w:pPr>
        <w:pStyle w:val="Point1number"/>
        <w:numPr>
          <w:ilvl w:val="2"/>
          <w:numId w:val="9"/>
        </w:numPr>
        <w:rPr>
          <w:noProof/>
        </w:rPr>
      </w:pPr>
      <w:r>
        <w:rPr>
          <w:noProof/>
        </w:rPr>
        <w:t>точка 4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„Максимален брой на риболовните кораби на всяка държава членка, на които може да се даде разрешение за извършване на риболов, задържане на борда, трансбордиране, транспортиране или разтоварване на червен тон в източната част на Атлантическия океан и в Средиземно море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15"/>
        <w:gridCol w:w="1187"/>
        <w:gridCol w:w="1120"/>
        <w:gridCol w:w="1120"/>
        <w:gridCol w:w="1120"/>
        <w:gridCol w:w="1187"/>
        <w:gridCol w:w="1120"/>
        <w:gridCol w:w="1120"/>
      </w:tblGrid>
      <w:tr>
        <w:trPr>
          <w:trHeight w:val="25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Брой риболовни кораби</w:t>
            </w:r>
            <w:r>
              <w:rPr>
                <w:rStyle w:val="FootnoteReference"/>
                <w:noProof/>
              </w:rPr>
              <w:footnoteReference w:id="1"/>
            </w:r>
          </w:p>
        </w:tc>
      </w:tr>
      <w:tr>
        <w:trPr>
          <w:trHeight w:val="25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Кипър</w:t>
            </w:r>
            <w:r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Гърция</w:t>
            </w:r>
            <w:r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Хърватия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Малта</w:t>
            </w:r>
            <w:r>
              <w:rPr>
                <w:rStyle w:val="FootnoteReference"/>
                <w:noProof/>
              </w:rPr>
              <w:footnoteReference w:id="4"/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Кораби с мрежи гъргър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Кораби с парагади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Подлежи на определяне</w:t>
            </w:r>
            <w:r>
              <w:rPr>
                <w:rStyle w:val="FootnoteReference"/>
                <w:noProof/>
              </w:rPr>
              <w:footnoteReference w:id="5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Кораби със захранка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Кораби с въдици без дръжка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Подлежи на определяне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Траулери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Други кораби за непромишлен риболов</w:t>
            </w:r>
            <w:r>
              <w:rPr>
                <w:rStyle w:val="FootnoteReference"/>
                <w:noProof/>
                <w:sz w:val="22"/>
              </w:rPr>
              <w:footnoteReference w:id="7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Подлежи на определяне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“;</w:t>
      </w:r>
    </w:p>
    <w:p>
      <w:pPr>
        <w:pStyle w:val="Point1number"/>
        <w:numPr>
          <w:ilvl w:val="2"/>
          <w:numId w:val="9"/>
        </w:numPr>
        <w:rPr>
          <w:noProof/>
        </w:rPr>
      </w:pPr>
      <w:r>
        <w:rPr>
          <w:noProof/>
        </w:rPr>
        <w:t>в точка 6 таблица Б се заменя със следното:</w:t>
      </w:r>
    </w:p>
    <w:p>
      <w:pPr>
        <w:pStyle w:val="Text1"/>
        <w:jc w:val="center"/>
        <w:rPr>
          <w:noProof/>
        </w:rPr>
      </w:pPr>
      <w:r>
        <w:rPr>
          <w:noProof/>
        </w:rPr>
        <w:t>„Таблица Б</w:t>
      </w:r>
      <w:r>
        <w:rPr>
          <w:rStyle w:val="FootnoteReference"/>
          <w:noProof/>
        </w:rPr>
        <w:footnoteReference w:customMarkFollows="1" w:id="8"/>
        <w:t>1</w:t>
      </w:r>
    </w:p>
    <w:tbl>
      <w:tblPr>
        <w:tblW w:w="0" w:type="auto"/>
        <w:tblInd w:w="661" w:type="dxa"/>
        <w:tblLayout w:type="fixed"/>
        <w:tblLook w:val="0000" w:firstRow="0" w:lastRow="0" w:firstColumn="0" w:lastColumn="0" w:noHBand="0" w:noVBand="0"/>
      </w:tblPr>
      <w:tblGrid>
        <w:gridCol w:w="4174"/>
        <w:gridCol w:w="4174"/>
      </w:tblGrid>
      <w:tr>
        <w:trPr>
          <w:tblHeader/>
        </w:trPr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Максимално количество уловен див червен тон (в тонове)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7 000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3 764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Гърция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785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Кипър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2 195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Хърватия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2 947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Малта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8 766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350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“.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Броят в тази таблица А от раздел 4 може да бъде допълнително увеличен, ако са изпълнени международните задължения на Съюза.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Един среден кораб, оборудван с мрежи гъргър, може да бъде заменен с не повече от 10 кораба с парагади или с един малък кораб, оборудван с мрежи гъргър, и не повече от три кораба с парагади.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Един среден кораб, оборудван с мрежи гъргър, може да бъде заменен с не повече от 10 кораба с парагади или с един малък кораб, оборудван с мрежи гъргър, и три други кораба за непромишлен риболов.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Един среден кораб, оборудван с мрежи гъргър, може да бъде заменен с не повече от 10 кораба с парагади.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Поливалентни кораби, използващи разнообразно оборудване.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Кораби за улов с въдици, извършващи дейност в Атлантическия океан.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Поливалентни кораби, използващи разнообразно оборудване (парагади, въдици без дръжка, влачени въдици).</w:t>
      </w:r>
    </w:p>
  </w:footnote>
  <w:footnote w:id="8">
    <w:p>
      <w:pPr>
        <w:pStyle w:val="FootnoteText"/>
        <w:rPr>
          <w:lang w:val="ru-RU"/>
        </w:rPr>
      </w:pPr>
      <w:r>
        <w:rPr>
          <w:rStyle w:val="FootnoteReference"/>
        </w:rPr>
        <w:t>1</w:t>
      </w:r>
      <w:r>
        <w:tab/>
        <w:t>Количественият капацитет на Португалия за отглеждане в размер на 350 тона се покрива от неизползвания капацитет на Съюза, посочен в таблица 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546B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9F8B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6C6EF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544B0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4843C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16876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5BA2F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14AB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21"/>
  </w:num>
  <w:num w:numId="15">
    <w:abstractNumId w:val="1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1"/>
  </w:num>
  <w:num w:numId="24">
    <w:abstractNumId w:val="16"/>
  </w:num>
  <w:num w:numId="25">
    <w:abstractNumId w:val="22"/>
  </w:num>
  <w:num w:numId="26">
    <w:abstractNumId w:val="19"/>
  </w:num>
  <w:num w:numId="27">
    <w:abstractNumId w:val="13"/>
  </w:num>
  <w:num w:numId="28">
    <w:abstractNumId w:val="21"/>
  </w:num>
  <w:num w:numId="29">
    <w:abstractNumId w:val="12"/>
  </w:num>
  <w:num w:numId="30">
    <w:abstractNumId w:val="14"/>
  </w:num>
  <w:num w:numId="31">
    <w:abstractNumId w:val="9"/>
  </w:num>
  <w:num w:numId="32">
    <w:abstractNumId w:val="20"/>
  </w:num>
  <w:num w:numId="33">
    <w:abstractNumId w:val="8"/>
  </w:num>
  <w:num w:numId="34">
    <w:abstractNumId w:val="15"/>
  </w:num>
  <w:num w:numId="35">
    <w:abstractNumId w:val="17"/>
  </w:num>
  <w:num w:numId="36">
    <w:abstractNumId w:val="18"/>
  </w:num>
  <w:num w:numId="37">
    <w:abstractNumId w:val="11"/>
  </w:num>
  <w:num w:numId="38">
    <w:abstractNumId w:val="16"/>
  </w:num>
  <w:num w:numId="3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21 12:21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DEDFBE6-C14D-4CDB-83D1-3EF91D90FBD7"/>
    <w:docVar w:name="LW_COVERPAGE_TYPE" w:val="1"/>
    <w:docVar w:name="LW_CROSSREFERENCE" w:val="&lt;UNUSED&gt;"/>
    <w:docVar w:name="LW_DocType" w:val="ANNEX"/>
    <w:docVar w:name="LW_EMISSION" w:val="24.5.2019"/>
    <w:docVar w:name="LW_EMISSION_ISODATE" w:val="2019-05-2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2019/124 \u1087?\u1086? \u1086?\u1090?\u1085?\u1086?\u1096?\u1077?\u1085?\u1080?\u1077? \u1085?\u1072? \u1086?\u1087?\u1088?\u1077?\u1076?\u1077?\u1083?\u1077?\u1085?\u1080? \u1074?\u1098?\u1079?\u1084?\u1086?\u1078?\u1085?\u1086?\u1089?\u1090?\u1080? \u1079?\u1072? \u1088?\u1080?\u1073?\u1086?\u1083?\u1086?\u1074?"/>
    <w:docVar w:name="LW_OBJETACTEPRINCIPAL.CP" w:val="\u1079?\u1072? \u1080?\u1079?\u1084?\u1077?\u1085?\u1077?\u1085?\u1080?\u1077? \u1085?\u1072? \u1056?\u1077?\u1075?\u1083?\u1072?\u1084?\u1077?\u1085?\u1090? (\u1045?\u1057?) 2019/124 \u1087?\u1086? \u1086?\u1090?\u1085?\u1086?\u1096?\u1077?\u1085?\u1080?\u1077? \u1085?\u1072? \u1086?\u1087?\u1088?\u1077?\u1076?\u1077?\u1083?\u1077?\u1085?\u1080? \u1074?\u1098?\u1079?\u1084?\u1086?\u1078?\u1085?\u1086?\u1089?\u1090?\u1080? \u1079?\u1072? \u1088?\u1080?\u1073?\u1086?\u1083?\u1086?\u1074?"/>
    <w:docVar w:name="LW_PART_NBR" w:val="1"/>
    <w:docVar w:name="LW_PART_NBR_TOTAL" w:val="1"/>
    <w:docVar w:name="LW_REF.INST.NEW" w:val="COM"/>
    <w:docVar w:name="LW_REF.INST.NEW_ADOPTED" w:val="final"/>
    <w:docVar w:name="LW_REF.INST.NEW_TEXT" w:val="(2019) 2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56?\u1045?\u1044?\u1051?\u1054?\u1046?\u1045?\u1053?\u1048?\u1045? \u1047?\u1040? \u1056?\u1045?\u1043?\u1051?\u1040?\u1052?\u1045?\u1053?\u1058? \u1053?\u1040? \u1057?\u1066?\u1042?\u1045?\u1058?\u1040?"/>
    <w:docVar w:name="LW_TYPEACTEPRINCIPAL.CP" w:val="\u1055?\u1056?\u1045?\u1044?\u1051?\u1054?\u1046?\u1045?\u1053?\u1048?\u1045? \u1047?\u1040? 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Heading123">
    <w:name w:val="Heading 123"/>
    <w:basedOn w:val="Normal"/>
    <w:next w:val="Normal"/>
    <w:pPr>
      <w:numPr>
        <w:numId w:val="10"/>
      </w:num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Heading123">
    <w:name w:val="Heading 123"/>
    <w:basedOn w:val="Normal"/>
    <w:next w:val="Normal"/>
    <w:pPr>
      <w:numPr>
        <w:numId w:val="10"/>
      </w:num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2F28-8155-46C5-BA18-C67E8F80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854</Words>
  <Characters>4186</Characters>
  <Application>Microsoft Office Word</Application>
  <DocSecurity>0</DocSecurity>
  <Lines>837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ZETTERBERG Jonas (MARE)</dc:creator>
  <cp:lastModifiedBy>WES PDFC Administrator</cp:lastModifiedBy>
  <cp:revision>8</cp:revision>
  <cp:lastPrinted>2019-03-11T08:42:00Z</cp:lastPrinted>
  <dcterms:created xsi:type="dcterms:W3CDTF">2019-05-17T09:57:00Z</dcterms:created>
  <dcterms:modified xsi:type="dcterms:W3CDTF">2019-05-21T10:21:00Z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