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B095763-3DB0-41F5-8FE4-304D6B89732A" style="width:450.75pt;height:369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L'annexe I A du règlement (UE) 2019/124 est modifiée comme suit:</w:t>
      </w:r>
    </w:p>
    <w:p>
      <w:pPr>
        <w:pStyle w:val="Point1number"/>
        <w:numPr>
          <w:ilvl w:val="2"/>
          <w:numId w:val="11"/>
        </w:numPr>
        <w:rPr>
          <w:noProof/>
        </w:rPr>
      </w:pPr>
      <w:r>
        <w:rPr>
          <w:noProof/>
        </w:rPr>
        <w:t>le tableau des possibilités de pêche pour le merlan dans la division CIEM 7a est remplacé par le tableau suivant:</w:t>
      </w:r>
    </w:p>
    <w:p>
      <w:pPr>
        <w:pStyle w:val="Text1"/>
        <w:rPr>
          <w:noProof/>
        </w:rPr>
      </w:pPr>
      <w:r>
        <w:rPr>
          <w:noProof/>
        </w:rPr>
        <w:t>«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36"/>
        <w:gridCol w:w="1080"/>
        <w:gridCol w:w="491"/>
        <w:gridCol w:w="935"/>
        <w:gridCol w:w="776"/>
        <w:gridCol w:w="1079"/>
        <w:gridCol w:w="1079"/>
        <w:gridCol w:w="935"/>
        <w:gridCol w:w="935"/>
        <w:gridCol w:w="935"/>
      </w:tblGrid>
      <w:tr>
        <w:trPr>
          <w:trHeight w:val="255"/>
        </w:trPr>
        <w:tc>
          <w:tcPr>
            <w:tcW w:w="9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Merlan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 7a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Merlangius merlangus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(WHG/07A.)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8 du présent règlement s'applique.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Irlande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1 246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1 246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/>
              <w:rPr>
                <w:rFonts w:ascii="Cambria" w:eastAsia="Times New Roman" w:hAnsi="Cambria" w:cs="Arial"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mbria" w:eastAsia="Times New Roman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vertAlign w:val="superscript"/>
              </w:rPr>
              <w:t>Exclusivement pour les prises accessoires de merlan dans les pêcheries ciblant d'autres espèces. Aucune pêche ciblée du merlan n'est autorisée dans le cadre de ce quota.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»;</w:t>
      </w:r>
    </w:p>
    <w:p>
      <w:pPr>
        <w:pStyle w:val="Point1number"/>
        <w:rPr>
          <w:noProof/>
        </w:rPr>
      </w:pPr>
      <w:r>
        <w:rPr>
          <w:noProof/>
        </w:rPr>
        <w:t>le tableau des possibilités de pêche pour la crevette nordique dans la division CIEM 3a est remplacé par le tableau suivant:</w:t>
      </w:r>
    </w:p>
    <w:p>
      <w:pPr>
        <w:pStyle w:val="Point1"/>
        <w:rPr>
          <w:noProof/>
        </w:rPr>
      </w:pPr>
      <w:r>
        <w:rPr>
          <w:noProof/>
        </w:rPr>
        <w:t>«</w:t>
      </w:r>
    </w:p>
    <w:tbl>
      <w:tblPr>
        <w:tblW w:w="8290" w:type="dxa"/>
        <w:tblInd w:w="108" w:type="dxa"/>
        <w:tblLook w:val="04A0" w:firstRow="1" w:lastRow="0" w:firstColumn="1" w:lastColumn="0" w:noHBand="0" w:noVBand="1"/>
      </w:tblPr>
      <w:tblGrid>
        <w:gridCol w:w="976"/>
        <w:gridCol w:w="1503"/>
        <w:gridCol w:w="1207"/>
        <w:gridCol w:w="392"/>
        <w:gridCol w:w="1034"/>
        <w:gridCol w:w="1267"/>
        <w:gridCol w:w="868"/>
        <w:gridCol w:w="1043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27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Crevette nordique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 3a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(PRA/03A.)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1 306</w:t>
            </w:r>
          </w:p>
        </w:tc>
        <w:tc>
          <w:tcPr>
            <w:tcW w:w="392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de précaution</w:t>
            </w: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704</w:t>
            </w:r>
          </w:p>
        </w:tc>
        <w:tc>
          <w:tcPr>
            <w:tcW w:w="392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2 010</w:t>
            </w:r>
          </w:p>
        </w:tc>
        <w:tc>
          <w:tcPr>
            <w:tcW w:w="392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0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4 314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</w:tbl>
    <w:p>
      <w:pPr>
        <w:jc w:val="right"/>
        <w:rPr>
          <w:noProof/>
        </w:rPr>
      </w:pPr>
      <w:r>
        <w:rPr>
          <w:noProof/>
        </w:rPr>
        <w:t>»;</w:t>
      </w:r>
    </w:p>
    <w:p>
      <w:pPr>
        <w:pStyle w:val="Point1number"/>
        <w:rPr>
          <w:noProof/>
        </w:rPr>
      </w:pPr>
      <w:r>
        <w:rPr>
          <w:noProof/>
        </w:rPr>
        <w:t>le tableau des possibilités de pêche pour le lieu noir dans la division CIEM 3a, dans la sous-zone CIEM 4 et dans les eaux de l’Union de la division 2a est remplacé par le tableau suivant:</w:t>
      </w:r>
    </w:p>
    <w:p>
      <w:pPr>
        <w:pStyle w:val="Text1"/>
        <w:rPr>
          <w:noProof/>
        </w:rPr>
      </w:pPr>
      <w:r>
        <w:rPr>
          <w:noProof/>
        </w:rPr>
        <w:t>«</w:t>
      </w:r>
    </w:p>
    <w:tbl>
      <w:tblPr>
        <w:tblW w:w="8290" w:type="dxa"/>
        <w:tblInd w:w="108" w:type="dxa"/>
        <w:tblLook w:val="04A0" w:firstRow="1" w:lastRow="0" w:firstColumn="1" w:lastColumn="0" w:noHBand="0" w:noVBand="1"/>
      </w:tblPr>
      <w:tblGrid>
        <w:gridCol w:w="1006"/>
        <w:gridCol w:w="1503"/>
        <w:gridCol w:w="1065"/>
        <w:gridCol w:w="534"/>
        <w:gridCol w:w="1034"/>
        <w:gridCol w:w="1092"/>
        <w:gridCol w:w="1043"/>
        <w:gridCol w:w="1043"/>
      </w:tblGrid>
      <w:tr>
        <w:trPr>
          <w:trHeight w:val="270"/>
        </w:trPr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Lieu noir</w:t>
            </w: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1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Zones 3a et 4; eaux de l'Union de la zone 2a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Pollachius virens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(POK/2C3A4)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33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04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3 865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 7, paragraphe 2, du présent règlement s'applique.</w:t>
            </w:r>
          </w:p>
        </w:tc>
        <w:tc>
          <w:tcPr>
            <w:tcW w:w="104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9 759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22 967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479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98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531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2479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7 482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44 735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Norvège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48 879</w:t>
            </w: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0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503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93 614</w:t>
            </w:r>
          </w:p>
        </w:tc>
        <w:tc>
          <w:tcPr>
            <w:tcW w:w="534" w:type="dxa"/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731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À prélever exclusivement dans les eaux de l'Union de la zone 4 et dans la zone 3a (POK/*3A4-C). Les captures relevant de ce quota sont à imputer sur la part norvégienne du TAC.</w:t>
            </w: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50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65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5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34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043" w:type="dxa"/>
            <w:noWrap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</w:tr>
    </w:tbl>
    <w:p>
      <w:pPr>
        <w:jc w:val="right"/>
        <w:rPr>
          <w:noProof/>
        </w:rPr>
      </w:pPr>
      <w:r>
        <w:rPr>
          <w:noProof/>
        </w:rPr>
        <w:t>»;</w:t>
      </w:r>
    </w:p>
    <w:p>
      <w:pPr>
        <w:pStyle w:val="Point1number"/>
        <w:rPr>
          <w:noProof/>
        </w:rPr>
      </w:pPr>
      <w:r>
        <w:rPr>
          <w:noProof/>
        </w:rPr>
        <w:t>le tableau des possibilités de pêche pour le sprat et les prises accessoires associées dans les eaux de l'Union de la division CIEM 2a et de la sous-zone CIEM 4 est remplacé par le tableau suivant:</w:t>
      </w:r>
    </w:p>
    <w:p>
      <w:pPr>
        <w:pStyle w:val="Point1"/>
        <w:rPr>
          <w:noProof/>
        </w:rPr>
      </w:pPr>
      <w:r>
        <w:rPr>
          <w:noProof/>
        </w:rPr>
        <w:t>«</w:t>
      </w:r>
    </w:p>
    <w:tbl>
      <w:tblPr>
        <w:tblW w:w="9150" w:type="dxa"/>
        <w:tblInd w:w="108" w:type="dxa"/>
        <w:tblLook w:val="04A0" w:firstRow="1" w:lastRow="0" w:firstColumn="1" w:lastColumn="0" w:noHBand="0" w:noVBand="1"/>
      </w:tblPr>
      <w:tblGrid>
        <w:gridCol w:w="1126"/>
        <w:gridCol w:w="1414"/>
        <w:gridCol w:w="1142"/>
        <w:gridCol w:w="790"/>
        <w:gridCol w:w="969"/>
        <w:gridCol w:w="513"/>
        <w:gridCol w:w="2049"/>
        <w:gridCol w:w="625"/>
        <w:gridCol w:w="261"/>
        <w:gridCol w:w="261"/>
      </w:tblGrid>
      <w:tr>
        <w:trPr>
          <w:trHeight w:val="255"/>
        </w:trPr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Sprat et prises accessoires associées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des zones 2a et 4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463"/>
        </w:trPr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Sprattus sprattus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(SBF/2AC4-C)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Belgique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Pays-Bas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 (2)(3)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Norvège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Îles Féroé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(1)(4)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p.m.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Le quota ne peut être pêché que du 1er juillet 2019 au 30 juin 2020.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Jusqu'à 2 % du quota peuvent être constitués de prises accessoires de merlan (OTH/ *2AC4C). Les prises accessoires de merlan imputées sur le quota conformément à la présente disposition et les prises accessoires d'espèces imputées sur le quota conformément à l'article 15, paragraphe 8, du règlement (UE) nº 1380/2013 ne dépassent pas, au total, 9 % du quota.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Y compris le lançon.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(4)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Peut contenir jusqu'à 4 % de prises accessoires de hareng.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</w:tbl>
    <w:p>
      <w:pPr>
        <w:pStyle w:val="Text1"/>
        <w:jc w:val="right"/>
        <w:rPr>
          <w:noProof/>
        </w:rPr>
      </w:pPr>
      <w:r>
        <w:rPr>
          <w:noProof/>
        </w:rPr>
        <w:t>».</w:t>
      </w:r>
    </w:p>
    <w:p>
      <w:pPr>
        <w:pStyle w:val="Point1number"/>
        <w:rPr>
          <w:noProof/>
        </w:rPr>
      </w:pPr>
      <w:r>
        <w:rPr>
          <w:noProof/>
        </w:rPr>
        <w:t>le tableau des possibilités de pêche pour la langoustine dans la division CIEM 8c est remplacé par le tableau suivant:</w:t>
      </w:r>
    </w:p>
    <w:p>
      <w:pPr>
        <w:pStyle w:val="Text1"/>
        <w:rPr>
          <w:noProof/>
        </w:rPr>
      </w:pPr>
      <w:r>
        <w:rPr>
          <w:noProof/>
        </w:rPr>
        <w:t>«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16"/>
        <w:gridCol w:w="1510"/>
        <w:gridCol w:w="1053"/>
        <w:gridCol w:w="655"/>
        <w:gridCol w:w="980"/>
        <w:gridCol w:w="1207"/>
        <w:gridCol w:w="706"/>
        <w:gridCol w:w="1954"/>
      </w:tblGrid>
      <w:tr>
        <w:trPr>
          <w:trHeight w:val="255"/>
        </w:trPr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Langoustine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 8c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Nephrops norvegicus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(NEP/08C.)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Espagne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de précaution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2,7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9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 Exclusivement pour les captures prélevées dans le cadre d’une pêche sentinelle afin de collecter des données relatives aux captures par unité d’effort (CPUE) avec des navires transportant à leur bord des observateurs:</w:t>
            </w:r>
          </w:p>
        </w:tc>
      </w:tr>
      <w:tr>
        <w:trPr>
          <w:trHeight w:val="2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2 tonnes dans l’unité fonctionnelle 25 au cours de cinq sorties par mois en août et en septembre;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0,7 tonne dans l’unité fonctionnelle 31 pendant 7 jours en juillet.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0000"/>
                <w:sz w:val="18"/>
              </w:rPr>
              <w:t> 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».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L'annexe IV du règlement (UE) 2019/124 est modifiée comme suit:</w:t>
      </w:r>
    </w:p>
    <w:p>
      <w:pPr>
        <w:pStyle w:val="Point1number"/>
        <w:numPr>
          <w:ilvl w:val="2"/>
          <w:numId w:val="9"/>
        </w:numPr>
        <w:rPr>
          <w:noProof/>
        </w:rPr>
      </w:pPr>
      <w:r>
        <w:rPr>
          <w:noProof/>
        </w:rPr>
        <w:t>le point 4 est remplacé par le texte suivant:</w:t>
      </w:r>
    </w:p>
    <w:p>
      <w:pPr>
        <w:pStyle w:val="Text1"/>
        <w:rPr>
          <w:noProof/>
        </w:rPr>
      </w:pPr>
      <w:r>
        <w:rPr>
          <w:noProof/>
        </w:rPr>
        <w:t>«Nombre maximal de navires de pêche de chaque État membre autorisés à pêcher, à conserver à bord, à transborder, à transporter ou à débarquer du thon rouge dans l'Atlantique Est et en Méditerranée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64"/>
        <w:gridCol w:w="1003"/>
        <w:gridCol w:w="869"/>
        <w:gridCol w:w="923"/>
        <w:gridCol w:w="846"/>
        <w:gridCol w:w="926"/>
        <w:gridCol w:w="1030"/>
        <w:gridCol w:w="856"/>
      </w:tblGrid>
      <w:tr>
        <w:trPr>
          <w:trHeight w:val="25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Nombre de navires de pêche</w:t>
            </w:r>
            <w:r>
              <w:rPr>
                <w:rStyle w:val="FootnoteReference"/>
                <w:noProof/>
              </w:rPr>
              <w:footnoteReference w:id="1"/>
            </w:r>
          </w:p>
        </w:tc>
      </w:tr>
      <w:tr>
        <w:trPr>
          <w:trHeight w:val="25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Chypre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Grèce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Croatie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France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Malte</w:t>
            </w:r>
            <w:r>
              <w:rPr>
                <w:rStyle w:val="FootnoteReference"/>
                <w:noProof/>
              </w:rPr>
              <w:footnoteReference w:id="4"/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Senneurs à senne coulissante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Palangriers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À fixer</w:t>
            </w:r>
            <w:r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Thoniers-canneurs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Lignes à main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À fixer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Chalutiers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</w:tr>
      <w:tr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Autres artisanaux</w:t>
            </w:r>
            <w:r>
              <w:rPr>
                <w:rStyle w:val="FootnoteReference"/>
                <w:noProof/>
                <w:sz w:val="22"/>
              </w:rPr>
              <w:footnoteReference w:id="7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À fixer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»;</w:t>
      </w:r>
    </w:p>
    <w:p>
      <w:pPr>
        <w:pStyle w:val="Point1number"/>
        <w:numPr>
          <w:ilvl w:val="2"/>
          <w:numId w:val="9"/>
        </w:numPr>
        <w:rPr>
          <w:noProof/>
        </w:rPr>
      </w:pPr>
      <w:r>
        <w:rPr>
          <w:noProof/>
        </w:rPr>
        <w:t>au point 6, le tableau B est remplacé par le tableau suivant:</w:t>
      </w:r>
    </w:p>
    <w:p>
      <w:pPr>
        <w:pStyle w:val="Text1"/>
        <w:jc w:val="center"/>
        <w:rPr>
          <w:noProof/>
        </w:rPr>
      </w:pPr>
      <w:r>
        <w:rPr>
          <w:noProof/>
        </w:rPr>
        <w:t>«Tableau B</w:t>
      </w:r>
      <w:r>
        <w:rPr>
          <w:rStyle w:val="FootnoteReference"/>
          <w:noProof/>
        </w:rPr>
        <w:footnoteReference w:customMarkFollows="1" w:id="8"/>
        <w:t>1</w:t>
      </w:r>
    </w:p>
    <w:tbl>
      <w:tblPr>
        <w:tblW w:w="0" w:type="auto"/>
        <w:tblInd w:w="661" w:type="dxa"/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>
        <w:trPr>
          <w:tblHeader/>
        </w:trPr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Approvisionnement maximal en thons rouges capturés à l'état sauvage (en tonnes)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7 000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Italie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3 764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Grèce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785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Chypre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2 195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Croatie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2 947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Malte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8 766</w:t>
            </w:r>
          </w:p>
        </w:tc>
      </w:tr>
      <w:t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  <w:szCs w:val="20"/>
              </w:rPr>
            </w:pPr>
            <w:r>
              <w:rPr>
                <w:noProof/>
              </w:rPr>
              <w:t>350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».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Les nombres figurant dans le tableau A du point 4 peuvent être encore augmentés, à condition de respecter les obligations internationales incombant à l'Union.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Un senneur de taille moyenne à senne coulissante peut être remplacé par dix palangriers au maximum ou par un senneur de petite taille à senne coulissante et trois palangriers au maximum.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Un senneur de taille moyenne à senne coulissante peut être remplacé par dix palangriers au maximum ou par un senneur de petite taille à senne coulissante et trois autres navires artisanaux au maximum.</w:t>
      </w:r>
    </w:p>
  </w:footnote>
  <w:footnote w:id="4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Un senneur de taille moyenne à senne coulissante peut être remplacé par dix palangriers au maximum.</w:t>
      </w:r>
    </w:p>
  </w:footnote>
  <w:footnote w:id="5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Navires polyvalents utilisant des équipements à engins multiples.</w:t>
      </w:r>
    </w:p>
  </w:footnote>
  <w:footnote w:id="6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Ligneurs pêchant dans l'Atlantique.</w:t>
      </w:r>
    </w:p>
  </w:footnote>
  <w:footnote w:id="7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Navires polyvalents utilisant des équipements à engins multiples (palangre, ligne à main, ligne traînante).</w:t>
      </w:r>
    </w:p>
  </w:footnote>
  <w:footnote w:id="8">
    <w:p>
      <w:pPr>
        <w:pStyle w:val="FootnoteText"/>
        <w:rPr>
          <w:lang w:val="fr-BE"/>
        </w:rPr>
      </w:pPr>
      <w:r>
        <w:rPr>
          <w:rStyle w:val="FootnoteReference"/>
          <w:lang w:val="fr-BE"/>
        </w:rPr>
        <w:t>1</w:t>
      </w:r>
      <w:r>
        <w:rPr>
          <w:lang w:val="fr-BE"/>
        </w:rPr>
        <w:tab/>
        <w:t>La capacité d'approvisionnement des fermes de 350 tonnes pour le Portugal provient de la capacité inutilisée de l'Union figurant dans le tableau 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46B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F8B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C6E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544B0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843C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6876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5BA2F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14AB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1"/>
  </w:num>
  <w:num w:numId="15">
    <w:abstractNumId w:val="1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1"/>
  </w:num>
  <w:num w:numId="24">
    <w:abstractNumId w:val="16"/>
  </w:num>
  <w:num w:numId="25">
    <w:abstractNumId w:val="22"/>
  </w:num>
  <w:num w:numId="26">
    <w:abstractNumId w:val="19"/>
  </w:num>
  <w:num w:numId="27">
    <w:abstractNumId w:val="13"/>
  </w:num>
  <w:num w:numId="28">
    <w:abstractNumId w:val="21"/>
  </w:num>
  <w:num w:numId="29">
    <w:abstractNumId w:val="12"/>
  </w:num>
  <w:num w:numId="30">
    <w:abstractNumId w:val="14"/>
  </w:num>
  <w:num w:numId="31">
    <w:abstractNumId w:val="9"/>
  </w:num>
  <w:num w:numId="32">
    <w:abstractNumId w:val="20"/>
  </w:num>
  <w:num w:numId="33">
    <w:abstractNumId w:val="8"/>
  </w:num>
  <w:num w:numId="34">
    <w:abstractNumId w:val="15"/>
  </w:num>
  <w:num w:numId="35">
    <w:abstractNumId w:val="17"/>
  </w:num>
  <w:num w:numId="36">
    <w:abstractNumId w:val="18"/>
  </w:num>
  <w:num w:numId="37">
    <w:abstractNumId w:val="11"/>
  </w:num>
  <w:num w:numId="38">
    <w:abstractNumId w:val="16"/>
  </w:num>
  <w:num w:numId="3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15 14:08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B095763-3DB0-41F5-8FE4-304D6B89732A"/>
    <w:docVar w:name="LW_COVERPAGE_TYPE" w:val="1"/>
    <w:docVar w:name="LW_CROSSREFERENCE" w:val="&lt;UNUSED&gt;"/>
    <w:docVar w:name="LW_DocType" w:val="ANNEX"/>
    <w:docVar w:name="LW_EMISSION" w:val="24.5.2019"/>
    <w:docVar w:name="LW_EMISSION_ISODATE" w:val="2019-05-2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UE) 2019/124 en ce qui concerne certaines possibilités de pêche"/>
    <w:docVar w:name="LW_OBJETACTEPRINCIPAL.CP" w:val="modifiant le règlement (UE) 2019/124 en ce qui concerne certaines possibilités de pêche"/>
    <w:docVar w:name="LW_PART_NBR" w:val="1"/>
    <w:docVar w:name="LW_PART_NBR_TOTAL" w:val="1"/>
    <w:docVar w:name="LW_REF.INST.NEW" w:val="COM"/>
    <w:docVar w:name="LW_REF.INST.NEW_ADOPTED" w:val="final"/>
    <w:docVar w:name="LW_REF.INST.NEW_TEXT" w:val="(2019) 2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Heading123">
    <w:name w:val="Heading 123"/>
    <w:basedOn w:val="Normal"/>
    <w:next w:val="Normal"/>
    <w:pPr>
      <w:numPr>
        <w:numId w:val="10"/>
      </w:num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Heading123">
    <w:name w:val="Heading 123"/>
    <w:basedOn w:val="Normal"/>
    <w:next w:val="Normal"/>
    <w:pPr>
      <w:numPr>
        <w:numId w:val="10"/>
      </w:num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59-DFF6-4DED-AB6D-8E7A312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5</Pages>
  <Words>859</Words>
  <Characters>3973</Characters>
  <Application>Microsoft Office Word</Application>
  <DocSecurity>0</DocSecurity>
  <Lines>662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WES PDFC Administrator</cp:lastModifiedBy>
  <cp:revision>7</cp:revision>
  <cp:lastPrinted>2019-03-11T08:42:00Z</cp:lastPrinted>
  <dcterms:created xsi:type="dcterms:W3CDTF">2019-05-17T08:23:00Z</dcterms:created>
  <dcterms:modified xsi:type="dcterms:W3CDTF">2019-05-21T10:17:00Z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Yellow (DQC version 03)</vt:lpwstr>
  </property>
</Properties>
</file>