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2B86C8-37BC-4FE1-B167-B03B2CDF8010" style="width:450.4pt;height:351.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rPr>
          <w:noProof/>
        </w:rPr>
      </w:pPr>
      <w:r>
        <w:rPr>
          <w:noProof/>
        </w:rPr>
        <w:t>С Регламент (EС) 2019/124 на Съвета се определят възможностите за риболов през 2019 г. на определени рибни запаси и групи от рибни запаси, приложими във водите на Съюза, както и за корабите на Съюза в някои води извън Съюза. Обичайна практика е тези възможности за риболов да се изменят неколкократно по време на периода, за който са в сила.</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за устойчиво развитие.</w:t>
      </w:r>
    </w:p>
    <w:p>
      <w:pPr>
        <w:pStyle w:val="ManualHeading2"/>
        <w:rPr>
          <w:rFonts w:eastAsia="Arial Unicode MS"/>
          <w:noProof/>
        </w:rPr>
      </w:pPr>
      <w:r>
        <w:rPr>
          <w:noProof/>
          <w:color w:val="000000"/>
          <w:bdr w:val="none" w:sz="0" w:space="0" w:color="auto" w:frame="1"/>
        </w:rPr>
        <w:t>•</w:t>
      </w:r>
      <w:r>
        <w:rPr>
          <w:noProof/>
        </w:rPr>
        <w:tab/>
        <w:t>Съгласуваност с политиките на Съюза в други области</w:t>
      </w:r>
    </w:p>
    <w:p>
      <w:pPr>
        <w:rPr>
          <w:noProof/>
        </w:rPr>
      </w:pPr>
      <w:r>
        <w:rPr>
          <w:noProof/>
        </w:rPr>
        <w:t>Предложените мерки са съгласувани с политиките на Съюза в други области — по-специално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rPr>
        <w:t>•</w:t>
      </w:r>
      <w:r>
        <w:rPr>
          <w:noProof/>
        </w:rPr>
        <w:tab/>
        <w:t>Правно основание</w:t>
      </w:r>
    </w:p>
    <w:p>
      <w:pPr>
        <w:rPr>
          <w:noProof/>
        </w:rPr>
      </w:pPr>
      <w:r>
        <w:rPr>
          <w:noProof/>
        </w:rPr>
        <w:t>Правното основание на настоящото предложение е член 43, параграф 3 от Договора за функционирането на Европейския съюз.</w:t>
      </w:r>
    </w:p>
    <w:p>
      <w:pPr>
        <w:rPr>
          <w:noProof/>
        </w:rPr>
      </w:pPr>
      <w:r>
        <w:rPr>
          <w:noProof/>
        </w:rPr>
        <w:t>Ангажиментите на Съюза към устойчивата експлоатация на живите водни ресурси произтичат от задълженията съгласно член 2 от новия основен регламент за ОПОР.</w:t>
      </w:r>
    </w:p>
    <w:p>
      <w:pPr>
        <w:pStyle w:val="ManualHeading2"/>
        <w:rPr>
          <w:rFonts w:eastAsia="Arial Unicode MS"/>
          <w:noProof/>
          <w:bdr w:val="none" w:sz="0" w:space="0" w:color="auto" w:frame="1"/>
        </w:rPr>
      </w:pPr>
      <w:r>
        <w:rPr>
          <w:noProof/>
        </w:rPr>
        <w:t>•</w:t>
      </w:r>
      <w:r>
        <w:rPr>
          <w:noProof/>
        </w:rPr>
        <w:tab/>
        <w:t>Субсидиарност (при неизключителна компетентност)</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bdr w:val="none" w:sz="0" w:space="0" w:color="auto" w:frame="1"/>
        </w:rPr>
      </w:pPr>
      <w:r>
        <w:rPr>
          <w:noProof/>
        </w:rPr>
        <w:t>•</w:t>
      </w:r>
      <w:r>
        <w:rPr>
          <w:noProof/>
        </w:rPr>
        <w:tab/>
        <w:t>Пропорционалност</w:t>
      </w:r>
    </w:p>
    <w:p>
      <w:pPr>
        <w:spacing w:before="0" w:after="240"/>
        <w:rPr>
          <w:rFonts w:eastAsia="Arial Unicode MS"/>
          <w:noProof/>
        </w:rPr>
      </w:pPr>
      <w:r>
        <w:rPr>
          <w:noProof/>
        </w:rPr>
        <w:t>Предложението е в съответствие с принципа на пропорционалност, тъй като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bdr w:val="none" w:sz="0" w:space="0" w:color="auto" w:frame="1"/>
        </w:rPr>
      </w:pPr>
      <w:r>
        <w:rPr>
          <w:noProof/>
        </w:rPr>
        <w:t>•</w:t>
      </w:r>
      <w:r>
        <w:rPr>
          <w:noProof/>
        </w:rPr>
        <w:tab/>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one" w:sz="0" w:space="0" w:color="auto" w:frame="1"/>
        </w:rPr>
      </w:pPr>
      <w:r>
        <w:rPr>
          <w:noProof/>
        </w:rPr>
        <w:t>•</w:t>
      </w:r>
      <w:r>
        <w:rPr>
          <w:noProof/>
        </w:rPr>
        <w:tab/>
        <w:t>Последващи оценки/проверки за пригодност на действащото законодателство</w:t>
      </w:r>
    </w:p>
    <w:p>
      <w:pPr>
        <w:spacing w:before="0" w:after="240"/>
        <w:rPr>
          <w:noProof/>
        </w:rPr>
      </w:pPr>
      <w:r>
        <w:rPr>
          <w:noProof/>
        </w:rPr>
        <w:t>Не е приложимо.</w:t>
      </w:r>
    </w:p>
    <w:p>
      <w:pPr>
        <w:pStyle w:val="ManualHeading2"/>
        <w:rPr>
          <w:rFonts w:eastAsia="Arial Unicode MS"/>
          <w:noProof/>
          <w:bdr w:val="none" w:sz="0" w:space="0" w:color="auto" w:frame="1"/>
        </w:rPr>
      </w:pPr>
      <w:r>
        <w:rPr>
          <w:noProof/>
        </w:rPr>
        <w:lastRenderedPageBreak/>
        <w:t>•</w:t>
      </w:r>
      <w:r>
        <w:rPr>
          <w:noProof/>
        </w:rPr>
        <w:tab/>
        <w:t>Консултации със заинтересованите страни</w:t>
      </w:r>
    </w:p>
    <w:p>
      <w:pPr>
        <w:spacing w:before="0" w:after="240"/>
        <w:rPr>
          <w:noProof/>
        </w:rPr>
      </w:pPr>
      <w:r>
        <w:rPr>
          <w:noProof/>
        </w:rPr>
        <w:t>Както при изготвянето на предложението, така и при определянето на възможностите за риболов е взета предвид обратната информация, представена през годината от заинтересованите страни, консултативните съвети, националните администрации, рибарските и неправителствените организации.</w:t>
      </w:r>
    </w:p>
    <w:p>
      <w:pPr>
        <w:pStyle w:val="ManualHeading2"/>
        <w:rPr>
          <w:rFonts w:eastAsia="Arial Unicode MS"/>
          <w:noProof/>
          <w:bdr w:val="none" w:sz="0" w:space="0" w:color="auto" w:frame="1"/>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Предложението се основава на научните становища</w:t>
      </w:r>
      <w:r>
        <w:rPr>
          <w:rStyle w:val="FootnoteReference"/>
          <w:noProof/>
        </w:rPr>
        <w:footnoteReference w:id="1"/>
      </w:r>
      <w:r>
        <w:rPr>
          <w:noProof/>
        </w:rPr>
        <w:t xml:space="preserve"> на Международния съвет за изследване на морето (ICES) и на Научния, технически и икономически комитет по рибарство.</w:t>
      </w:r>
    </w:p>
    <w:p>
      <w:pPr>
        <w:pStyle w:val="ManualHeading2"/>
        <w:rPr>
          <w:rFonts w:eastAsia="Arial Unicode MS"/>
          <w:noProof/>
          <w:bdr w:val="none" w:sz="0" w:space="0" w:color="auto" w:frame="1"/>
        </w:rPr>
      </w:pPr>
      <w:r>
        <w:rPr>
          <w:noProof/>
        </w:rPr>
        <w:t>•</w:t>
      </w:r>
      <w:r>
        <w:rPr>
          <w:noProof/>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pStyle w:val="ManualHeading2"/>
        <w:rPr>
          <w:rFonts w:eastAsia="Arial Unicode MS"/>
          <w:noProof/>
          <w:bdr w:val="none" w:sz="0" w:space="0" w:color="auto" w:frame="1"/>
        </w:rPr>
      </w:pPr>
      <w:r>
        <w:rPr>
          <w:noProof/>
        </w:rPr>
        <w:t>•</w:t>
      </w:r>
      <w:r>
        <w:rPr>
          <w:noProof/>
        </w:rPr>
        <w:tab/>
        <w:t>Пригодност и опростяване на законодателството</w:t>
      </w:r>
    </w:p>
    <w:p>
      <w:pPr>
        <w:spacing w:before="0" w:after="240"/>
        <w:rPr>
          <w:noProof/>
        </w:rPr>
      </w:pPr>
      <w:r>
        <w:rPr>
          <w:noProof/>
        </w:rPr>
        <w:t>Не е приложимо.</w:t>
      </w:r>
    </w:p>
    <w:p>
      <w:pPr>
        <w:pStyle w:val="ManualHeading2"/>
        <w:rPr>
          <w:rFonts w:eastAsia="Arial Unicode MS"/>
          <w:noProof/>
          <w:bdr w:val="none" w:sz="0" w:space="0" w:color="auto" w:frame="1"/>
        </w:rPr>
      </w:pPr>
      <w:r>
        <w:rPr>
          <w:noProof/>
        </w:rPr>
        <w:t>•</w:t>
      </w:r>
      <w:r>
        <w:rPr>
          <w:noProof/>
        </w:rPr>
        <w:tab/>
        <w:t>Основни права</w:t>
      </w:r>
    </w:p>
    <w:p>
      <w:pPr>
        <w:spacing w:before="0" w:after="240"/>
        <w:rPr>
          <w:noProof/>
        </w:rPr>
      </w:pPr>
      <w:r>
        <w:rPr>
          <w:noProof/>
        </w:rPr>
        <w:t>Не е приложимо.</w:t>
      </w:r>
    </w:p>
    <w:p>
      <w:pPr>
        <w:pStyle w:val="ManualHeading1"/>
        <w:rPr>
          <w:noProof/>
        </w:rPr>
      </w:pPr>
      <w:r>
        <w:rPr>
          <w:noProof/>
        </w:rPr>
        <w:t>4.</w:t>
      </w:r>
      <w:r>
        <w:rPr>
          <w:noProof/>
        </w:rPr>
        <w:tab/>
        <w:t>ОТРАЖЕНИЕ ВЪРХУ БЮДЖЕТА</w:t>
      </w:r>
    </w:p>
    <w:p>
      <w:pP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bdr w:val="none" w:sz="0" w:space="0" w:color="auto" w:frame="1"/>
        </w:rPr>
      </w:pPr>
      <w:r>
        <w:rPr>
          <w:noProof/>
        </w:rPr>
        <w:t>•</w:t>
      </w:r>
      <w:r>
        <w:rPr>
          <w:noProof/>
        </w:rPr>
        <w:tab/>
        <w:t>Подробно разяснение на специфичните разпоредби на предложението</w:t>
      </w:r>
    </w:p>
    <w:p>
      <w:pPr>
        <w:rPr>
          <w:noProof/>
          <w:szCs w:val="24"/>
        </w:rPr>
      </w:pPr>
      <w:r>
        <w:rPr>
          <w:noProof/>
        </w:rPr>
        <w:t>Целта на предложението е Регламент (ЕС) 2019/124 да бъде изменен, както е описано по-долу.</w:t>
      </w:r>
    </w:p>
    <w:p>
      <w:pPr>
        <w:rPr>
          <w:noProof/>
          <w:color w:val="000000"/>
          <w:szCs w:val="24"/>
          <w:u w:val="single"/>
        </w:rPr>
      </w:pPr>
      <w:r>
        <w:rPr>
          <w:noProof/>
          <w:color w:val="000000"/>
          <w:u w:val="single"/>
        </w:rPr>
        <w:t>Риболовно усилие за корабите в контекста на възстановяването на някои запаси от мерлуза и норвежки омар в участъци 8с и 9а на ICES, с изключение на залива Кадис</w:t>
      </w:r>
    </w:p>
    <w:p>
      <w:pPr>
        <w:rPr>
          <w:noProof/>
          <w:color w:val="000000"/>
          <w:szCs w:val="24"/>
        </w:rPr>
      </w:pPr>
      <w:r>
        <w:rPr>
          <w:noProof/>
          <w:color w:val="000000"/>
        </w:rPr>
        <w:t>Планът за възстановяване на запасите от мерлуза и норвежки омар беше отменен с многогодишния план за западните води, който влезе в сила на 26 март 2019 г. Ограниченията на усилието, съдържащи се в приложение II към Регламента относно възможностите за риболов, са определени в съответствие с посочения план за възстановяване. Тъй като съответните запаси ще бъдат управлявани съобразно разпоредбите на многогодишния план за западните води чрез определяне на ограничения на улова в рамките на диапазоните на максималния устойчив улов, отпада необходимостта от по-нататъшно определяне на ограничения на риболовното усилие за флотовете, извършващи риболов на тези запаси. Поради това приложение II следва да бъде отменено.</w:t>
      </w:r>
    </w:p>
    <w:p>
      <w:pPr>
        <w:rPr>
          <w:noProof/>
          <w:color w:val="000000"/>
          <w:szCs w:val="24"/>
          <w:u w:val="single"/>
        </w:rPr>
      </w:pPr>
      <w:r>
        <w:rPr>
          <w:noProof/>
          <w:color w:val="000000"/>
          <w:u w:val="single"/>
        </w:rPr>
        <w:t>Меджид в Ирландско море (участък 7а на ICES)</w:t>
      </w:r>
    </w:p>
    <w:p>
      <w:pPr>
        <w:rPr>
          <w:noProof/>
          <w:szCs w:val="24"/>
        </w:rPr>
      </w:pPr>
      <w:r>
        <w:rPr>
          <w:noProof/>
        </w:rPr>
        <w:t xml:space="preserve">По искане на Комисията ICES ѝ представи актуализиран научен анализ относно равнището на неизбежния прилов на меджид в Ирландско море. В този анализ се прогнозира по-високо равнище на прилова на меджид при други целеви видове </w:t>
      </w:r>
      <w:r>
        <w:rPr>
          <w:noProof/>
        </w:rPr>
        <w:lastRenderedPageBreak/>
        <w:t>риболов, в случай че те бъдат осъществявани в съответствие с максималния устойчив улов. Независимо от това в актуализираното становище отново се препоръчва уловът на меджид в участък 7а през 2019 г. да е нулев предвид все още неустойчивите равнища както на смъртността от риболов, така и на биомасата. В този контекст предложението на Комисията установява баланс, позволяващ увеличаване на общия допустим улов (ОДУ) на меджид, с цел да се предотврати налагането на преждевременна забрана на риболова, като същевременно се даде възможност за увеличаване на биомасата на репродуктивния запас.</w:t>
      </w:r>
    </w:p>
    <w:p>
      <w:pPr>
        <w:rPr>
          <w:noProof/>
          <w:color w:val="000000"/>
          <w:szCs w:val="24"/>
          <w:u w:val="single"/>
        </w:rPr>
      </w:pPr>
      <w:r>
        <w:rPr>
          <w:noProof/>
          <w:color w:val="000000"/>
          <w:u w:val="single"/>
        </w:rPr>
        <w:t>Норвежки омар в участък 8c на ICES</w:t>
      </w:r>
    </w:p>
    <w:p>
      <w:pPr>
        <w:rPr>
          <w:noProof/>
          <w:color w:val="000000"/>
          <w:szCs w:val="24"/>
        </w:rPr>
      </w:pPr>
      <w:r>
        <w:rPr>
          <w:noProof/>
          <w:color w:val="000000"/>
        </w:rPr>
        <w:t>На 28 март ICES представи становището си относно контролния улов на норвежки омар във функционална единица 31 от участък 8c на ICES. В съответствие с това становище уловът следва да е нулев, тъй като извършваното с подводни телевизионни камери наблюдение на числеността на запасите не е съпроводено с отстраняване на животни. Независимо от това, когато не е възможно наблюдение с такива камери, ICES препоръчва извършването на контролен улов за събиране на данни относно улова на норвежки омар за единица усилие във функционална единица 31 от участък 8c на ICES. Препоръката е уловът на норвежки омар да не надвишава 0,7 тона. Поради това възможностите за улов на норвежки омар следва да се изменят, така че да се предвиди извършването на посочения контролен улов.</w:t>
      </w:r>
    </w:p>
    <w:p>
      <w:pPr>
        <w:rPr>
          <w:noProof/>
          <w:szCs w:val="24"/>
          <w:u w:val="single"/>
        </w:rPr>
      </w:pPr>
      <w:r>
        <w:rPr>
          <w:noProof/>
          <w:u w:val="single"/>
        </w:rPr>
        <w:t>Северна скарида в участъци 3a и 4a изток на ICES</w:t>
      </w:r>
    </w:p>
    <w:p>
      <w:pPr>
        <w:rPr>
          <w:noProof/>
          <w:szCs w:val="24"/>
        </w:rPr>
      </w:pPr>
      <w:r>
        <w:rPr>
          <w:noProof/>
        </w:rPr>
        <w:t>На 28 март 2019 г. ICES представи становището си относно улова на северна скарида (</w:t>
      </w:r>
      <w:r>
        <w:rPr>
          <w:i/>
          <w:noProof/>
        </w:rPr>
        <w:t>Pandalus borealis</w:t>
      </w:r>
      <w:r>
        <w:rPr>
          <w:noProof/>
        </w:rPr>
        <w:t>) в участъци 3а и 4а изток на ICES (Скагерак, Категат и северната част на Северно море — в т. нар. „норвежка дълбоководна зона“). След консултации с Норвегия делът на ЕС от улова на северна скарида в Скагерак беше определен на 2010 тона.</w:t>
      </w:r>
    </w:p>
    <w:p>
      <w:pPr>
        <w:rPr>
          <w:noProof/>
          <w:szCs w:val="24"/>
          <w:u w:val="single"/>
        </w:rPr>
      </w:pPr>
      <w:r>
        <w:rPr>
          <w:noProof/>
          <w:u w:val="single"/>
        </w:rPr>
        <w:t>Сайда в Северно море</w:t>
      </w:r>
    </w:p>
    <w:p>
      <w:pPr>
        <w:rPr>
          <w:noProof/>
          <w:szCs w:val="24"/>
          <w:highlight w:val="yellow"/>
        </w:rPr>
      </w:pPr>
      <w:r>
        <w:rPr>
          <w:noProof/>
        </w:rPr>
        <w:t>На 22 февруари 2019 г. ICES представи актуализирано становище относно улова на сайда (</w:t>
      </w:r>
      <w:r>
        <w:rPr>
          <w:i/>
          <w:noProof/>
        </w:rPr>
        <w:t>Pollachius virens</w:t>
      </w:r>
      <w:r>
        <w:rPr>
          <w:noProof/>
        </w:rPr>
        <w:t>) в подзони 4 и 6 и в участък 3a на ICES. В съответствие с това становище и след консултации с Норвегия ОДУ за сайда следва да бъде съответно изменен съобразно максималния устойчив улов.</w:t>
      </w:r>
    </w:p>
    <w:p>
      <w:pPr>
        <w:widowControl w:val="0"/>
        <w:shd w:val="clear" w:color="auto" w:fill="FFFFFF"/>
        <w:autoSpaceDE w:val="0"/>
        <w:autoSpaceDN w:val="0"/>
        <w:adjustRightInd w:val="0"/>
        <w:spacing w:after="0"/>
        <w:ind w:right="86"/>
        <w:rPr>
          <w:noProof/>
          <w:szCs w:val="24"/>
          <w:u w:val="single"/>
        </w:rPr>
      </w:pPr>
      <w:r>
        <w:rPr>
          <w:noProof/>
          <w:u w:val="single"/>
        </w:rPr>
        <w:t>Цаца в Северно море</w:t>
      </w:r>
    </w:p>
    <w:p>
      <w:pPr>
        <w:rPr>
          <w:noProof/>
          <w:szCs w:val="24"/>
        </w:rPr>
      </w:pPr>
      <w:r>
        <w:rPr>
          <w:noProof/>
        </w:rPr>
        <w:t>На 12 април 2019 г. ICES представи годишното си становище относно цацата (</w:t>
      </w:r>
      <w:r>
        <w:rPr>
          <w:i/>
          <w:noProof/>
        </w:rPr>
        <w:t>Sprattus sprattus</w:t>
      </w:r>
      <w:r>
        <w:rPr>
          <w:noProof/>
        </w:rPr>
        <w:t>) в Северно море. Съгласно това становище уловът на цаца в Северно море през периода от 1 юли 2019 г. до 30 юни 2020 г. не следва да надвишава XXX тона. Възможностите за риболов на посочения вид следва да бъдат съобразени със становището.</w:t>
      </w:r>
    </w:p>
    <w:p>
      <w:pPr>
        <w:rPr>
          <w:noProof/>
          <w:szCs w:val="24"/>
          <w:u w:val="single"/>
        </w:rPr>
      </w:pPr>
      <w:r>
        <w:rPr>
          <w:noProof/>
          <w:u w:val="single"/>
        </w:rPr>
        <w:t>Ограничения на риболовното усилие в района на Конвенцията ICCAT</w:t>
      </w:r>
    </w:p>
    <w:p>
      <w:pPr>
        <w:rPr>
          <w:noProof/>
          <w:szCs w:val="24"/>
        </w:rPr>
      </w:pPr>
      <w:r>
        <w:rPr>
          <w:noProof/>
        </w:rPr>
        <w:t xml:space="preserve">На своето 21-во извънредно заседание през 2018 г. Международната комисия за опазване на рибата тон в Атлантическия океан (ICCAT) прие Препоръка 18-02 за установяване на многогодишен план за управление на червения тон в източната част на Атлантическия океан и в Средиземно море. Този план за управление се основава на издадената от Постоянния комитет за изследвания и статистика препоръка за изготвяне на многогодишен план за управление на посочения запас през 2018 г., тъй като текущото състояние на запаса вече не изисква прилагане на спешните мерки, въведени с плана за възстановяване на червения тон (Препоръка 17-17 за изменение на Препоръка 14-04). В плана за управление са взети предвид особеностите на различните </w:t>
      </w:r>
      <w:r>
        <w:rPr>
          <w:noProof/>
        </w:rPr>
        <w:lastRenderedPageBreak/>
        <w:t>видове уреди и риболовни техники. Поради това бяха преразгледани разпоредбите относно ограниченията на усилието и максималното количество в стопанствата за отглеждане на риба тон.</w:t>
      </w:r>
    </w:p>
    <w:p>
      <w:pPr>
        <w:rPr>
          <w:noProof/>
          <w:szCs w:val="24"/>
        </w:rPr>
      </w:pPr>
    </w:p>
    <w:p>
      <w:pPr>
        <w:pStyle w:val="Rfrenceinterinstitutionnelle"/>
        <w:rPr>
          <w:noProof/>
        </w:rPr>
      </w:pPr>
      <w:r>
        <w:rPr>
          <w:noProof/>
        </w:rPr>
        <w:t>2019/0117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2019/124 по отношение на определени възможности за риболов</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2019/124 на Съвета</w:t>
      </w:r>
      <w:r>
        <w:rPr>
          <w:rStyle w:val="FootnoteReference"/>
          <w:noProof/>
        </w:rPr>
        <w:footnoteReference w:id="2"/>
      </w:r>
      <w:r>
        <w:rPr>
          <w:noProof/>
        </w:rPr>
        <w:t xml:space="preserve"> се определят възможностите за риболов за 2019 г. на определени рибни запаси и групи от рибни запаси, приложими във водите на Съюза и за корабите на Съюза в някои води извън Съюза.</w:t>
      </w:r>
    </w:p>
    <w:p>
      <w:pPr>
        <w:pStyle w:val="ManualConsidrant"/>
        <w:rPr>
          <w:noProof/>
        </w:rPr>
      </w:pPr>
      <w:r>
        <w:t>(2)</w:t>
      </w:r>
      <w:r>
        <w:tab/>
      </w:r>
      <w:r>
        <w:rPr>
          <w:noProof/>
        </w:rPr>
        <w:t>Планът за възстановяване на запасите от мерлуза и норвежки омар</w:t>
      </w:r>
      <w:r>
        <w:rPr>
          <w:rStyle w:val="FootnoteReference"/>
          <w:noProof/>
        </w:rPr>
        <w:footnoteReference w:id="3"/>
      </w:r>
      <w:r>
        <w:rPr>
          <w:noProof/>
        </w:rPr>
        <w:t xml:space="preserve"> беше отменен с многогодишния план за западните води</w:t>
      </w:r>
      <w:r>
        <w:rPr>
          <w:rStyle w:val="FootnoteReference"/>
          <w:noProof/>
        </w:rPr>
        <w:footnoteReference w:id="4"/>
      </w:r>
      <w:r>
        <w:rPr>
          <w:noProof/>
        </w:rPr>
        <w:t>, който влезе в сила на 26 март 2019 г. Ограниченията на риболовното усилие, посочени в приложение II към Регламент (ЕС) 2019/124 на Съвета, са определени в съответствие с посочения план за възстановяване. Тъй като съответните запаси ще бъдат управлявани съобразно разпоредбите на многогодишния план за западните води чрез определяне на ограничения на улова, така че да се постигне целева смъртност от риболов в съответствие с диапазоните на максималния устойчив улов, отпада необходимостта от по-нататъшно определяне на ограничения на риболовното усилие за флотовете, извършващи риболов на тези запаси. Поради това приложение II следва да бъде отменено.</w:t>
      </w:r>
    </w:p>
    <w:p>
      <w:pPr>
        <w:pStyle w:val="ManualConsidrant"/>
        <w:rPr>
          <w:noProof/>
        </w:rPr>
      </w:pPr>
      <w:r>
        <w:lastRenderedPageBreak/>
        <w:t>(3)</w:t>
      </w:r>
      <w:r>
        <w:tab/>
      </w:r>
      <w:r>
        <w:rPr>
          <w:noProof/>
        </w:rPr>
        <w:t>Международният съвет за изследване на морето (ICES) представи научно становище, в което се препоръчва уловът на меджид (</w:t>
      </w:r>
      <w:r>
        <w:rPr>
          <w:i/>
          <w:noProof/>
        </w:rPr>
        <w:t>Merlangius merlangus</w:t>
      </w:r>
      <w:r>
        <w:rPr>
          <w:noProof/>
        </w:rPr>
        <w:t>) в участък 7a на ICES (Ирландско море) да бъде на нулево равнище. Общият допустим улов (ОДУ) за прилова на този запас за 2019 г. се определя с цел да се постигне баланс между продължаването на риболова предвид потенциално сериозните социално-икономически последици от неговото прекъсване и необходимостта от постигане на добро биологично състояние на запасите, като се вземат предвид трудностите, които съпровождат риболовните дейности, насочени едновременно към всички запаси в контекста на смесен риболов при максимален устойчив улов. Актуализираният научен анализ на ICES относно състоянието на меджида (</w:t>
      </w:r>
      <w:r>
        <w:rPr>
          <w:i/>
          <w:noProof/>
        </w:rPr>
        <w:t>Merlangius merlangus</w:t>
      </w:r>
      <w:r>
        <w:rPr>
          <w:noProof/>
        </w:rPr>
        <w:t>) в участък 7a на ICES и неговия неизбежен прилов при други риболовни дейности се отнасяше до сценарий за запазване на статуквото, при който прогнозираното количество на съответния улов беше 1385 тона. Вследствие на този научен анализ ОДУ следва да бъде изменен, така че да отразява количество, при което рискът от преждевременна забрана на риболова ще бъде сведен до минимум, като същевременно се даде възможност за по-нататъшното възстановяване на биомасата на репродуктивния запас. Наред с това равнището на ОДУ следва да бъде такова, че да не се увеличава смъртността при посочения запас и да се осигуряват стимули за подобряване на селективността и избягване на нежелания улов.</w:t>
      </w:r>
    </w:p>
    <w:p>
      <w:pPr>
        <w:pStyle w:val="ManualConsidrant"/>
        <w:rPr>
          <w:noProof/>
          <w:szCs w:val="24"/>
        </w:rPr>
      </w:pPr>
      <w:r>
        <w:t>(4)</w:t>
      </w:r>
      <w:r>
        <w:tab/>
      </w:r>
      <w:r>
        <w:rPr>
          <w:noProof/>
        </w:rPr>
        <w:t>През декември 2018 г. съответните държави членки се споразумяха да си сътрудничат в рамките на Групата на държавите членки с излаз на северозападните води и в тясно сътрудничество с Консултативния съвет за северозападните води, с цел да бъде изготвен многогодишен план за намаляване на прилова. С този план следва да се гарантира намаляването — посредством мерки за селективност или мерки за избягване — на прилова на въпросните пет запаса (включително на запаса от меджид в Ирландско море), за които ICES е представил становище за нулев улов. Комисията възнамерява да представи плана на пленарната сесия на Научния, технически и икономически комитет по рибарство (НТИКР), която ще се проведе през юли 2019 г., така че да се извърши оценка на неговата ефективност. Ако оценката на НТИКР покаже, че планът за намаляване на прилова няма да постигне желания резултат, изразяващ се в намаляване на смъртността от риболов при прилова, Комисията ще разгледа алтернативни мерки за намаляване на смъртността от риболов за съответните запаси.</w:t>
      </w:r>
    </w:p>
    <w:p>
      <w:pPr>
        <w:pStyle w:val="ManualConsidrant"/>
        <w:rPr>
          <w:noProof/>
          <w:szCs w:val="24"/>
        </w:rPr>
      </w:pPr>
      <w:r>
        <w:t>(5)</w:t>
      </w:r>
      <w:r>
        <w:tab/>
      </w:r>
      <w:r>
        <w:rPr>
          <w:noProof/>
        </w:rPr>
        <w:t>Съгласно становището на ICES от 28 март уловът на норвежки омар (</w:t>
      </w:r>
      <w:r>
        <w:rPr>
          <w:i/>
          <w:noProof/>
        </w:rPr>
        <w:t>Nephrops norvegicus</w:t>
      </w:r>
      <w:r>
        <w:rPr>
          <w:noProof/>
        </w:rPr>
        <w:t>) във функционална единица 31 от участък 8c на ICES за периода от 1 януари 2019 г. до 31 декември 2019 г. не следва да надвишава 0,7 тона. Съответно следва да се определят възможностите за риболов на норвежки омар във функционална единица 31 от участък 8c на ICES.</w:t>
      </w:r>
    </w:p>
    <w:p>
      <w:pPr>
        <w:pStyle w:val="ManualConsidrant"/>
        <w:rPr>
          <w:i/>
          <w:noProof/>
        </w:rPr>
      </w:pPr>
      <w:r>
        <w:t>(6)</w:t>
      </w:r>
      <w:r>
        <w:tab/>
      </w:r>
      <w:r>
        <w:rPr>
          <w:noProof/>
        </w:rPr>
        <w:t>На 28 март 2019 г. ICES представи становището си относно улова на северна скарида (</w:t>
      </w:r>
      <w:r>
        <w:rPr>
          <w:i/>
          <w:noProof/>
        </w:rPr>
        <w:t>Pandalus borealis</w:t>
      </w:r>
      <w:r>
        <w:rPr>
          <w:noProof/>
        </w:rPr>
        <w:t>) в участъци 3а и 4а изток на ICES (Скагерак, Категат и северната част на Северно море — в т. нар. „норвежка дълбоководна зона“). Въз основа на това становище и след консултации с Норвегия беше счетено за целесъобразно квотата на Съюза за северна скарида в участък 3a на ICES да се определи на 2010 тона в съответствие с максималния устойчив улов.</w:t>
      </w:r>
    </w:p>
    <w:p>
      <w:pPr>
        <w:pStyle w:val="ManualConsidrant"/>
        <w:rPr>
          <w:i/>
          <w:noProof/>
        </w:rPr>
      </w:pPr>
      <w:r>
        <w:t>(7)</w:t>
      </w:r>
      <w:r>
        <w:tab/>
      </w:r>
      <w:r>
        <w:rPr>
          <w:noProof/>
        </w:rPr>
        <w:t>На 22 февруари 2019 г. ICES представи актуализирано становище относно улова на сайда (</w:t>
      </w:r>
      <w:r>
        <w:rPr>
          <w:i/>
          <w:noProof/>
        </w:rPr>
        <w:t>Pollachius virens</w:t>
      </w:r>
      <w:r>
        <w:rPr>
          <w:noProof/>
        </w:rPr>
        <w:t xml:space="preserve">) в Северно море. В съответствие с това становище и </w:t>
      </w:r>
      <w:r>
        <w:rPr>
          <w:noProof/>
        </w:rPr>
        <w:lastRenderedPageBreak/>
        <w:t>след консултации с Норвегия ОДУ за сайда следва да бъде съответно изменен съобразно максималния устойчив улов.</w:t>
      </w:r>
    </w:p>
    <w:p>
      <w:pPr>
        <w:pStyle w:val="ManualConsidrant"/>
        <w:rPr>
          <w:noProof/>
        </w:rPr>
      </w:pPr>
      <w:r>
        <w:t>(8)</w:t>
      </w:r>
      <w:r>
        <w:tab/>
      </w:r>
      <w:r>
        <w:rPr>
          <w:noProof/>
        </w:rPr>
        <w:t>Съгласно становището на ICES от 12 април 2019 г. уловът на цаца (</w:t>
      </w:r>
      <w:r>
        <w:rPr>
          <w:i/>
          <w:noProof/>
        </w:rPr>
        <w:t>Sprattus sprattus</w:t>
      </w:r>
      <w:r>
        <w:rPr>
          <w:noProof/>
        </w:rPr>
        <w:t>) в Северно море за периода от 1 юли 2019 г. до 30 юни 2020 г. не следва да надвишава XXX тона. Възможностите за риболов на цаца в участък 2a на ICES (Норвежко море) и подзона 4 на ICES (Северно море) следва да бъдат съответно определени.</w:t>
      </w:r>
    </w:p>
    <w:p>
      <w:pPr>
        <w:pStyle w:val="ManualConsidrant"/>
        <w:rPr>
          <w:noProof/>
        </w:rPr>
      </w:pPr>
      <w:r>
        <w:t>(9)</w:t>
      </w:r>
      <w:r>
        <w:tab/>
      </w:r>
      <w:r>
        <w:rPr>
          <w:noProof/>
        </w:rPr>
        <w:t>На своето 21-во извънредно заседание през 2018 г. Международната комисия за опазване на рибата тон в Атлантическия океан (ICCAT) прие Препоръка 18-02 за установяване на многогодишен план за управление на червения тон в източната част на Атлантическия океан и в Средиземно море. Този план за управление се основава на издадената от Постоянния комитет за изследвания и статистика препоръка за изготвяне на многогодишен план за управление на посочения запас през 2018 г., тъй като текущото състояние на запаса вече не изисква прилагане на спешните мерки, въведени с плана за възстановяване на червения тон (Препоръка 17-17 за изменение на Препоръка 14-04). В плана за управление са взети предвид особеностите на различните видове уреди и риболовни техники. Поради това е целесъобразно да се преразгледат разпоредбите относно ограниченията на усилието и максималното количество в стопанствата за отглеждане на риба тон.</w:t>
      </w:r>
    </w:p>
    <w:p>
      <w:pPr>
        <w:pStyle w:val="ManualConsidrant"/>
        <w:rPr>
          <w:noProof/>
        </w:rPr>
      </w:pPr>
      <w:r>
        <w:t>(10)</w:t>
      </w:r>
      <w:r>
        <w:tab/>
      </w:r>
      <w:r>
        <w:rPr>
          <w:noProof/>
        </w:rPr>
        <w:t>Ограниченията на улова, предвидени в Регламент (ЕС) 2019/124, се прилагат от 1 януари 2019 г. От същата дата следва съответно да се прилагат и разпоредбите на настоящия регламент във връзка с ограниченията на улова. Това прилагане с обратно действие не засяга принципите на правна сигурност и защита на оправданите правни очаквания, тъй като съответните възможности за риболов все още не са изчерпани.</w:t>
      </w:r>
    </w:p>
    <w:p>
      <w:pPr>
        <w:pStyle w:val="ManualConsidrant"/>
        <w:rPr>
          <w:noProof/>
        </w:rPr>
      </w:pPr>
      <w:r>
        <w:t>(11)</w:t>
      </w:r>
      <w:r>
        <w:tab/>
      </w:r>
      <w:r>
        <w:rPr>
          <w:noProof/>
        </w:rPr>
        <w:t>Поради това Регламент (ЕС) 2019/124 следва да бъде съответно изменен,</w:t>
      </w:r>
    </w:p>
    <w:p>
      <w:pPr>
        <w:pStyle w:val="ManualConsidrant"/>
        <w:rPr>
          <w:noProof/>
        </w:rPr>
      </w:pPr>
    </w:p>
    <w:p>
      <w:pPr>
        <w:pStyle w:val="Formuledadoption"/>
        <w:rPr>
          <w:noProof/>
        </w:rPr>
      </w:pPr>
      <w:r>
        <w:rPr>
          <w:noProof/>
        </w:rPr>
        <w:t>ПРИЕ НАСТОЯЩИЯ РЕГЛАМЕНТ:</w:t>
      </w:r>
    </w:p>
    <w:p>
      <w:pPr>
        <w:pStyle w:val="Titrearticle"/>
        <w:rPr>
          <w:noProof/>
        </w:rPr>
      </w:pPr>
      <w:r>
        <w:rPr>
          <w:noProof/>
        </w:rPr>
        <w:t>Член 1</w:t>
      </w:r>
      <w:r>
        <w:rPr>
          <w:noProof/>
        </w:rPr>
        <w:br/>
      </w:r>
    </w:p>
    <w:p>
      <w:pPr>
        <w:pStyle w:val="ManualNumPar1"/>
        <w:ind w:left="0" w:firstLine="0"/>
        <w:rPr>
          <w:noProof/>
        </w:rPr>
      </w:pPr>
      <w:r>
        <w:rPr>
          <w:noProof/>
        </w:rPr>
        <w:t>Регламент (ЕС) 2019/124 се изменя, както следва:</w:t>
      </w:r>
    </w:p>
    <w:p>
      <w:pPr>
        <w:pStyle w:val="Point0number"/>
        <w:numPr>
          <w:ilvl w:val="0"/>
          <w:numId w:val="10"/>
        </w:numPr>
        <w:rPr>
          <w:noProof/>
        </w:rPr>
      </w:pPr>
      <w:r>
        <w:rPr>
          <w:noProof/>
        </w:rPr>
        <w:t>в член 9 буква а) се заличава;</w:t>
      </w:r>
    </w:p>
    <w:p>
      <w:pPr>
        <w:pStyle w:val="Point0number"/>
        <w:numPr>
          <w:ilvl w:val="0"/>
          <w:numId w:val="10"/>
        </w:numPr>
        <w:rPr>
          <w:noProof/>
        </w:rPr>
      </w:pPr>
      <w:r>
        <w:rPr>
          <w:noProof/>
        </w:rPr>
        <w:t>приложение IA към Регламент (ЕС) 2019/124 се изменя в съответствие с приложението към настоящия регламент;</w:t>
      </w:r>
    </w:p>
    <w:p>
      <w:pPr>
        <w:pStyle w:val="Point0number"/>
        <w:numPr>
          <w:ilvl w:val="0"/>
          <w:numId w:val="10"/>
        </w:numPr>
        <w:rPr>
          <w:noProof/>
        </w:rPr>
      </w:pPr>
      <w:r>
        <w:rPr>
          <w:noProof/>
        </w:rPr>
        <w:t>приложение IIА се заличава;</w:t>
      </w:r>
    </w:p>
    <w:p>
      <w:pPr>
        <w:pStyle w:val="Point0number"/>
        <w:numPr>
          <w:ilvl w:val="0"/>
          <w:numId w:val="10"/>
        </w:numPr>
        <w:rPr>
          <w:noProof/>
        </w:rPr>
      </w:pPr>
      <w:r>
        <w:rPr>
          <w:noProof/>
        </w:rPr>
        <w:t>приложение IV се изменя в съответствие с приложението към настоящия регламент.</w:t>
      </w:r>
    </w:p>
    <w:p>
      <w:pPr>
        <w:pStyle w:val="Titrearticle"/>
        <w:rPr>
          <w:noProof/>
        </w:rPr>
      </w:pPr>
      <w:r>
        <w:rPr>
          <w:noProof/>
        </w:rPr>
        <w:t>Член 2</w:t>
      </w:r>
      <w:r>
        <w:rPr>
          <w:noProof/>
        </w:rPr>
        <w:br/>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lastRenderedPageBreak/>
        <w:t>Той се прилага от 1 януари 2019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lang w:eastAsia="en-GB"/>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hyperlink r:id="rId1" w:history="1">
        <w:r>
          <w:rPr>
            <w:rStyle w:val="Hyperlink"/>
          </w:rPr>
          <w:t>http://www.ices.dk/community/advisory-process/Pages/Latest-advice.aspx</w:t>
        </w:r>
      </w:hyperlink>
      <w:r>
        <w:t xml:space="preserve"> </w:t>
      </w:r>
    </w:p>
  </w:footnote>
  <w:footnote w:id="2">
    <w:p>
      <w:pPr>
        <w:pStyle w:val="FootnoteText"/>
        <w:rPr>
          <w:lang w:val="ru-RU"/>
        </w:rPr>
      </w:pPr>
      <w:r>
        <w:rPr>
          <w:rStyle w:val="FootnoteReference"/>
        </w:rPr>
        <w:footnoteRef/>
      </w:r>
      <w:r>
        <w:tab/>
        <w:t>Регламент (ЕС) 2019/124 на Съвета от 30 януари 2019 г. за определяне за 2019 г.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 (ОВ L 29, 31.1.2019 г., стр. 1).</w:t>
      </w:r>
    </w:p>
  </w:footnote>
  <w:footnote w:id="3">
    <w:p>
      <w:pPr>
        <w:pStyle w:val="FootnoteText"/>
      </w:pPr>
      <w:r>
        <w:rPr>
          <w:rStyle w:val="FootnoteReference"/>
        </w:rPr>
        <w:footnoteRef/>
      </w:r>
      <w:r>
        <w:tab/>
        <w:t>Регламент (ЕО) № 2166/2005 на Съвета от 20 декември 2005 г. за установяване на мерки за възстановяването на запасите от южен хек и норвежки омар в Кантабрийско море и западната част на Иберийския полуостров и за изменение на Регламент (ЕО) № 850/98 относно опазването на риболовните ресурси посредством технически мерки за защита на младите екземпляри морски организми (ОВ L 345, 28.12.2005 г., стр. 5).</w:t>
      </w:r>
    </w:p>
  </w:footnote>
  <w:footnote w:id="4">
    <w:p>
      <w:pPr>
        <w:pStyle w:val="FootnoteText"/>
      </w:pPr>
      <w:r>
        <w:rPr>
          <w:rStyle w:val="FootnoteReference"/>
        </w:rPr>
        <w:footnoteRef/>
      </w:r>
      <w:r>
        <w:tab/>
        <w:t>Регламент (ЕС) 2019/472 на Европейския парламент и на Съвета от 19 март 2019 г. за създаване на многогодишен план за запасите — обект на риболов в западните води и съседните на тях води, и за видовете риболов, които експлоатират тези запаси, за изменение на регламенти (ЕС) 2016/1139 и (ЕС) 2018/973 и за отмяна на регламенти (ЕО) № 811/2004, (ЕО) № 2166/2005, (ЕО) № 388/2006, (ЕО) № 509/2007 и (ЕО) № 1300/2008 на Съвета (ОВ L 83, 25.3.2019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1 12:19: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2B86C8-37BC-4FE1-B167-B03B2CDF8010"/>
    <w:docVar w:name="LW_COVERPAGE_TYPE" w:val="1"/>
    <w:docVar w:name="LW_CROSSREFERENCE" w:val="&lt;UNUSED&gt;"/>
    <w:docVar w:name="LW_DocType" w:val="COM"/>
    <w:docVar w:name="LW_EMISSION" w:val="24.5.2019"/>
    <w:docVar w:name="LW_EMISSION_ISODATE" w:val="2019-05-2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7"/>
    <w:docVar w:name="LW_REF.II.NEW.CP_YEAR" w:val="2019"/>
    <w:docVar w:name="LW_REF.INST.NEW" w:val="COM"/>
    <w:docVar w:name="LW_REF.INST.NEW_ADOPTED" w:val="final"/>
    <w:docVar w:name="LW_REF.INST.NEW_TEXT" w:val="(2019)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9/124 \u1087?\u1086? \u1086?\u1090?\u1085?\u1086?\u1096?\u1077?\u1085?\u1080?\u1077? \u1085?\u1072? \u1086?\u1087?\u1088?\u1077?\u1076?\u1077?\u1083?\u1077?\u1085?\u1080? \u1074?\u1098?\u1079?\u1084?\u1086?\u1078?\u1085?\u1086?\u1089?\u1090?\u1080? \u1079?\u1072? \u1088?\u1080?\u1073?\u1086?\u1083?\u1086?\u1074?"/>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510680448">
      <w:bodyDiv w:val="1"/>
      <w:marLeft w:val="0"/>
      <w:marRight w:val="0"/>
      <w:marTop w:val="0"/>
      <w:marBottom w:val="0"/>
      <w:divBdr>
        <w:top w:val="none" w:sz="0" w:space="0" w:color="auto"/>
        <w:left w:val="none" w:sz="0" w:space="0" w:color="auto"/>
        <w:bottom w:val="none" w:sz="0" w:space="0" w:color="auto"/>
        <w:right w:val="none" w:sz="0" w:space="0" w:color="auto"/>
      </w:divBdr>
    </w:div>
    <w:div w:id="749733494">
      <w:bodyDiv w:val="1"/>
      <w:marLeft w:val="0"/>
      <w:marRight w:val="0"/>
      <w:marTop w:val="0"/>
      <w:marBottom w:val="0"/>
      <w:divBdr>
        <w:top w:val="none" w:sz="0" w:space="0" w:color="auto"/>
        <w:left w:val="none" w:sz="0" w:space="0" w:color="auto"/>
        <w:bottom w:val="none" w:sz="0" w:space="0" w:color="auto"/>
        <w:right w:val="none" w:sz="0" w:space="0" w:color="auto"/>
      </w:divBdr>
    </w:div>
    <w:div w:id="1075202070">
      <w:bodyDiv w:val="1"/>
      <w:marLeft w:val="0"/>
      <w:marRight w:val="0"/>
      <w:marTop w:val="0"/>
      <w:marBottom w:val="0"/>
      <w:divBdr>
        <w:top w:val="none" w:sz="0" w:space="0" w:color="auto"/>
        <w:left w:val="none" w:sz="0" w:space="0" w:color="auto"/>
        <w:bottom w:val="none" w:sz="0" w:space="0" w:color="auto"/>
        <w:right w:val="none" w:sz="0" w:space="0" w:color="auto"/>
      </w:divBdr>
    </w:div>
    <w:div w:id="148087664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F44D-216F-4172-9124-F411B3AC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2256</Words>
  <Characters>12547</Characters>
  <Application>Microsoft Office Word</Application>
  <DocSecurity>0</DocSecurity>
  <Lines>250</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2019-05-14T15:05:00Z</cp:lastPrinted>
  <dcterms:created xsi:type="dcterms:W3CDTF">2019-05-17T09:53:00Z</dcterms:created>
  <dcterms:modified xsi:type="dcterms:W3CDTF">2019-05-21T10:19:00Z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