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7BBD3F-D2F7-4C44-BF12-AE8791708605" style="width:450.75pt;height:477.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aux programmes et actions de l’Union financés par des lignes budgétaires du budget général de l’Union européenne. En l’espèce, l’objectif de cette modification est de permettre la participation des États de l’AELE membres de l’EEE (Norvège, Islande et Liechtenstein) aux actions engagées par l'Union au titre de la ligne budgétaire 02 03 01 «Marché intérieur» et de la ligne budgétaire 02 03 04 «Outils de gouvernance du marché intérieur» du budget général de l’Union européenne pour l’exercice 2019.</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 projet ci-joint de décision du Comité mixte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proposition est fondée sur l'article 114 du TFUE, en liaison avec son article 218, paragraphe 9. 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1"/>
      </w:r>
      <w:r>
        <w:rPr>
          <w:noProof/>
        </w:rPr>
        <w:t xml:space="preserve"> prévoit que le Conseil établit, sur proposition de la Commission, la position à prendre au nom de l’Union à l’égard de décisions de ce type.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r>
        <w:rPr>
          <w:noProof/>
          <w:color w:val="000000"/>
        </w:rPr>
        <w:t xml:space="preserve"> </w:t>
      </w:r>
    </w:p>
    <w:p>
      <w:pPr>
        <w:rPr>
          <w:rFonts w:cs="EUAlbertina"/>
          <w:noProof/>
          <w:color w:val="000000"/>
          <w:szCs w:val="24"/>
        </w:rPr>
      </w:pPr>
      <w:r>
        <w:rPr>
          <w:noProof/>
          <w:color w:val="000000"/>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color w:val="000000"/>
        </w:rPr>
        <w:t>Conformément au principe de proportionnalité, la proposition n'excède pas ce qui est nécessaire pour atteindre son objectif (garantir l’homogénéité du marché intérieur).</w:t>
      </w:r>
    </w:p>
    <w:p>
      <w:pPr>
        <w:pStyle w:val="ManualHeading2"/>
        <w:rPr>
          <w:rFonts w:eastAsia="Arial Unicode MS"/>
          <w:noProof/>
          <w:u w:color="000000"/>
          <w:bdr w:val="nil"/>
        </w:rPr>
      </w:pPr>
      <w:r>
        <w:rPr>
          <w:noProof/>
        </w:rPr>
        <w:lastRenderedPageBreak/>
        <w:t>•</w:t>
      </w:r>
      <w:r>
        <w:rPr>
          <w:noProof/>
        </w:rPr>
        <w:tab/>
        <w:t>Choix de l’instrument</w:t>
      </w:r>
    </w:p>
    <w:p>
      <w:pPr>
        <w:pBdr>
          <w:top w:val="nil"/>
          <w:left w:val="nil"/>
          <w:bottom w:val="nil"/>
          <w:right w:val="nil"/>
          <w:between w:val="nil"/>
          <w:bar w:val="nil"/>
        </w:pBdr>
        <w:spacing w:before="0" w:after="240"/>
        <w:rPr>
          <w:bCs/>
          <w:noProof/>
          <w:szCs w:val="24"/>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ledit accord. </w:t>
      </w:r>
    </w:p>
    <w:p>
      <w:pPr>
        <w:pStyle w:val="ManualHeading1"/>
        <w:rPr>
          <w:noProof/>
        </w:rPr>
      </w:pPr>
      <w:r>
        <w:rPr>
          <w:noProof/>
        </w:rPr>
        <w:t>3.</w:t>
      </w:r>
      <w:r>
        <w:rPr>
          <w:noProof/>
        </w:rPr>
        <w:tab/>
        <w:t>RÉSULTATS DES ÉVALUATIONS EX POST, DES CONSULTATIONS DES PARTIES INTÉRESSÉES ET DES ANALYSES D'IMPACT</w:t>
      </w:r>
    </w:p>
    <w:p>
      <w:pPr>
        <w:pStyle w:val="Text1"/>
        <w:ind w:left="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États de l’AELE membres de l’EEE contribuent financièrement à la ligne budgétaire 02 03 01 «Marché intérieur» et à la ligne budgétaire 02 03 04 «Outils de gouvernance du marché intérieur». Le montant exact sera déterminé en conformité avec les dispositions de l’accord EEE, dès que la présente proposition de décision du Conseil aura été adoptée.</w:t>
      </w:r>
    </w:p>
    <w:p>
      <w:pPr>
        <w:pStyle w:val="ManualHeading1"/>
        <w:rPr>
          <w:noProof/>
        </w:rPr>
      </w:pPr>
      <w:r>
        <w:rPr>
          <w:noProof/>
        </w:rPr>
        <w:t>5.</w:t>
      </w:r>
      <w:r>
        <w:rPr>
          <w:noProof/>
        </w:rPr>
        <w:tab/>
        <w:t>AUTRES ÉLÉMENTS</w:t>
      </w:r>
    </w:p>
    <w:p>
      <w:pPr>
        <w:spacing w:before="0" w:after="240"/>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spacing w:before="0" w:after="240"/>
        <w:rPr>
          <w:noProof/>
        </w:rPr>
      </w:pPr>
      <w:r>
        <w:rPr>
          <w:noProof/>
        </w:rPr>
        <w:t>Par conséquent, afin de couvrir la période comprise entre janvier et août, le projet de décision du Comité mixte devra être applicable rétroactivement à partir du mois de janvier. De cette manière, la continuité de la coopération, telle que prévue par l’accord EEE, est assurée pendant toute l’année civile.</w:t>
      </w:r>
    </w:p>
    <w:p>
      <w:pPr>
        <w:pBdr>
          <w:top w:val="nil"/>
          <w:left w:val="nil"/>
          <w:bottom w:val="nil"/>
          <w:right w:val="nil"/>
          <w:between w:val="nil"/>
          <w:bar w:val="nil"/>
        </w:pBdr>
        <w:spacing w:before="0" w:after="240"/>
      </w:pPr>
      <w:r>
        <w:rPr>
          <w:noProof/>
        </w:rPr>
        <w:t>Le caractère rétroactif ne porte pas atteinte aux droits et obligations des personnes concernées et respecte le principe de la confiance légitime.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2019/0114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au sein du Comité mixte de l’EEE en ce qui concerne une modification du protocole 31 de l’accord EEE concernant la coopération dans des secteurs particuliers en dehors des quatre libertés</w:t>
      </w:r>
      <w:r>
        <w:rPr>
          <w:noProof/>
        </w:rPr>
        <w:br/>
      </w:r>
      <w:r>
        <w:rPr>
          <w:noProof/>
        </w:rPr>
        <w:br/>
        <w:t>(lignes budgétaires 02 03 01 «Marché intérieur» et 02 03 04 «Outils de gouvernance du marché intérieur»)</w:t>
      </w:r>
      <w:r>
        <w:rPr>
          <w:noProof/>
        </w:rPr>
        <w:br/>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 (ci-après le «protocole 31»).</w:t>
      </w:r>
    </w:p>
    <w:p>
      <w:pPr>
        <w:pStyle w:val="ManualConsidrant"/>
        <w:rPr>
          <w:noProof/>
        </w:rPr>
      </w:pPr>
      <w:r>
        <w:t>(3)</w:t>
      </w:r>
      <w:r>
        <w:tab/>
      </w:r>
      <w:r>
        <w:rPr>
          <w:noProof/>
        </w:rPr>
        <w:t>Le protocole 31 de l'accord EEE comprend des dispositions concernant la coopération dans des secteurs particuliers en dehors des quatre libertés.</w:t>
      </w:r>
    </w:p>
    <w:p>
      <w:pPr>
        <w:pStyle w:val="ManualConsidrant"/>
        <w:rPr>
          <w:noProof/>
        </w:rPr>
      </w:pPr>
      <w:r>
        <w:t>(4)</w:t>
      </w:r>
      <w:r>
        <w:tab/>
      </w:r>
      <w:r>
        <w:rPr>
          <w:noProof/>
        </w:rPr>
        <w:t>Il y a lieu d’étendre la coopération entre les parties contractantes à l’accord EEE en ce qui concerne les actions de l’Union, financées par le budget général de l’Union européenne, relatives au fonctionnement et au développement du marché intérieur des biens et des services.</w:t>
      </w:r>
    </w:p>
    <w:p>
      <w:pPr>
        <w:pStyle w:val="ManualConsidrant"/>
        <w:rPr>
          <w:noProof/>
        </w:rPr>
      </w:pPr>
      <w:r>
        <w:t>(5)</w:t>
      </w:r>
      <w:r>
        <w:tab/>
      </w:r>
      <w:r>
        <w:rPr>
          <w:noProof/>
        </w:rPr>
        <w:t>Il convient dès lors de modifier le protocole 31 de l'accord EEE afin que cette coopération étendue puisse commencer à partir du 1</w:t>
      </w:r>
      <w:r>
        <w:rPr>
          <w:noProof/>
          <w:vertAlign w:val="superscript"/>
        </w:rPr>
        <w:t>er</w:t>
      </w:r>
      <w:r>
        <w:rPr>
          <w:noProof/>
        </w:rPr>
        <w:t> janvier 2019.</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relative à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305 du 30.11.1994, p. 6.</w:t>
      </w:r>
    </w:p>
  </w:footnote>
  <w:footnote w:id="2">
    <w:p>
      <w:pPr>
        <w:pStyle w:val="FootnoteText"/>
        <w:rPr>
          <w:lang w:val="pl-PL"/>
        </w:rPr>
      </w:pPr>
      <w:r>
        <w:rPr>
          <w:rStyle w:val="FootnoteReference"/>
        </w:rPr>
        <w:footnoteRef/>
      </w:r>
      <w:r>
        <w:tab/>
        <w:t>JO L 305 du 30.11.1994, p. 6.</w:t>
      </w:r>
    </w:p>
  </w:footnote>
  <w:footnote w:id="3">
    <w:p>
      <w:pPr>
        <w:pStyle w:val="FootnoteText"/>
        <w:rPr>
          <w:lang w:val="pl-PL"/>
        </w:rPr>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72F7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5E2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2E4C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8CB9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6A05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08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965A90"/>
    <w:lvl w:ilvl="0">
      <w:start w:val="1"/>
      <w:numFmt w:val="decimal"/>
      <w:pStyle w:val="ListNumber"/>
      <w:lvlText w:val="%1."/>
      <w:lvlJc w:val="left"/>
      <w:pPr>
        <w:tabs>
          <w:tab w:val="num" w:pos="360"/>
        </w:tabs>
        <w:ind w:left="360" w:hanging="360"/>
      </w:pPr>
    </w:lvl>
  </w:abstractNum>
  <w:abstractNum w:abstractNumId="7">
    <w:nsid w:val="FFFFFF89"/>
    <w:multiLevelType w:val="singleLevel"/>
    <w:tmpl w:val="BC488C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42: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7BBD3F-D2F7-4C44-BF12-AE8791708605"/>
    <w:docVar w:name="LW_COVERPAGE_TYPE" w:val="1"/>
    <w:docVar w:name="LW_CROSSREFERENCE" w:val="&lt;UNUSED&gt;"/>
    <w:docVar w:name="LW_DocType" w:val="COM"/>
    <w:docVar w:name="LW_EMISSION" w:val="27.5.2019"/>
    <w:docVar w:name="LW_EMISSION_ISODATE" w:val="2019-05-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4"/>
    <w:docVar w:name="LW_REF.II.NEW.CP_YEAR" w:val="2019"/>
    <w:docVar w:name="LW_REF.INST.NEW" w:val="COM"/>
    <w:docVar w:name="LW_REF.INST.NEW_ADOPTED" w:val="final"/>
    <w:docVar w:name="LW_REF.INST.NEW_TEXT" w:val="(2019)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_x000b_au sein du Comité mixte de l\u8217?EEE en ce qui concerne une modification du protocole 31 de l\u8217?accord EEE concernant la coopération dans des secteurs particuliers en dehors des quatre libertés_x000b__x000b_(lignes budgétaires 02 03 01 «Marché intérieur» et 02 03 04 «Outils de gouvernance du marché intérieur»)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1123</Words>
  <Characters>5968</Characters>
  <Application>Microsoft Office Word</Application>
  <DocSecurity>0</DocSecurity>
  <Lines>114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2019-05-06T13:15:00Z</dcterms:created>
  <dcterms:modified xsi:type="dcterms:W3CDTF">2019-05-22T14:42:00Z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