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625F7B6-E821-4374-9A44-B65F32514E4F" style="width:450.8pt;height:451.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spacing w:after="0"/>
        <w:jc w:val="center"/>
        <w:rPr>
          <w:b/>
          <w:noProof/>
          <w:szCs w:val="24"/>
        </w:rPr>
      </w:pPr>
    </w:p>
    <w:p>
      <w:pPr>
        <w:spacing w:after="0"/>
        <w:jc w:val="center"/>
        <w:rPr>
          <w:b/>
          <w:noProof/>
          <w:szCs w:val="24"/>
        </w:rPr>
      </w:pPr>
      <w:r>
        <w:rPr>
          <w:b/>
          <w:noProof/>
          <w:szCs w:val="24"/>
        </w:rPr>
        <w:t>DECISION OF THE EEA JOINT COMMITTEE</w:t>
      </w:r>
    </w:p>
    <w:p>
      <w:pPr>
        <w:spacing w:after="0"/>
        <w:jc w:val="center"/>
        <w:rPr>
          <w:b/>
          <w:noProof/>
          <w:szCs w:val="24"/>
        </w:rPr>
      </w:pPr>
      <w:r>
        <w:rPr>
          <w:b/>
          <w:noProof/>
          <w:szCs w:val="24"/>
        </w:rPr>
        <w:t>No […]</w:t>
      </w:r>
    </w:p>
    <w:p>
      <w:pPr>
        <w:spacing w:after="0"/>
        <w:jc w:val="center"/>
        <w:rPr>
          <w:b/>
          <w:noProof/>
          <w:szCs w:val="24"/>
        </w:rPr>
      </w:pPr>
      <w:r>
        <w:rPr>
          <w:b/>
          <w:noProof/>
          <w:szCs w:val="24"/>
        </w:rPr>
        <w:t>of […]</w:t>
      </w:r>
    </w:p>
    <w:p>
      <w:pPr>
        <w:spacing w:after="0"/>
        <w:jc w:val="center"/>
        <w:rPr>
          <w:b/>
          <w:noProof/>
        </w:rPr>
      </w:pPr>
      <w:r>
        <w:rPr>
          <w:b/>
          <w:noProof/>
        </w:rPr>
        <w:t>amending Protocol 31 to the EEA Agreement,</w:t>
      </w:r>
      <w:r>
        <w:rPr>
          <w:rFonts w:eastAsia="Times New Roman"/>
          <w:b/>
          <w:noProof/>
          <w:szCs w:val="24"/>
          <w:lang w:eastAsia="de-DE"/>
        </w:rPr>
        <w:br/>
      </w:r>
      <w:r>
        <w:rPr>
          <w:b/>
          <w:noProof/>
        </w:rPr>
        <w:t>on cooperation in specific fields outside</w:t>
      </w:r>
      <w:r>
        <w:rPr>
          <w:rFonts w:eastAsia="Times New Roman"/>
          <w:b/>
          <w:noProof/>
          <w:szCs w:val="24"/>
          <w:lang w:eastAsia="de-DE"/>
        </w:rPr>
        <w:t xml:space="preserve"> </w:t>
      </w:r>
      <w:r>
        <w:rPr>
          <w:b/>
          <w:noProof/>
        </w:rPr>
        <w:t>the four freedoms</w:t>
      </w:r>
    </w:p>
    <w:p>
      <w:pPr>
        <w:keepNext/>
        <w:spacing w:before="360" w:after="0"/>
        <w:rPr>
          <w:noProof/>
        </w:rPr>
      </w:pPr>
      <w:r>
        <w:rPr>
          <w:noProof/>
        </w:rPr>
        <w:t>THE EEA JOINT COMMITTEE,</w:t>
      </w:r>
    </w:p>
    <w:p>
      <w:pPr>
        <w:spacing w:after="0"/>
        <w:rPr>
          <w:noProof/>
        </w:rPr>
      </w:pPr>
      <w:r>
        <w:rPr>
          <w:noProof/>
        </w:rPr>
        <w:t>Having regard to the Agreement on the European Economic Area (“the EEA Agreement”), and in particular Articles 86 and 98 thereof,</w:t>
      </w:r>
    </w:p>
    <w:p>
      <w:pPr>
        <w:spacing w:after="0"/>
        <w:rPr>
          <w:noProof/>
        </w:rPr>
      </w:pPr>
      <w:r>
        <w:rPr>
          <w:noProof/>
        </w:rPr>
        <w:t>Whereas:</w:t>
      </w:r>
    </w:p>
    <w:p>
      <w:pPr>
        <w:spacing w:after="0"/>
        <w:rPr>
          <w:noProof/>
        </w:rPr>
      </w:pPr>
      <w:r>
        <w:rPr>
          <w:noProof/>
        </w:rPr>
        <w:t>It is appropriate to continue the cooperation of the Contracting Parties to the EEA Agreement in Union actions funded from the general budget of the Union regarding the operation and development of the internal market of goods and services and regarding internal market governance tools.</w:t>
      </w:r>
    </w:p>
    <w:p>
      <w:pPr>
        <w:spacing w:after="0"/>
        <w:rPr>
          <w:noProof/>
        </w:rPr>
      </w:pPr>
      <w:r>
        <w:rPr>
          <w:noProof/>
        </w:rPr>
        <w:t>Protocol 31 to the EEA Agreement should therefore be amended in order to allow for this extended cooperation to take place from 1 January 2019,</w:t>
      </w:r>
    </w:p>
    <w:p>
      <w:pPr>
        <w:keepNext/>
        <w:spacing w:after="0"/>
        <w:rPr>
          <w:noProof/>
        </w:rPr>
      </w:pPr>
      <w:r>
        <w:rPr>
          <w:noProof/>
        </w:rPr>
        <w:t>HAS ADOPTED THIS DECISION:</w:t>
      </w:r>
    </w:p>
    <w:p>
      <w:pPr>
        <w:keepNext/>
        <w:spacing w:before="240" w:after="0"/>
        <w:jc w:val="center"/>
        <w:rPr>
          <w:i/>
          <w:noProof/>
        </w:rPr>
      </w:pPr>
      <w:r>
        <w:rPr>
          <w:i/>
          <w:noProof/>
        </w:rPr>
        <w:t>Article 1</w:t>
      </w:r>
    </w:p>
    <w:p>
      <w:pPr>
        <w:spacing w:after="0"/>
        <w:rPr>
          <w:noProof/>
          <w:szCs w:val="24"/>
        </w:rPr>
      </w:pPr>
      <w:r>
        <w:rPr>
          <w:noProof/>
          <w:szCs w:val="24"/>
        </w:rPr>
        <w:t>In paragraphs 12 and 14 of Article 7 of Protocol 31 to the EEA Agreement, the words “and 2018” are replaced by the words “, 2018 and 2019”.</w:t>
      </w:r>
    </w:p>
    <w:p>
      <w:pPr>
        <w:keepNext/>
        <w:tabs>
          <w:tab w:val="left" w:pos="709"/>
        </w:tabs>
        <w:spacing w:before="240" w:after="0"/>
        <w:jc w:val="center"/>
        <w:rPr>
          <w:i/>
          <w:noProof/>
          <w:szCs w:val="24"/>
          <w:lang w:val="en-US"/>
        </w:rPr>
      </w:pPr>
      <w:r>
        <w:rPr>
          <w:i/>
          <w:noProof/>
          <w:szCs w:val="24"/>
          <w:lang w:val="en-US"/>
        </w:rPr>
        <w:t>Article 2</w:t>
      </w:r>
    </w:p>
    <w:p>
      <w:pPr>
        <w:tabs>
          <w:tab w:val="left" w:pos="709"/>
        </w:tabs>
        <w:spacing w:after="0"/>
        <w:rPr>
          <w:noProof/>
          <w:szCs w:val="24"/>
          <w:lang w:val="en-US"/>
        </w:rPr>
      </w:pPr>
      <w:r>
        <w:rPr>
          <w:noProof/>
          <w:szCs w:val="24"/>
        </w:rPr>
        <w:t>This Decision shall enter into force on the day following the last notification under Article 103(1) of the EEA Agreement</w:t>
      </w:r>
      <w:r>
        <w:rPr>
          <w:b/>
          <w:noProof/>
          <w:szCs w:val="24"/>
          <w:vertAlign w:val="superscript"/>
          <w:lang w:val="en-US"/>
        </w:rPr>
        <w:t xml:space="preserve"> </w:t>
      </w:r>
      <w:r>
        <w:rPr>
          <w:b/>
          <w:noProof/>
          <w:szCs w:val="24"/>
          <w:vertAlign w:val="superscript"/>
          <w:lang w:val="en-US"/>
        </w:rPr>
        <w:footnoteReference w:customMarkFollows="1" w:id="1"/>
        <w:sym w:font="Symbol" w:char="F02A"/>
      </w:r>
      <w:r>
        <w:rPr>
          <w:noProof/>
          <w:szCs w:val="24"/>
          <w:lang w:val="en-US"/>
        </w:rPr>
        <w:t>.</w:t>
      </w:r>
    </w:p>
    <w:p>
      <w:pPr>
        <w:tabs>
          <w:tab w:val="left" w:pos="709"/>
        </w:tabs>
        <w:spacing w:after="0"/>
        <w:rPr>
          <w:noProof/>
          <w:szCs w:val="24"/>
          <w:lang w:val="en-US"/>
        </w:rPr>
      </w:pPr>
      <w:r>
        <w:rPr>
          <w:noProof/>
          <w:szCs w:val="24"/>
          <w:lang w:val="en-US"/>
        </w:rPr>
        <w:t>It shall apply from 1 January 2019.</w:t>
      </w:r>
    </w:p>
    <w:p>
      <w:pPr>
        <w:keepNext/>
        <w:tabs>
          <w:tab w:val="left" w:pos="709"/>
        </w:tabs>
        <w:spacing w:before="240" w:after="0"/>
        <w:jc w:val="center"/>
        <w:rPr>
          <w:i/>
          <w:noProof/>
          <w:szCs w:val="24"/>
          <w:lang w:val="en-US"/>
        </w:rPr>
      </w:pPr>
      <w:r>
        <w:rPr>
          <w:i/>
          <w:noProof/>
          <w:szCs w:val="24"/>
          <w:lang w:val="en-US"/>
        </w:rPr>
        <w:t>Article 3</w:t>
      </w:r>
    </w:p>
    <w:p>
      <w:pPr>
        <w:tabs>
          <w:tab w:val="left" w:pos="709"/>
        </w:tabs>
        <w:spacing w:after="0"/>
        <w:rPr>
          <w:noProof/>
          <w:szCs w:val="24"/>
          <w:lang w:val="en-US"/>
        </w:rPr>
      </w:pPr>
      <w:r>
        <w:rPr>
          <w:noProof/>
          <w:szCs w:val="24"/>
          <w:lang w:val="en-US"/>
        </w:rPr>
        <w:t xml:space="preserve">This Decision shall be published in the EEA Section of, and in the EEA Supplement to, the </w:t>
      </w:r>
      <w:r>
        <w:rPr>
          <w:i/>
          <w:noProof/>
          <w:szCs w:val="24"/>
          <w:lang w:val="en-US"/>
        </w:rPr>
        <w:t>Official Journal of the European Union</w:t>
      </w:r>
      <w:r>
        <w:rPr>
          <w:noProof/>
          <w:szCs w:val="24"/>
          <w:lang w:val="en-US"/>
        </w:rPr>
        <w:t>.</w:t>
      </w:r>
    </w:p>
    <w:p>
      <w:pPr>
        <w:spacing w:after="0"/>
        <w:rPr>
          <w:noProof/>
          <w:szCs w:val="24"/>
        </w:rPr>
      </w:pPr>
      <w:r>
        <w:rPr>
          <w:noProof/>
          <w:szCs w:val="24"/>
        </w:rPr>
        <w:t>Done at Brussels, […].</w:t>
      </w:r>
    </w:p>
    <w:p>
      <w:pPr>
        <w:spacing w:after="0"/>
        <w:rPr>
          <w:noProof/>
          <w:szCs w:val="24"/>
        </w:rPr>
      </w:pPr>
    </w:p>
    <w:p>
      <w:pPr>
        <w:tabs>
          <w:tab w:val="left" w:pos="4253"/>
        </w:tabs>
        <w:spacing w:before="0" w:after="0"/>
        <w:rPr>
          <w:i/>
          <w:noProof/>
          <w:szCs w:val="24"/>
        </w:rPr>
      </w:pPr>
      <w:r>
        <w:rPr>
          <w:i/>
          <w:noProof/>
          <w:szCs w:val="24"/>
        </w:rPr>
        <w:tab/>
        <w:t>For the EEA Joint Committee</w:t>
      </w:r>
    </w:p>
    <w:p>
      <w:pPr>
        <w:tabs>
          <w:tab w:val="left" w:pos="4253"/>
        </w:tabs>
        <w:spacing w:before="0" w:after="0"/>
        <w:rPr>
          <w:i/>
          <w:noProof/>
          <w:szCs w:val="24"/>
        </w:rPr>
      </w:pPr>
      <w:r>
        <w:rPr>
          <w:i/>
          <w:noProof/>
          <w:szCs w:val="24"/>
        </w:rPr>
        <w:tab/>
        <w:t>The President</w:t>
      </w:r>
    </w:p>
    <w:p>
      <w:pPr>
        <w:tabs>
          <w:tab w:val="left" w:pos="4253"/>
        </w:tabs>
        <w:spacing w:before="0" w:after="0"/>
        <w:rPr>
          <w:i/>
          <w:noProof/>
          <w:szCs w:val="24"/>
        </w:rPr>
      </w:pPr>
      <w:r>
        <w:rPr>
          <w:i/>
          <w:noProof/>
          <w:szCs w:val="24"/>
        </w:rPr>
        <w:tab/>
        <w:t>[…]</w:t>
      </w:r>
    </w:p>
    <w:p>
      <w:pPr>
        <w:spacing w:before="0" w:after="0"/>
        <w:jc w:val="left"/>
        <w:rPr>
          <w:rFonts w:cstheme="minorBidi"/>
          <w:noProof/>
          <w:sz w:val="20"/>
          <w:szCs w:val="20"/>
          <w:lang w:val="en-US"/>
        </w:rPr>
      </w:pPr>
    </w:p>
    <w:p>
      <w:pPr>
        <w:spacing w:before="0" w:after="0"/>
        <w:jc w:val="left"/>
        <w:rPr>
          <w:rFonts w:cstheme="minorBidi"/>
          <w:noProof/>
          <w:sz w:val="20"/>
          <w:szCs w:val="20"/>
          <w:lang w:val="en-US"/>
        </w:rPr>
      </w:pPr>
    </w:p>
    <w:p>
      <w:pPr>
        <w:tabs>
          <w:tab w:val="left" w:pos="4253"/>
        </w:tabs>
        <w:spacing w:before="0" w:after="0"/>
        <w:jc w:val="left"/>
        <w:rPr>
          <w:i/>
          <w:noProof/>
          <w:szCs w:val="24"/>
          <w:lang w:val="en-US"/>
        </w:rPr>
      </w:pPr>
      <w:r>
        <w:rPr>
          <w:i/>
          <w:noProof/>
          <w:szCs w:val="24"/>
          <w:lang w:val="en-US"/>
        </w:rPr>
        <w:tab/>
        <w:t>The Secretaries</w:t>
      </w:r>
    </w:p>
    <w:p>
      <w:pPr>
        <w:tabs>
          <w:tab w:val="left" w:pos="4253"/>
        </w:tabs>
        <w:spacing w:before="0" w:after="0"/>
        <w:jc w:val="left"/>
        <w:rPr>
          <w:i/>
          <w:noProof/>
          <w:szCs w:val="24"/>
          <w:lang w:val="en-US"/>
        </w:rPr>
      </w:pPr>
      <w:r>
        <w:rPr>
          <w:i/>
          <w:noProof/>
          <w:szCs w:val="24"/>
          <w:lang w:val="en-US"/>
        </w:rPr>
        <w:tab/>
        <w:t>To the EEA Joint Committee</w:t>
      </w:r>
    </w:p>
    <w:p>
      <w:pPr>
        <w:tabs>
          <w:tab w:val="left" w:pos="4253"/>
        </w:tabs>
        <w:spacing w:after="0"/>
        <w:jc w:val="left"/>
        <w:rPr>
          <w:noProof/>
        </w:rPr>
      </w:pPr>
      <w:r>
        <w:rPr>
          <w:i/>
          <w:noProof/>
          <w:szCs w:val="24"/>
          <w:lang w:val="en-US"/>
        </w:rPr>
        <w:tab/>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[No constitutional requirements indicated.] [Constitutional requirements indicated.]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1843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3E48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A071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46D8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AADA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FEA2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F0CA4E"/>
    <w:lvl w:ilvl="0">
      <w:start w:val="1"/>
      <w:numFmt w:val="decimal"/>
      <w:pStyle w:val="ListNumber"/>
      <w:lvlText w:val="%1."/>
      <w:lvlJc w:val="left"/>
      <w:pPr>
        <w:tabs>
          <w:tab w:val="num" w:pos="360"/>
        </w:tabs>
        <w:ind w:left="360" w:hanging="360"/>
      </w:pPr>
    </w:lvl>
  </w:abstractNum>
  <w:abstractNum w:abstractNumId="7">
    <w:nsid w:val="FFFFFF89"/>
    <w:multiLevelType w:val="singleLevel"/>
    <w:tmpl w:val="6EB8FE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47:46"/>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ANNEX_UNIQUE" w:val="1"/>
    <w:docVar w:name="LW_CORRIGENDUM" w:val="&lt;UNUSED&gt;"/>
    <w:docVar w:name="LW_COVERPAGE_EXISTS" w:val="True"/>
    <w:docVar w:name="LW_COVERPAGE_GUID" w:val="8625F7B6-E821-4374-9A44-B65F32514E4F"/>
    <w:docVar w:name="LW_COVERPAGE_TYPE" w:val="1"/>
    <w:docVar w:name="LW_CROSSREFERENCE" w:val="&lt;UNUSED&gt;"/>
    <w:docVar w:name="LW_DocType" w:val="ANNEX"/>
    <w:docVar w:name="LW_EMISSION" w:val="27.5.2019"/>
    <w:docVar w:name="LW_EMISSION_ISODATE" w:val="2019-05-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_x000b_within the EEA Joint Committee concerning an amendment to Protocol 31 to the EEA Agreement, on_x000b_cooperation in specific fields outside the four freedoms_x000b__x000b_(Budget Line 02.03.01 Internal Market and Budget line 02.03.04 Internal Market Governance Tools)"/>
    <w:docVar w:name="LW_PART_NBR" w:val="&lt;UNUSED&gt;"/>
    <w:docVar w:name="LW_PART_NBR_TOTAL" w:val="&lt;UNUSED&gt;"/>
    <w:docVar w:name="LW_REF.INST.NEW" w:val="COM"/>
    <w:docVar w:name="LW_REF.INST.NEW_ADOPTED" w:val="final"/>
    <w:docVar w:name="LW_REF.INST.NEW_TEXT" w:val="(2019)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2</Pages>
  <Words>234</Words>
  <Characters>1139</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VANHAL Sylviane (EEAS)</dc:creator>
  <cp:lastModifiedBy>WES PDFC Administrator</cp:lastModifiedBy>
  <cp:revision>8</cp:revision>
  <dcterms:created xsi:type="dcterms:W3CDTF">2019-04-16T16:41:00Z</dcterms:created>
  <dcterms:modified xsi:type="dcterms:W3CDTF">2019-05-22T14:47:00Z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