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5B1AC250-E448-4BB7-B945-D4EB66EB9C9D" style="width:450.8pt;height:320.5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pPr>
        <w:rPr>
          <w:noProof/>
        </w:rPr>
      </w:pPr>
      <w:bookmarkStart w:id="1" w:name="_GoBack"/>
      <w:bookmarkEnd w:id="1"/>
      <w:r>
        <w:rPr>
          <w:noProof/>
        </w:rPr>
        <w:lastRenderedPageBreak/>
        <w:t>Като взе предвид:</w:t>
      </w:r>
    </w:p>
    <w:p>
      <w:pPr>
        <w:pStyle w:val="Tiret0"/>
        <w:rPr>
          <w:noProof/>
        </w:rPr>
      </w:pPr>
      <w:r>
        <w:rPr>
          <w:noProof/>
        </w:rPr>
        <w:t>Договора за функционирането на Европейския съюз, и по-специално член 314 от него, във връзка с Договора за създаване на Европейската общност за атомна енергия, и по-специално член 106а от него,</w:t>
      </w:r>
    </w:p>
    <w:p>
      <w:pPr>
        <w:pStyle w:val="Tiret0"/>
        <w:tabs>
          <w:tab w:val="clear" w:pos="850"/>
          <w:tab w:val="num" w:pos="927"/>
        </w:tabs>
        <w:rPr>
          <w:rFonts w:cs="Arial"/>
          <w:noProof/>
          <w:szCs w:val="18"/>
        </w:rPr>
      </w:pPr>
      <w:r>
        <w:rPr>
          <w:noProof/>
        </w:rPr>
        <w:t>Регламент (ЕС, Евратом) 2018/1046 на Европейския парламент и на Съвета от 18 юли 2018 г. за финансовите правила, приложими за общия бюджет на Съюза (…)</w:t>
      </w:r>
      <w:r>
        <w:rPr>
          <w:rStyle w:val="FootnoteReference"/>
          <w:noProof/>
        </w:rPr>
        <w:footnoteReference w:id="2"/>
      </w:r>
      <w:r>
        <w:rPr>
          <w:noProof/>
        </w:rPr>
        <w:t>, и по-специално член 44 от него,</w:t>
      </w:r>
    </w:p>
    <w:p>
      <w:pPr>
        <w:pStyle w:val="Tiret0"/>
        <w:tabs>
          <w:tab w:val="clear" w:pos="850"/>
          <w:tab w:val="num" w:pos="927"/>
        </w:tabs>
        <w:rPr>
          <w:noProof/>
        </w:rPr>
      </w:pPr>
      <w:r>
        <w:rPr>
          <w:noProof/>
        </w:rPr>
        <w:t>общия бюджет на Европейския съюз за 2019 финансова година, приет на 12 декември 2018 г.</w:t>
      </w:r>
      <w:r>
        <w:rPr>
          <w:rStyle w:val="FootnoteReference"/>
          <w:noProof/>
        </w:rPr>
        <w:footnoteReference w:id="3"/>
      </w:r>
      <w:r>
        <w:rPr>
          <w:noProof/>
        </w:rPr>
        <w:t>,</w:t>
      </w:r>
    </w:p>
    <w:p>
      <w:pPr>
        <w:pStyle w:val="Tiret0"/>
        <w:tabs>
          <w:tab w:val="clear" w:pos="850"/>
          <w:tab w:val="num" w:pos="927"/>
        </w:tabs>
        <w:rPr>
          <w:noProof/>
        </w:rPr>
      </w:pPr>
      <w:r>
        <w:rPr>
          <w:noProof/>
        </w:rPr>
        <w:t>проект на коригиращ бюджет № 1/2019</w:t>
      </w:r>
      <w:r>
        <w:rPr>
          <w:rStyle w:val="FootnoteReference"/>
          <w:noProof/>
        </w:rPr>
        <w:footnoteReference w:id="4"/>
      </w:r>
      <w:r>
        <w:rPr>
          <w:noProof/>
        </w:rPr>
        <w:t>, приет на 15 април 2019 г.,</w:t>
      </w:r>
    </w:p>
    <w:p>
      <w:pPr>
        <w:jc w:val="both"/>
        <w:rPr>
          <w:noProof/>
        </w:rPr>
      </w:pPr>
      <w:r>
        <w:rPr>
          <w:noProof/>
        </w:rPr>
        <w:t>с настоящото Европейската комисия представя на Европейския парламент и на Съвета проект на коригиращ бюджет № 2 към бюджета за 2019 г.</w:t>
      </w:r>
    </w:p>
    <w:p>
      <w:pPr>
        <w:rPr>
          <w:b/>
          <w:noProof/>
          <w:u w:val="single"/>
        </w:rPr>
      </w:pPr>
    </w:p>
    <w:p>
      <w:pPr>
        <w:jc w:val="both"/>
        <w:rPr>
          <w:b/>
          <w:noProof/>
          <w:u w:val="single"/>
        </w:rPr>
      </w:pPr>
      <w:r>
        <w:rPr>
          <w:b/>
          <w:noProof/>
          <w:u w:val="single"/>
        </w:rPr>
        <w:t>ПРОМЕНИ В ПРИХОДНАТА И РАЗХОДНАТА ЧАСТ НА БЮДЖЕТА ПО РАЗДЕЛИ</w:t>
      </w:r>
    </w:p>
    <w:p>
      <w:pPr>
        <w:rPr>
          <w:b/>
          <w:noProof/>
          <w:u w:val="single"/>
          <w:lang w:eastAsia="ko-KR"/>
        </w:rPr>
      </w:pPr>
    </w:p>
    <w:p>
      <w:pPr>
        <w:jc w:val="both"/>
        <w:rPr>
          <w:noProof/>
        </w:rPr>
      </w:pPr>
      <w:r>
        <w:rPr>
          <w:noProof/>
        </w:rPr>
        <w:t>Промените в приходната и разходната част на раздел III са достъпни в EUR-Lex (</w:t>
      </w:r>
      <w:hyperlink r:id="rId19" w:history="1">
        <w:r>
          <w:rPr>
            <w:rStyle w:val="Hyperlink"/>
            <w:noProof/>
            <w:color w:val="auto"/>
          </w:rPr>
          <w:t>https://eur-lex.europa.eu/budget/www/index-bg.htm</w:t>
        </w:r>
      </w:hyperlink>
      <w:r>
        <w:rPr>
          <w:noProof/>
        </w:rPr>
        <w:t>). За информация като бюджетно приложение се прилага версия на английски език на промените в тези части.</w:t>
      </w:r>
    </w:p>
    <w:p>
      <w:pPr>
        <w:rPr>
          <w:noProof/>
        </w:rPr>
        <w:sectPr>
          <w:headerReference w:type="even" r:id="rId20"/>
          <w:headerReference w:type="default" r:id="rId21"/>
          <w:footerReference w:type="even" r:id="rId22"/>
          <w:footerReference w:type="default" r:id="rId23"/>
          <w:headerReference w:type="first" r:id="rId24"/>
          <w:footerReference w:type="first" r:id="rId25"/>
          <w:pgSz w:w="11907" w:h="16839"/>
          <w:pgMar w:top="1134" w:right="1417" w:bottom="1134" w:left="1417" w:header="709" w:footer="709" w:gutter="0"/>
          <w:cols w:space="708"/>
          <w:docGrid w:linePitch="360"/>
        </w:sectPr>
      </w:pPr>
    </w:p>
    <w:p>
      <w:pPr>
        <w:pStyle w:val="TOCHeading"/>
        <w:rPr>
          <w:noProof/>
        </w:rPr>
      </w:pPr>
      <w:bookmarkStart w:id="2" w:name="_Toc194220890"/>
      <w:bookmarkStart w:id="3" w:name="_Toc294675429"/>
      <w:bookmarkStart w:id="4" w:name="_Toc378575883"/>
      <w:r>
        <w:rPr>
          <w:noProof/>
        </w:rPr>
        <w:t>СЪДЪРЖАНИЕ</w:t>
      </w:r>
    </w:p>
    <w:sdt>
      <w:sdtPr>
        <w:rPr>
          <w:b w:val="0"/>
          <w:bCs w:val="0"/>
          <w:caps w:val="0"/>
          <w:smallCaps/>
          <w:noProof/>
          <w:sz w:val="24"/>
          <w:szCs w:val="24"/>
          <w:lang w:eastAsia="de-DE"/>
        </w:rPr>
        <w:id w:val="2029912794"/>
        <w:docPartObj>
          <w:docPartGallery w:val="Table of Contents"/>
          <w:docPartUnique/>
        </w:docPartObj>
      </w:sdtPr>
      <w:sdtEndPr>
        <w:rPr>
          <w:b/>
        </w:rPr>
      </w:sdtEndPr>
      <w:sdtContent>
        <w:p>
          <w:pPr>
            <w:pStyle w:val="TOC1"/>
            <w:tabs>
              <w:tab w:val="left" w:pos="480"/>
              <w:tab w:val="right" w:leader="dot" w:pos="9855"/>
            </w:tabs>
            <w:rPr>
              <w:rFonts w:asciiTheme="minorHAnsi" w:eastAsiaTheme="minorEastAsia" w:hAnsiTheme="minorHAnsi" w:cstheme="minorBidi"/>
              <w:b w:val="0"/>
              <w:bCs w:val="0"/>
              <w:caps w:val="0"/>
              <w:noProof/>
              <w:sz w:val="22"/>
              <w:szCs w:val="22"/>
              <w:lang w:val="en-GB"/>
            </w:rPr>
          </w:pPr>
          <w:r>
            <w:rPr>
              <w:noProof/>
            </w:rPr>
            <w:fldChar w:fldCharType="begin"/>
          </w:r>
          <w:r>
            <w:rPr>
              <w:noProof/>
            </w:rPr>
            <w:instrText xml:space="preserve"> TOC \o "1-3" \h \z \u </w:instrText>
          </w:r>
          <w:r>
            <w:rPr>
              <w:noProof/>
            </w:rPr>
            <w:fldChar w:fldCharType="separate"/>
          </w:r>
          <w:hyperlink w:anchor="_Toc9339007" w:history="1">
            <w:r>
              <w:rPr>
                <w:rStyle w:val="Hyperlink"/>
                <w:noProof/>
              </w:rPr>
              <w:t>1.</w:t>
            </w:r>
            <w:r>
              <w:rPr>
                <w:rFonts w:asciiTheme="minorHAnsi" w:eastAsiaTheme="minorEastAsia" w:hAnsiTheme="minorHAnsi" w:cstheme="minorBidi"/>
                <w:b w:val="0"/>
                <w:bCs w:val="0"/>
                <w:caps w:val="0"/>
                <w:noProof/>
                <w:sz w:val="22"/>
                <w:szCs w:val="22"/>
                <w:lang w:val="en-GB"/>
              </w:rPr>
              <w:tab/>
            </w:r>
            <w:r>
              <w:rPr>
                <w:rStyle w:val="Hyperlink"/>
                <w:noProof/>
              </w:rPr>
              <w:t>Въведение</w:t>
            </w:r>
            <w:r>
              <w:rPr>
                <w:noProof/>
                <w:webHidden/>
              </w:rPr>
              <w:tab/>
            </w:r>
            <w:r>
              <w:rPr>
                <w:noProof/>
                <w:webHidden/>
              </w:rPr>
              <w:fldChar w:fldCharType="begin"/>
            </w:r>
            <w:r>
              <w:rPr>
                <w:noProof/>
                <w:webHidden/>
              </w:rPr>
              <w:instrText xml:space="preserve"> PAGEREF _Toc9339007 \h </w:instrText>
            </w:r>
            <w:r>
              <w:rPr>
                <w:noProof/>
                <w:webHidden/>
              </w:rPr>
            </w:r>
            <w:r>
              <w:rPr>
                <w:noProof/>
                <w:webHidden/>
              </w:rPr>
              <w:fldChar w:fldCharType="separate"/>
            </w:r>
            <w:r>
              <w:rPr>
                <w:noProof/>
                <w:webHidden/>
              </w:rPr>
              <w:t>4</w:t>
            </w:r>
            <w:r>
              <w:rPr>
                <w:noProof/>
                <w:webHidden/>
              </w:rPr>
              <w:fldChar w:fldCharType="end"/>
            </w:r>
          </w:hyperlink>
        </w:p>
        <w:p>
          <w:pPr>
            <w:pStyle w:val="TOC1"/>
            <w:tabs>
              <w:tab w:val="left" w:pos="480"/>
              <w:tab w:val="right" w:leader="dot" w:pos="9855"/>
            </w:tabs>
            <w:rPr>
              <w:rFonts w:asciiTheme="minorHAnsi" w:eastAsiaTheme="minorEastAsia" w:hAnsiTheme="minorHAnsi" w:cstheme="minorBidi"/>
              <w:b w:val="0"/>
              <w:bCs w:val="0"/>
              <w:caps w:val="0"/>
              <w:noProof/>
              <w:sz w:val="22"/>
              <w:szCs w:val="22"/>
              <w:lang w:val="en-GB"/>
            </w:rPr>
          </w:pPr>
          <w:hyperlink w:anchor="_Toc9339008" w:history="1">
            <w:r>
              <w:rPr>
                <w:rStyle w:val="Hyperlink"/>
                <w:noProof/>
              </w:rPr>
              <w:t>2.</w:t>
            </w:r>
            <w:r>
              <w:rPr>
                <w:rFonts w:asciiTheme="minorHAnsi" w:eastAsiaTheme="minorEastAsia" w:hAnsiTheme="minorHAnsi" w:cstheme="minorBidi"/>
                <w:b w:val="0"/>
                <w:bCs w:val="0"/>
                <w:caps w:val="0"/>
                <w:noProof/>
                <w:sz w:val="22"/>
                <w:szCs w:val="22"/>
                <w:lang w:val="en-GB"/>
              </w:rPr>
              <w:tab/>
            </w:r>
            <w:r>
              <w:rPr>
                <w:rStyle w:val="Hyperlink"/>
                <w:noProof/>
              </w:rPr>
              <w:t>Увеличение на средствата за „Хоризонт 2020“ и „Еразъм+“</w:t>
            </w:r>
            <w:r>
              <w:rPr>
                <w:noProof/>
                <w:webHidden/>
              </w:rPr>
              <w:tab/>
            </w:r>
            <w:r>
              <w:rPr>
                <w:noProof/>
                <w:webHidden/>
              </w:rPr>
              <w:fldChar w:fldCharType="begin"/>
            </w:r>
            <w:r>
              <w:rPr>
                <w:noProof/>
                <w:webHidden/>
              </w:rPr>
              <w:instrText xml:space="preserve"> PAGEREF _Toc9339008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960"/>
              <w:tab w:val="right" w:leader="dot" w:pos="9855"/>
            </w:tabs>
            <w:rPr>
              <w:rFonts w:asciiTheme="minorHAnsi" w:eastAsiaTheme="minorEastAsia" w:hAnsiTheme="minorHAnsi" w:cstheme="minorBidi"/>
              <w:smallCaps w:val="0"/>
              <w:noProof/>
              <w:sz w:val="22"/>
              <w:szCs w:val="22"/>
              <w:lang w:val="en-GB"/>
            </w:rPr>
          </w:pPr>
          <w:hyperlink w:anchor="_Toc9339009" w:history="1">
            <w:r>
              <w:rPr>
                <w:rStyle w:val="Hyperlink"/>
                <w:b/>
                <w:noProof/>
              </w:rPr>
              <w:t>2.1.</w:t>
            </w:r>
            <w:r>
              <w:rPr>
                <w:rFonts w:asciiTheme="minorHAnsi" w:eastAsiaTheme="minorEastAsia" w:hAnsiTheme="minorHAnsi" w:cstheme="minorBidi"/>
                <w:smallCaps w:val="0"/>
                <w:noProof/>
                <w:sz w:val="22"/>
                <w:szCs w:val="22"/>
                <w:lang w:val="en-GB"/>
              </w:rPr>
              <w:tab/>
            </w:r>
            <w:r>
              <w:rPr>
                <w:rStyle w:val="Hyperlink"/>
                <w:b/>
                <w:noProof/>
              </w:rPr>
              <w:t>Контекст</w:t>
            </w:r>
            <w:r>
              <w:rPr>
                <w:noProof/>
                <w:webHidden/>
              </w:rPr>
              <w:tab/>
            </w:r>
            <w:r>
              <w:rPr>
                <w:noProof/>
                <w:webHidden/>
              </w:rPr>
              <w:fldChar w:fldCharType="begin"/>
            </w:r>
            <w:r>
              <w:rPr>
                <w:noProof/>
                <w:webHidden/>
              </w:rPr>
              <w:instrText xml:space="preserve"> PAGEREF _Toc9339009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960"/>
              <w:tab w:val="right" w:leader="dot" w:pos="9855"/>
            </w:tabs>
            <w:rPr>
              <w:rFonts w:asciiTheme="minorHAnsi" w:eastAsiaTheme="minorEastAsia" w:hAnsiTheme="minorHAnsi" w:cstheme="minorBidi"/>
              <w:smallCaps w:val="0"/>
              <w:noProof/>
              <w:sz w:val="22"/>
              <w:szCs w:val="22"/>
              <w:lang w:val="en-GB"/>
            </w:rPr>
          </w:pPr>
          <w:hyperlink w:anchor="_Toc9339010" w:history="1">
            <w:r>
              <w:rPr>
                <w:rStyle w:val="Hyperlink"/>
                <w:b/>
                <w:noProof/>
              </w:rPr>
              <w:t>2.2.</w:t>
            </w:r>
            <w:r>
              <w:rPr>
                <w:rFonts w:asciiTheme="minorHAnsi" w:eastAsiaTheme="minorEastAsia" w:hAnsiTheme="minorHAnsi" w:cstheme="minorBidi"/>
                <w:smallCaps w:val="0"/>
                <w:noProof/>
                <w:sz w:val="22"/>
                <w:szCs w:val="22"/>
                <w:lang w:val="en-GB"/>
              </w:rPr>
              <w:tab/>
            </w:r>
            <w:r>
              <w:rPr>
                <w:rStyle w:val="Hyperlink"/>
                <w:b/>
                <w:noProof/>
              </w:rPr>
              <w:t>Увеличение на средствата за „Хоризонт 2020“</w:t>
            </w:r>
            <w:r>
              <w:rPr>
                <w:noProof/>
                <w:webHidden/>
              </w:rPr>
              <w:tab/>
            </w:r>
            <w:r>
              <w:rPr>
                <w:noProof/>
                <w:webHidden/>
              </w:rPr>
              <w:fldChar w:fldCharType="begin"/>
            </w:r>
            <w:r>
              <w:rPr>
                <w:noProof/>
                <w:webHidden/>
              </w:rPr>
              <w:instrText xml:space="preserve"> PAGEREF _Toc9339010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960"/>
              <w:tab w:val="right" w:leader="dot" w:pos="9855"/>
            </w:tabs>
            <w:rPr>
              <w:rFonts w:asciiTheme="minorHAnsi" w:eastAsiaTheme="minorEastAsia" w:hAnsiTheme="minorHAnsi" w:cstheme="minorBidi"/>
              <w:smallCaps w:val="0"/>
              <w:noProof/>
              <w:sz w:val="22"/>
              <w:szCs w:val="22"/>
              <w:lang w:val="en-GB"/>
            </w:rPr>
          </w:pPr>
          <w:hyperlink w:anchor="_Toc9339011" w:history="1">
            <w:r>
              <w:rPr>
                <w:rStyle w:val="Hyperlink"/>
                <w:b/>
                <w:noProof/>
              </w:rPr>
              <w:t>2.3.</w:t>
            </w:r>
            <w:r>
              <w:rPr>
                <w:rFonts w:asciiTheme="minorHAnsi" w:eastAsiaTheme="minorEastAsia" w:hAnsiTheme="minorHAnsi" w:cstheme="minorBidi"/>
                <w:smallCaps w:val="0"/>
                <w:noProof/>
                <w:sz w:val="22"/>
                <w:szCs w:val="22"/>
                <w:lang w:val="en-GB"/>
              </w:rPr>
              <w:tab/>
            </w:r>
            <w:r>
              <w:rPr>
                <w:rStyle w:val="Hyperlink"/>
                <w:b/>
                <w:noProof/>
              </w:rPr>
              <w:t>Увеличение на средствата за „Еразъм+“</w:t>
            </w:r>
            <w:r>
              <w:rPr>
                <w:noProof/>
                <w:webHidden/>
              </w:rPr>
              <w:tab/>
            </w:r>
            <w:r>
              <w:rPr>
                <w:noProof/>
                <w:webHidden/>
              </w:rPr>
              <w:fldChar w:fldCharType="begin"/>
            </w:r>
            <w:r>
              <w:rPr>
                <w:noProof/>
                <w:webHidden/>
              </w:rPr>
              <w:instrText xml:space="preserve"> PAGEREF _Toc9339011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960"/>
              <w:tab w:val="right" w:leader="dot" w:pos="9855"/>
            </w:tabs>
            <w:rPr>
              <w:rFonts w:asciiTheme="minorHAnsi" w:eastAsiaTheme="minorEastAsia" w:hAnsiTheme="minorHAnsi" w:cstheme="minorBidi"/>
              <w:smallCaps w:val="0"/>
              <w:noProof/>
              <w:sz w:val="22"/>
              <w:szCs w:val="22"/>
              <w:lang w:val="en-GB"/>
            </w:rPr>
          </w:pPr>
          <w:hyperlink w:anchor="_Toc9339012" w:history="1">
            <w:r>
              <w:rPr>
                <w:rStyle w:val="Hyperlink"/>
                <w:b/>
                <w:noProof/>
              </w:rPr>
              <w:t>2.4.</w:t>
            </w:r>
            <w:r>
              <w:rPr>
                <w:rFonts w:asciiTheme="minorHAnsi" w:eastAsiaTheme="minorEastAsia" w:hAnsiTheme="minorHAnsi" w:cstheme="minorBidi"/>
                <w:smallCaps w:val="0"/>
                <w:noProof/>
                <w:sz w:val="22"/>
                <w:szCs w:val="22"/>
                <w:lang w:val="en-GB"/>
              </w:rPr>
              <w:tab/>
            </w:r>
            <w:r>
              <w:rPr>
                <w:rStyle w:val="Hyperlink"/>
                <w:b/>
                <w:noProof/>
              </w:rPr>
              <w:t>Финансиране</w:t>
            </w:r>
            <w:r>
              <w:rPr>
                <w:noProof/>
                <w:webHidden/>
              </w:rPr>
              <w:tab/>
            </w:r>
            <w:r>
              <w:rPr>
                <w:noProof/>
                <w:webHidden/>
              </w:rPr>
              <w:fldChar w:fldCharType="begin"/>
            </w:r>
            <w:r>
              <w:rPr>
                <w:noProof/>
                <w:webHidden/>
              </w:rPr>
              <w:instrText xml:space="preserve"> PAGEREF _Toc9339012 \h </w:instrText>
            </w:r>
            <w:r>
              <w:rPr>
                <w:noProof/>
                <w:webHidden/>
              </w:rPr>
            </w:r>
            <w:r>
              <w:rPr>
                <w:noProof/>
                <w:webHidden/>
              </w:rPr>
              <w:fldChar w:fldCharType="separate"/>
            </w:r>
            <w:r>
              <w:rPr>
                <w:noProof/>
                <w:webHidden/>
              </w:rPr>
              <w:t>5</w:t>
            </w:r>
            <w:r>
              <w:rPr>
                <w:noProof/>
                <w:webHidden/>
              </w:rPr>
              <w:fldChar w:fldCharType="end"/>
            </w:r>
          </w:hyperlink>
        </w:p>
        <w:p>
          <w:pPr>
            <w:pStyle w:val="TOC1"/>
            <w:tabs>
              <w:tab w:val="left" w:pos="480"/>
              <w:tab w:val="right" w:leader="dot" w:pos="9855"/>
            </w:tabs>
            <w:rPr>
              <w:rFonts w:asciiTheme="minorHAnsi" w:eastAsiaTheme="minorEastAsia" w:hAnsiTheme="minorHAnsi" w:cstheme="minorBidi"/>
              <w:b w:val="0"/>
              <w:bCs w:val="0"/>
              <w:caps w:val="0"/>
              <w:noProof/>
              <w:sz w:val="22"/>
              <w:szCs w:val="22"/>
              <w:lang w:val="en-GB"/>
            </w:rPr>
          </w:pPr>
          <w:hyperlink w:anchor="_Toc9339013" w:history="1">
            <w:r>
              <w:rPr>
                <w:rStyle w:val="Hyperlink"/>
                <w:noProof/>
              </w:rPr>
              <w:t>3.</w:t>
            </w:r>
            <w:r>
              <w:rPr>
                <w:rFonts w:asciiTheme="minorHAnsi" w:eastAsiaTheme="minorEastAsia" w:hAnsiTheme="minorHAnsi" w:cstheme="minorBidi"/>
                <w:b w:val="0"/>
                <w:bCs w:val="0"/>
                <w:caps w:val="0"/>
                <w:noProof/>
                <w:sz w:val="22"/>
                <w:szCs w:val="22"/>
                <w:lang w:val="en-GB"/>
              </w:rPr>
              <w:tab/>
            </w:r>
            <w:r>
              <w:rPr>
                <w:rStyle w:val="Hyperlink"/>
                <w:noProof/>
              </w:rPr>
              <w:t>Обобщаваща таблица по функции от МФР</w:t>
            </w:r>
            <w:r>
              <w:rPr>
                <w:noProof/>
                <w:webHidden/>
              </w:rPr>
              <w:tab/>
            </w:r>
            <w:r>
              <w:rPr>
                <w:noProof/>
                <w:webHidden/>
              </w:rPr>
              <w:fldChar w:fldCharType="begin"/>
            </w:r>
            <w:r>
              <w:rPr>
                <w:noProof/>
                <w:webHidden/>
              </w:rPr>
              <w:instrText xml:space="preserve"> PAGEREF _Toc9339013 \h </w:instrText>
            </w:r>
            <w:r>
              <w:rPr>
                <w:noProof/>
                <w:webHidden/>
              </w:rPr>
            </w:r>
            <w:r>
              <w:rPr>
                <w:noProof/>
                <w:webHidden/>
              </w:rPr>
              <w:fldChar w:fldCharType="separate"/>
            </w:r>
            <w:r>
              <w:rPr>
                <w:noProof/>
                <w:webHidden/>
              </w:rPr>
              <w:t>6</w:t>
            </w:r>
            <w:r>
              <w:rPr>
                <w:noProof/>
                <w:webHidden/>
              </w:rPr>
              <w:fldChar w:fldCharType="end"/>
            </w:r>
          </w:hyperlink>
        </w:p>
        <w:p>
          <w:pPr>
            <w:pStyle w:val="ManualHeading1"/>
            <w:ind w:left="0" w:firstLine="0"/>
            <w:rPr>
              <w:bCs/>
              <w:noProof/>
            </w:rPr>
          </w:pPr>
          <w:r>
            <w:rPr>
              <w:b w:val="0"/>
              <w:bCs/>
              <w:noProof/>
            </w:rPr>
            <w:fldChar w:fldCharType="end"/>
          </w:r>
        </w:p>
      </w:sdtContent>
    </w:sdt>
    <w:p>
      <w:pPr>
        <w:rPr>
          <w:b/>
          <w:noProof/>
          <w:u w:val="single"/>
          <w:lang w:eastAsia="de-DE"/>
        </w:rPr>
        <w:sectPr>
          <w:headerReference w:type="even" r:id="rId26"/>
          <w:headerReference w:type="default" r:id="rId27"/>
          <w:footerReference w:type="even" r:id="rId28"/>
          <w:footerReference w:type="default" r:id="rId29"/>
          <w:headerReference w:type="first" r:id="rId30"/>
          <w:footerReference w:type="first" r:id="rId31"/>
          <w:pgSz w:w="11907" w:h="16839"/>
          <w:pgMar w:top="1021" w:right="1021" w:bottom="1021" w:left="1021" w:header="709" w:footer="709" w:gutter="0"/>
          <w:cols w:space="708"/>
          <w:docGrid w:linePitch="360"/>
        </w:sectPr>
      </w:pPr>
    </w:p>
    <w:p>
      <w:pPr>
        <w:pStyle w:val="Exposdesmotifstitre"/>
        <w:rPr>
          <w:noProof/>
        </w:rPr>
      </w:pPr>
      <w:r>
        <w:rPr>
          <w:noProof/>
        </w:rPr>
        <w:t>ОБЯСНИТЕЛЕН МЕМОРАНДУМ</w:t>
      </w:r>
    </w:p>
    <w:p>
      <w:pPr>
        <w:pStyle w:val="ManualHeading1"/>
        <w:rPr>
          <w:noProof/>
        </w:rPr>
      </w:pPr>
      <w:bookmarkStart w:id="5" w:name="_Toc385506031"/>
      <w:bookmarkStart w:id="6" w:name="_Toc430865946"/>
      <w:bookmarkStart w:id="7" w:name="_Toc430867524"/>
      <w:bookmarkStart w:id="8" w:name="_Toc525202225"/>
      <w:bookmarkStart w:id="9" w:name="_Toc9339007"/>
      <w:r>
        <w:rPr>
          <w:noProof/>
        </w:rPr>
        <w:t>1.</w:t>
      </w:r>
      <w:r>
        <w:rPr>
          <w:noProof/>
        </w:rPr>
        <w:tab/>
        <w:t>Въведение</w:t>
      </w:r>
      <w:bookmarkEnd w:id="5"/>
      <w:bookmarkEnd w:id="6"/>
      <w:bookmarkEnd w:id="7"/>
      <w:bookmarkEnd w:id="8"/>
      <w:bookmarkEnd w:id="9"/>
    </w:p>
    <w:p>
      <w:pPr>
        <w:jc w:val="both"/>
        <w:rPr>
          <w:noProof/>
        </w:rPr>
      </w:pPr>
      <w:r>
        <w:rPr>
          <w:noProof/>
        </w:rPr>
        <w:t xml:space="preserve">Проект на коригиращ бюджет (ПКБ) № 2/2019 има за цел да предостави допълнително 100 милиона евро бюджетни кредити за поети задължения за „Хоризонт 2020“ и „Еразъм+“, както решиха Европейският парламент и Съветът в споразумението си относно бюджета за 2019 г. Не се предлага бюджетните кредити за плащания да бъдат увеличени. </w:t>
      </w:r>
    </w:p>
    <w:p>
      <w:pPr>
        <w:pStyle w:val="ManualHeading1"/>
        <w:rPr>
          <w:noProof/>
        </w:rPr>
      </w:pPr>
      <w:bookmarkStart w:id="10" w:name="_Toc9339008"/>
      <w:bookmarkEnd w:id="2"/>
      <w:r>
        <w:rPr>
          <w:noProof/>
        </w:rPr>
        <w:t>2.</w:t>
      </w:r>
      <w:r>
        <w:rPr>
          <w:noProof/>
        </w:rPr>
        <w:tab/>
        <w:t>Увеличение на средствата за „Хоризонт 2020“ и „Еразъм+“</w:t>
      </w:r>
      <w:bookmarkEnd w:id="10"/>
    </w:p>
    <w:p>
      <w:pPr>
        <w:keepNext/>
        <w:tabs>
          <w:tab w:val="left" w:pos="850"/>
        </w:tabs>
        <w:spacing w:before="360" w:after="120"/>
        <w:ind w:left="850" w:hanging="850"/>
        <w:jc w:val="both"/>
        <w:outlineLvl w:val="1"/>
        <w:rPr>
          <w:rFonts w:eastAsia="Calibri"/>
          <w:b/>
          <w:noProof/>
        </w:rPr>
      </w:pPr>
      <w:bookmarkStart w:id="11" w:name="_Toc9339009"/>
      <w:r>
        <w:rPr>
          <w:b/>
          <w:noProof/>
        </w:rPr>
        <w:t>2.1.</w:t>
      </w:r>
      <w:r>
        <w:rPr>
          <w:b/>
          <w:noProof/>
        </w:rPr>
        <w:tab/>
        <w:t>Контекст</w:t>
      </w:r>
      <w:bookmarkEnd w:id="11"/>
      <w:r>
        <w:rPr>
          <w:b/>
          <w:noProof/>
        </w:rPr>
        <w:t xml:space="preserve"> </w:t>
      </w:r>
    </w:p>
    <w:p>
      <w:pPr>
        <w:spacing w:before="120" w:after="120"/>
        <w:jc w:val="both"/>
        <w:rPr>
          <w:noProof/>
        </w:rPr>
      </w:pPr>
      <w:r>
        <w:rPr>
          <w:noProof/>
        </w:rPr>
        <w:t>В окончателното си споразумение относно бюджета за 2019 г.</w:t>
      </w:r>
      <w:r>
        <w:rPr>
          <w:rStyle w:val="FootnoteReference"/>
          <w:noProof/>
        </w:rPr>
        <w:footnoteReference w:id="5"/>
      </w:r>
      <w:r>
        <w:rPr>
          <w:noProof/>
        </w:rPr>
        <w:t xml:space="preserve"> Европейският парламент и Съветът се договориха </w:t>
      </w:r>
      <w:r>
        <w:rPr>
          <w:i/>
          <w:noProof/>
        </w:rPr>
        <w:t>„за бюджет в размер на 100 млн. евро като коригиращ бюджет за 2019 г. за увеличаване на средствата за „Хоризонт 2020“ и „Еразъм+“</w:t>
      </w:r>
      <w:r>
        <w:rPr>
          <w:noProof/>
        </w:rPr>
        <w:t>.</w:t>
      </w:r>
      <w:r>
        <w:rPr>
          <w:i/>
          <w:noProof/>
        </w:rPr>
        <w:t xml:space="preserve"> </w:t>
      </w:r>
      <w:r>
        <w:rPr>
          <w:noProof/>
        </w:rPr>
        <w:t xml:space="preserve">Те приканиха Комисията да </w:t>
      </w:r>
      <w:r>
        <w:rPr>
          <w:i/>
          <w:noProof/>
        </w:rPr>
        <w:t>„представи този коригиращ бюджет, който няма да съдържа други елементи, веднага след приключването на техническите корекции по Многогодишната финансова рамка за 2020 г., включително изчислението на общия марж за поетите задължения, през пролетта на 2019 г.“</w:t>
      </w:r>
    </w:p>
    <w:p>
      <w:pPr>
        <w:spacing w:before="120" w:after="120"/>
        <w:jc w:val="both"/>
        <w:rPr>
          <w:noProof/>
        </w:rPr>
      </w:pPr>
      <w:r>
        <w:rPr>
          <w:noProof/>
        </w:rPr>
        <w:t>Тъй като техническата корекция вече е приета</w:t>
      </w:r>
      <w:r>
        <w:rPr>
          <w:rStyle w:val="FootnoteReference"/>
          <w:noProof/>
        </w:rPr>
        <w:footnoteReference w:id="6"/>
      </w:r>
      <w:r>
        <w:rPr>
          <w:noProof/>
        </w:rPr>
        <w:t>, Комисията предлага бюджетът за 2019 г. да бъде изменен, за да бъде отразено горепосоченото споразумение.</w:t>
      </w:r>
    </w:p>
    <w:p>
      <w:pPr>
        <w:keepNext/>
        <w:tabs>
          <w:tab w:val="left" w:pos="850"/>
        </w:tabs>
        <w:spacing w:before="360" w:after="120"/>
        <w:ind w:left="850" w:hanging="850"/>
        <w:jc w:val="both"/>
        <w:outlineLvl w:val="1"/>
        <w:rPr>
          <w:rFonts w:eastAsia="Calibri"/>
          <w:b/>
          <w:noProof/>
        </w:rPr>
      </w:pPr>
      <w:bookmarkStart w:id="12" w:name="_Toc9339010"/>
      <w:r>
        <w:rPr>
          <w:b/>
          <w:noProof/>
        </w:rPr>
        <w:t>2.2.</w:t>
      </w:r>
      <w:r>
        <w:rPr>
          <w:b/>
          <w:noProof/>
        </w:rPr>
        <w:tab/>
        <w:t>Увеличение на средствата за „Хоризонт 2020“</w:t>
      </w:r>
      <w:bookmarkEnd w:id="12"/>
    </w:p>
    <w:p>
      <w:pPr>
        <w:pStyle w:val="Text1"/>
        <w:ind w:left="0"/>
        <w:rPr>
          <w:noProof/>
        </w:rPr>
      </w:pPr>
      <w:r>
        <w:rPr>
          <w:noProof/>
        </w:rPr>
        <w:t xml:space="preserve">В рамките на „Хоризонт 2020“ — водещата програма за подкрепа на научноизследователската дейност и иновациите — беше поставена амбициозна цел по отношение на приноса на програмата към постигането на свързаната с климата цел на бюджета на ЕС. Въпреки че разходите за изменението на климата са значително увеличени в сравнение със 7-та рамкова програма за финансиране на научноизследователските дейности за периода 2007—2013 г. (7РП), следва да бъдат увеличени средствата за специфични мерки с цел доближаване до целта 35 % от общия бюджет на „Хоризонт 2020“ да бъдат предназначени за научноизследователски дейности, свързани с климата. По тази причина се предлага да се отпуснат </w:t>
      </w:r>
      <w:r>
        <w:rPr>
          <w:b/>
          <w:noProof/>
        </w:rPr>
        <w:t>80 милиона евро</w:t>
      </w:r>
      <w:r>
        <w:rPr>
          <w:noProof/>
        </w:rPr>
        <w:t xml:space="preserve"> допълнително за дейности и проекти в тази област, по-специално за свързани с транспорта научни изследвания и за бъдещи и нововъзникващи технологии в рамките на пилотната инициатива на Европейския съвет по иновациите (ЕСИ):</w:t>
      </w:r>
    </w:p>
    <w:p>
      <w:pPr>
        <w:pStyle w:val="Text1"/>
        <w:numPr>
          <w:ilvl w:val="0"/>
          <w:numId w:val="43"/>
        </w:numPr>
        <w:rPr>
          <w:noProof/>
        </w:rPr>
      </w:pPr>
      <w:r>
        <w:rPr>
          <w:noProof/>
        </w:rPr>
        <w:t xml:space="preserve">Комисията предлага да бъдат отпуснати 34,6 милиона евро допълнително за предвидената за „Хоризонт 2020“ бюджетна позиция 08 02 03 04 „Постигане на трансевропейска транспортна система, която е ефективна откъм използване на ресурсите, екологична, безопасна и работи гладко“, за да се увеличат средствата за планираните за 2019 г. действия срещу изменението на климата, по-специално акумулаторите, екологосъобразните превозни средства и екологизирането на въздухоплаването. </w:t>
      </w:r>
    </w:p>
    <w:p>
      <w:pPr>
        <w:pStyle w:val="Text1"/>
        <w:numPr>
          <w:ilvl w:val="0"/>
          <w:numId w:val="43"/>
        </w:numPr>
        <w:rPr>
          <w:noProof/>
        </w:rPr>
      </w:pPr>
      <w:r>
        <w:rPr>
          <w:noProof/>
        </w:rPr>
        <w:t>Комисията предлага да бъдат отпуснати 45,4 милиона евро допълнително за предвидената за „Хоризонт 2020“ бюджетна позиция 08 02 01 02 „Засилване на изследванията в областта на бъдещите и нововъзникващите технологии“ с цел увеличаване на средствата за темите „Водещо до пробив производство на енергия с нулеви емисии за пълна декарбонизация“ и „Технологии, свързани с енергетиката и изменението на климата“. Това действие ще подпомогне предимно мултидисциплинарното проучване на нови посоки за чисто, компактно и евтино производство на електроенергия, като ще е насочено към самостоятелните, мобилните или преносимите употреби в определен контекст. В неговите рамки ще се подбират проекти, които проправят пътя към коренно нови, изцяло декарбонизирани технологии като средство за ограничаване на въздействието на енергийния сектор върху изменението на климата.</w:t>
      </w:r>
    </w:p>
    <w:p>
      <w:pPr>
        <w:keepNext/>
        <w:tabs>
          <w:tab w:val="left" w:pos="850"/>
        </w:tabs>
        <w:spacing w:before="360" w:after="120"/>
        <w:ind w:left="850" w:hanging="850"/>
        <w:jc w:val="both"/>
        <w:outlineLvl w:val="1"/>
        <w:rPr>
          <w:rFonts w:eastAsia="Calibri"/>
          <w:b/>
          <w:noProof/>
        </w:rPr>
      </w:pPr>
      <w:bookmarkStart w:id="13" w:name="_Toc9339011"/>
      <w:r>
        <w:rPr>
          <w:b/>
          <w:noProof/>
        </w:rPr>
        <w:t>2.3.</w:t>
      </w:r>
      <w:r>
        <w:rPr>
          <w:b/>
          <w:noProof/>
        </w:rPr>
        <w:tab/>
        <w:t>Увеличение на средствата за „Еразъм+“</w:t>
      </w:r>
      <w:bookmarkEnd w:id="13"/>
    </w:p>
    <w:p>
      <w:pPr>
        <w:pStyle w:val="Text1"/>
        <w:ind w:left="0"/>
        <w:rPr>
          <w:noProof/>
        </w:rPr>
      </w:pPr>
      <w:r>
        <w:rPr>
          <w:noProof/>
        </w:rPr>
        <w:t xml:space="preserve">„Еразъм+“ е програмата на ЕС, която подкрепя образованието, обучението, младежта и спорта в Европа. Програмата ще предостави възможност на над 4 милиона европейци да учат, да се обучават и да придобият опит в чужбина през периода 2014—2020 г.  </w:t>
      </w:r>
    </w:p>
    <w:p>
      <w:pPr>
        <w:pStyle w:val="Text1"/>
        <w:ind w:left="0"/>
        <w:rPr>
          <w:noProof/>
        </w:rPr>
      </w:pPr>
      <w:r>
        <w:rPr>
          <w:noProof/>
        </w:rPr>
        <w:t xml:space="preserve">Комисията предлага да бъдат отпуснати </w:t>
      </w:r>
      <w:r>
        <w:rPr>
          <w:b/>
          <w:noProof/>
        </w:rPr>
        <w:t>20 милиона евро</w:t>
      </w:r>
      <w:r>
        <w:rPr>
          <w:noProof/>
        </w:rPr>
        <w:t xml:space="preserve"> допълнително за предвидената за „Еразъм+“ бюджетна позиция 15 02 01 01 „Насърчаване на високите постижения и сътрудничеството в областта на европейското образование и обучение и тяхното значение за пазара на труда“. Тези средства ще допълнят финансирането от ЕС, предназначено за основните дейности за мобилност на програмата, по-специално в областта на висшето образование и професионалното образование и обучение, както и за центровете за високи постижения в областта на професионалното образование и обучение. Те ще подпомогнат също </w:t>
      </w:r>
      <w:r>
        <w:rPr>
          <w:i/>
          <w:noProof/>
        </w:rPr>
        <w:t>Европейските университети</w:t>
      </w:r>
      <w:r>
        <w:rPr>
          <w:noProof/>
        </w:rPr>
        <w:t xml:space="preserve"> — действие, разработено наскоро в рамките на </w:t>
      </w:r>
      <w:r>
        <w:rPr>
          <w:i/>
          <w:noProof/>
        </w:rPr>
        <w:t>европейското пространство за образование до 2025 г.</w:t>
      </w:r>
      <w:r>
        <w:rPr>
          <w:rStyle w:val="FootnoteReference"/>
          <w:i/>
          <w:noProof/>
        </w:rPr>
        <w:footnoteReference w:id="7"/>
      </w:r>
      <w:r>
        <w:rPr>
          <w:noProof/>
        </w:rPr>
        <w:t xml:space="preserve"> </w:t>
      </w:r>
    </w:p>
    <w:p>
      <w:pPr>
        <w:keepNext/>
        <w:tabs>
          <w:tab w:val="left" w:pos="850"/>
        </w:tabs>
        <w:spacing w:before="360" w:after="120"/>
        <w:ind w:left="850" w:hanging="850"/>
        <w:jc w:val="both"/>
        <w:outlineLvl w:val="1"/>
        <w:rPr>
          <w:rFonts w:eastAsia="Calibri"/>
          <w:b/>
          <w:noProof/>
        </w:rPr>
      </w:pPr>
      <w:bookmarkStart w:id="14" w:name="_Toc9339012"/>
      <w:r>
        <w:rPr>
          <w:b/>
          <w:noProof/>
        </w:rPr>
        <w:t>2.4.</w:t>
      </w:r>
      <w:r>
        <w:rPr>
          <w:b/>
          <w:noProof/>
        </w:rPr>
        <w:tab/>
        <w:t>Финансиране</w:t>
      </w:r>
      <w:bookmarkEnd w:id="14"/>
    </w:p>
    <w:p>
      <w:pPr>
        <w:spacing w:before="120" w:after="120"/>
        <w:jc w:val="both"/>
        <w:rPr>
          <w:noProof/>
        </w:rPr>
      </w:pPr>
      <w:r>
        <w:rPr>
          <w:noProof/>
        </w:rPr>
        <w:t xml:space="preserve">Поради липсата на марж под тавана на поетите задължения във функция 1а „Конкурентоспособност за растеж и работни места“ в общия бюджет за 2019 г., увеличението на бюджетните кредити за поети задължения на „Хоризонт 2020“ и „Еразъм+“ ще се финансира от общия марж за поетите задължения. </w:t>
      </w:r>
    </w:p>
    <w:p>
      <w:pPr>
        <w:spacing w:before="120" w:after="120"/>
        <w:jc w:val="both"/>
        <w:rPr>
          <w:noProof/>
        </w:rPr>
      </w:pPr>
      <w:r>
        <w:rPr>
          <w:noProof/>
        </w:rPr>
        <w:t xml:space="preserve">Комисията счита, че на този етап бюджетните кредити за плащания за тези две програми в бюджета за 2019 г. не е нужно да бъдат увеличени. </w:t>
      </w:r>
    </w:p>
    <w:p>
      <w:pPr>
        <w:rPr>
          <w:b/>
          <w:smallCaps/>
          <w:noProof/>
        </w:rPr>
      </w:pPr>
      <w:r>
        <w:rPr>
          <w:noProof/>
        </w:rPr>
        <w:br w:type="page"/>
      </w:r>
    </w:p>
    <w:p>
      <w:pPr>
        <w:pStyle w:val="ManualHeading1"/>
        <w:rPr>
          <w:noProof/>
        </w:rPr>
      </w:pPr>
      <w:bookmarkStart w:id="15" w:name="_Toc486952804"/>
      <w:bookmarkStart w:id="16" w:name="_Toc9339013"/>
      <w:r>
        <w:rPr>
          <w:noProof/>
        </w:rPr>
        <w:t>3.</w:t>
      </w:r>
      <w:r>
        <w:rPr>
          <w:noProof/>
        </w:rPr>
        <w:tab/>
        <w:t>Обобщаваща таблица по функции от МФР</w:t>
      </w:r>
      <w:bookmarkEnd w:id="15"/>
      <w:bookmarkEnd w:id="16"/>
    </w:p>
    <w:tbl>
      <w:tblPr>
        <w:tblW w:w="10800" w:type="dxa"/>
        <w:jc w:val="center"/>
        <w:tblLook w:val="04A0" w:firstRow="1" w:lastRow="0" w:firstColumn="1" w:lastColumn="0" w:noHBand="0" w:noVBand="1"/>
      </w:tblPr>
      <w:tblGrid>
        <w:gridCol w:w="358"/>
        <w:gridCol w:w="2681"/>
        <w:gridCol w:w="1347"/>
        <w:gridCol w:w="1345"/>
        <w:gridCol w:w="1189"/>
        <w:gridCol w:w="1188"/>
        <w:gridCol w:w="1347"/>
        <w:gridCol w:w="1345"/>
      </w:tblGrid>
      <w:tr>
        <w:trPr>
          <w:trHeight w:val="210"/>
          <w:jc w:val="center"/>
        </w:trPr>
        <w:tc>
          <w:tcPr>
            <w:tcW w:w="2960" w:type="dxa"/>
            <w:gridSpan w:val="2"/>
            <w:vMerge w:val="restart"/>
            <w:tcBorders>
              <w:top w:val="single" w:sz="4" w:space="0" w:color="auto"/>
              <w:left w:val="single" w:sz="4" w:space="0" w:color="auto"/>
              <w:bottom w:val="nil"/>
              <w:right w:val="single" w:sz="4" w:space="0" w:color="000000"/>
            </w:tcBorders>
            <w:shd w:val="clear" w:color="000000" w:fill="D9D9D9"/>
            <w:vAlign w:val="center"/>
            <w:hideMark/>
          </w:tcPr>
          <w:bookmarkEnd w:id="3"/>
          <w:bookmarkEnd w:id="4"/>
          <w:p>
            <w:pPr>
              <w:jc w:val="center"/>
              <w:rPr>
                <w:b/>
                <w:bCs/>
                <w:noProof/>
                <w:color w:val="000000"/>
                <w:sz w:val="14"/>
                <w:szCs w:val="14"/>
              </w:rPr>
            </w:pPr>
            <w:r>
              <w:rPr>
                <w:b/>
                <w:bCs/>
                <w:noProof/>
                <w:color w:val="000000"/>
                <w:sz w:val="14"/>
                <w:szCs w:val="14"/>
              </w:rPr>
              <w:t>Функция</w:t>
            </w:r>
          </w:p>
        </w:tc>
        <w:tc>
          <w:tcPr>
            <w:tcW w:w="2720" w:type="dxa"/>
            <w:gridSpan w:val="2"/>
            <w:tcBorders>
              <w:top w:val="single" w:sz="4" w:space="0" w:color="auto"/>
              <w:left w:val="nil"/>
              <w:bottom w:val="nil"/>
              <w:right w:val="single" w:sz="4" w:space="0" w:color="000000"/>
            </w:tcBorders>
            <w:shd w:val="clear" w:color="000000" w:fill="D9D9D9"/>
            <w:vAlign w:val="center"/>
            <w:hideMark/>
          </w:tcPr>
          <w:p>
            <w:pPr>
              <w:jc w:val="center"/>
              <w:rPr>
                <w:b/>
                <w:bCs/>
                <w:noProof/>
                <w:color w:val="000000"/>
                <w:sz w:val="14"/>
                <w:szCs w:val="14"/>
              </w:rPr>
            </w:pPr>
            <w:r>
              <w:rPr>
                <w:b/>
                <w:bCs/>
                <w:noProof/>
                <w:color w:val="000000"/>
                <w:sz w:val="14"/>
                <w:szCs w:val="14"/>
              </w:rPr>
              <w:t>Бюджет за 2019 г.</w:t>
            </w:r>
          </w:p>
        </w:tc>
        <w:tc>
          <w:tcPr>
            <w:tcW w:w="2400"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pPr>
              <w:jc w:val="center"/>
              <w:rPr>
                <w:b/>
                <w:bCs/>
                <w:noProof/>
                <w:color w:val="000000"/>
                <w:sz w:val="14"/>
                <w:szCs w:val="14"/>
              </w:rPr>
            </w:pPr>
            <w:r>
              <w:rPr>
                <w:b/>
                <w:bCs/>
                <w:noProof/>
                <w:color w:val="000000"/>
                <w:sz w:val="14"/>
                <w:szCs w:val="14"/>
              </w:rPr>
              <w:t>Проект на коригиращ бюджет 2/2019</w:t>
            </w:r>
          </w:p>
        </w:tc>
        <w:tc>
          <w:tcPr>
            <w:tcW w:w="2720" w:type="dxa"/>
            <w:gridSpan w:val="2"/>
            <w:tcBorders>
              <w:top w:val="single" w:sz="4" w:space="0" w:color="auto"/>
              <w:left w:val="nil"/>
              <w:bottom w:val="nil"/>
              <w:right w:val="single" w:sz="4" w:space="0" w:color="000000"/>
            </w:tcBorders>
            <w:shd w:val="clear" w:color="000000" w:fill="D9D9D9"/>
            <w:vAlign w:val="center"/>
            <w:hideMark/>
          </w:tcPr>
          <w:p>
            <w:pPr>
              <w:jc w:val="center"/>
              <w:rPr>
                <w:b/>
                <w:bCs/>
                <w:noProof/>
                <w:color w:val="000000"/>
                <w:sz w:val="14"/>
                <w:szCs w:val="14"/>
              </w:rPr>
            </w:pPr>
            <w:r>
              <w:rPr>
                <w:b/>
                <w:bCs/>
                <w:noProof/>
                <w:color w:val="000000"/>
                <w:sz w:val="14"/>
                <w:szCs w:val="14"/>
              </w:rPr>
              <w:t>Бюджет за 2019 г.</w:t>
            </w:r>
          </w:p>
        </w:tc>
      </w:tr>
      <w:tr>
        <w:trPr>
          <w:trHeight w:val="210"/>
          <w:jc w:val="center"/>
        </w:trPr>
        <w:tc>
          <w:tcPr>
            <w:tcW w:w="2960" w:type="dxa"/>
            <w:gridSpan w:val="2"/>
            <w:vMerge/>
            <w:tcBorders>
              <w:top w:val="single" w:sz="4" w:space="0" w:color="auto"/>
              <w:left w:val="single" w:sz="4" w:space="0" w:color="auto"/>
              <w:bottom w:val="nil"/>
              <w:right w:val="single" w:sz="4" w:space="0" w:color="000000"/>
            </w:tcBorders>
            <w:vAlign w:val="center"/>
            <w:hideMark/>
          </w:tcPr>
          <w:p>
            <w:pPr>
              <w:rPr>
                <w:b/>
                <w:bCs/>
                <w:noProof/>
                <w:color w:val="000000"/>
                <w:sz w:val="14"/>
                <w:szCs w:val="14"/>
              </w:rPr>
            </w:pPr>
          </w:p>
        </w:tc>
        <w:tc>
          <w:tcPr>
            <w:tcW w:w="2720" w:type="dxa"/>
            <w:gridSpan w:val="2"/>
            <w:tcBorders>
              <w:top w:val="nil"/>
              <w:left w:val="nil"/>
              <w:bottom w:val="single" w:sz="4" w:space="0" w:color="auto"/>
              <w:right w:val="single" w:sz="4" w:space="0" w:color="000000"/>
            </w:tcBorders>
            <w:shd w:val="clear" w:color="000000" w:fill="D9D9D9"/>
            <w:vAlign w:val="center"/>
            <w:hideMark/>
          </w:tcPr>
          <w:p>
            <w:pPr>
              <w:jc w:val="center"/>
              <w:rPr>
                <w:b/>
                <w:bCs/>
                <w:noProof/>
                <w:color w:val="000000"/>
                <w:sz w:val="14"/>
                <w:szCs w:val="14"/>
              </w:rPr>
            </w:pPr>
            <w:r>
              <w:rPr>
                <w:b/>
                <w:bCs/>
                <w:noProof/>
                <w:color w:val="000000"/>
                <w:sz w:val="14"/>
                <w:szCs w:val="14"/>
              </w:rPr>
              <w:t>(вкл. ПВК 1/2019)</w:t>
            </w:r>
          </w:p>
        </w:tc>
        <w:tc>
          <w:tcPr>
            <w:tcW w:w="2400" w:type="dxa"/>
            <w:gridSpan w:val="2"/>
            <w:vMerge/>
            <w:tcBorders>
              <w:top w:val="single" w:sz="4" w:space="0" w:color="auto"/>
              <w:left w:val="single" w:sz="4" w:space="0" w:color="auto"/>
              <w:bottom w:val="single" w:sz="4" w:space="0" w:color="000000"/>
              <w:right w:val="single" w:sz="4" w:space="0" w:color="000000"/>
            </w:tcBorders>
            <w:vAlign w:val="center"/>
            <w:hideMark/>
          </w:tcPr>
          <w:p>
            <w:pPr>
              <w:rPr>
                <w:b/>
                <w:bCs/>
                <w:noProof/>
                <w:color w:val="000000"/>
                <w:sz w:val="14"/>
                <w:szCs w:val="14"/>
              </w:rPr>
            </w:pPr>
          </w:p>
        </w:tc>
        <w:tc>
          <w:tcPr>
            <w:tcW w:w="2720" w:type="dxa"/>
            <w:gridSpan w:val="2"/>
            <w:tcBorders>
              <w:top w:val="nil"/>
              <w:left w:val="nil"/>
              <w:bottom w:val="single" w:sz="4" w:space="0" w:color="auto"/>
              <w:right w:val="single" w:sz="4" w:space="0" w:color="000000"/>
            </w:tcBorders>
            <w:shd w:val="clear" w:color="000000" w:fill="D9D9D9"/>
            <w:vAlign w:val="center"/>
            <w:hideMark/>
          </w:tcPr>
          <w:p>
            <w:pPr>
              <w:jc w:val="center"/>
              <w:rPr>
                <w:b/>
                <w:bCs/>
                <w:noProof/>
                <w:color w:val="000000"/>
                <w:sz w:val="14"/>
                <w:szCs w:val="14"/>
              </w:rPr>
            </w:pPr>
            <w:r>
              <w:rPr>
                <w:b/>
                <w:bCs/>
                <w:noProof/>
                <w:color w:val="000000"/>
                <w:sz w:val="14"/>
                <w:szCs w:val="14"/>
              </w:rPr>
              <w:t>(вкл. ПКБ 1—2/2018)</w:t>
            </w:r>
          </w:p>
        </w:tc>
      </w:tr>
      <w:tr>
        <w:trPr>
          <w:trHeight w:val="210"/>
          <w:jc w:val="center"/>
        </w:trPr>
        <w:tc>
          <w:tcPr>
            <w:tcW w:w="2960" w:type="dxa"/>
            <w:gridSpan w:val="2"/>
            <w:vMerge/>
            <w:tcBorders>
              <w:top w:val="single" w:sz="4" w:space="0" w:color="auto"/>
              <w:left w:val="single" w:sz="4" w:space="0" w:color="auto"/>
              <w:bottom w:val="nil"/>
              <w:right w:val="single" w:sz="4" w:space="0" w:color="000000"/>
            </w:tcBorders>
            <w:vAlign w:val="center"/>
            <w:hideMark/>
          </w:tcPr>
          <w:p>
            <w:pPr>
              <w:rPr>
                <w:b/>
                <w:bCs/>
                <w:noProof/>
                <w:color w:val="000000"/>
                <w:sz w:val="14"/>
                <w:szCs w:val="14"/>
              </w:rPr>
            </w:pPr>
          </w:p>
        </w:tc>
        <w:tc>
          <w:tcPr>
            <w:tcW w:w="1360" w:type="dxa"/>
            <w:tcBorders>
              <w:top w:val="nil"/>
              <w:left w:val="nil"/>
              <w:bottom w:val="nil"/>
              <w:right w:val="single" w:sz="4" w:space="0" w:color="auto"/>
            </w:tcBorders>
            <w:shd w:val="clear" w:color="000000" w:fill="D9D9D9"/>
            <w:vAlign w:val="center"/>
            <w:hideMark/>
          </w:tcPr>
          <w:p>
            <w:pPr>
              <w:jc w:val="center"/>
              <w:rPr>
                <w:b/>
                <w:bCs/>
                <w:noProof/>
                <w:color w:val="000000"/>
                <w:sz w:val="14"/>
                <w:szCs w:val="14"/>
              </w:rPr>
            </w:pPr>
            <w:r>
              <w:rPr>
                <w:b/>
                <w:bCs/>
                <w:noProof/>
                <w:color w:val="000000"/>
                <w:sz w:val="14"/>
                <w:szCs w:val="14"/>
              </w:rPr>
              <w:t>БКПЗ</w:t>
            </w:r>
          </w:p>
        </w:tc>
        <w:tc>
          <w:tcPr>
            <w:tcW w:w="1360" w:type="dxa"/>
            <w:tcBorders>
              <w:top w:val="nil"/>
              <w:left w:val="nil"/>
              <w:bottom w:val="single" w:sz="4" w:space="0" w:color="auto"/>
              <w:right w:val="single" w:sz="4" w:space="0" w:color="auto"/>
            </w:tcBorders>
            <w:shd w:val="clear" w:color="000000" w:fill="D9D9D9"/>
            <w:vAlign w:val="center"/>
            <w:hideMark/>
          </w:tcPr>
          <w:p>
            <w:pPr>
              <w:jc w:val="center"/>
              <w:rPr>
                <w:b/>
                <w:bCs/>
                <w:noProof/>
                <w:color w:val="000000"/>
                <w:sz w:val="14"/>
                <w:szCs w:val="14"/>
              </w:rPr>
            </w:pPr>
            <w:r>
              <w:rPr>
                <w:b/>
                <w:bCs/>
                <w:noProof/>
                <w:color w:val="000000"/>
                <w:sz w:val="14"/>
                <w:szCs w:val="14"/>
              </w:rPr>
              <w:t>БКП</w:t>
            </w:r>
          </w:p>
        </w:tc>
        <w:tc>
          <w:tcPr>
            <w:tcW w:w="1200" w:type="dxa"/>
            <w:tcBorders>
              <w:top w:val="nil"/>
              <w:left w:val="nil"/>
              <w:bottom w:val="single" w:sz="4" w:space="0" w:color="auto"/>
              <w:right w:val="single" w:sz="4" w:space="0" w:color="auto"/>
            </w:tcBorders>
            <w:shd w:val="clear" w:color="000000" w:fill="D9D9D9"/>
            <w:vAlign w:val="center"/>
            <w:hideMark/>
          </w:tcPr>
          <w:p>
            <w:pPr>
              <w:jc w:val="center"/>
              <w:rPr>
                <w:b/>
                <w:bCs/>
                <w:noProof/>
                <w:color w:val="000000"/>
                <w:sz w:val="14"/>
                <w:szCs w:val="14"/>
              </w:rPr>
            </w:pPr>
            <w:r>
              <w:rPr>
                <w:b/>
                <w:bCs/>
                <w:noProof/>
                <w:color w:val="000000"/>
                <w:sz w:val="14"/>
                <w:szCs w:val="14"/>
              </w:rPr>
              <w:t>БКПЗ</w:t>
            </w:r>
          </w:p>
        </w:tc>
        <w:tc>
          <w:tcPr>
            <w:tcW w:w="1200" w:type="dxa"/>
            <w:tcBorders>
              <w:top w:val="nil"/>
              <w:left w:val="nil"/>
              <w:bottom w:val="single" w:sz="4" w:space="0" w:color="auto"/>
              <w:right w:val="single" w:sz="4" w:space="0" w:color="auto"/>
            </w:tcBorders>
            <w:shd w:val="clear" w:color="000000" w:fill="D9D9D9"/>
            <w:vAlign w:val="center"/>
            <w:hideMark/>
          </w:tcPr>
          <w:p>
            <w:pPr>
              <w:jc w:val="center"/>
              <w:rPr>
                <w:b/>
                <w:bCs/>
                <w:noProof/>
                <w:color w:val="000000"/>
                <w:sz w:val="14"/>
                <w:szCs w:val="14"/>
              </w:rPr>
            </w:pPr>
            <w:r>
              <w:rPr>
                <w:b/>
                <w:bCs/>
                <w:noProof/>
                <w:color w:val="000000"/>
                <w:sz w:val="14"/>
                <w:szCs w:val="14"/>
              </w:rPr>
              <w:t>БКП</w:t>
            </w:r>
          </w:p>
        </w:tc>
        <w:tc>
          <w:tcPr>
            <w:tcW w:w="1360" w:type="dxa"/>
            <w:tcBorders>
              <w:top w:val="nil"/>
              <w:left w:val="nil"/>
              <w:bottom w:val="single" w:sz="4" w:space="0" w:color="auto"/>
              <w:right w:val="single" w:sz="4" w:space="0" w:color="auto"/>
            </w:tcBorders>
            <w:shd w:val="clear" w:color="000000" w:fill="D9D9D9"/>
            <w:vAlign w:val="center"/>
            <w:hideMark/>
          </w:tcPr>
          <w:p>
            <w:pPr>
              <w:jc w:val="center"/>
              <w:rPr>
                <w:b/>
                <w:bCs/>
                <w:noProof/>
                <w:color w:val="000000"/>
                <w:sz w:val="14"/>
                <w:szCs w:val="14"/>
              </w:rPr>
            </w:pPr>
            <w:r>
              <w:rPr>
                <w:b/>
                <w:bCs/>
                <w:noProof/>
                <w:color w:val="000000"/>
                <w:sz w:val="14"/>
                <w:szCs w:val="14"/>
              </w:rPr>
              <w:t>БКПЗ</w:t>
            </w:r>
          </w:p>
        </w:tc>
        <w:tc>
          <w:tcPr>
            <w:tcW w:w="1360" w:type="dxa"/>
            <w:tcBorders>
              <w:top w:val="nil"/>
              <w:left w:val="nil"/>
              <w:bottom w:val="single" w:sz="4" w:space="0" w:color="auto"/>
              <w:right w:val="single" w:sz="4" w:space="0" w:color="auto"/>
            </w:tcBorders>
            <w:shd w:val="clear" w:color="000000" w:fill="D9D9D9"/>
            <w:vAlign w:val="center"/>
            <w:hideMark/>
          </w:tcPr>
          <w:p>
            <w:pPr>
              <w:jc w:val="center"/>
              <w:rPr>
                <w:b/>
                <w:bCs/>
                <w:noProof/>
                <w:color w:val="000000"/>
                <w:sz w:val="14"/>
                <w:szCs w:val="14"/>
              </w:rPr>
            </w:pPr>
            <w:r>
              <w:rPr>
                <w:b/>
                <w:bCs/>
                <w:noProof/>
                <w:color w:val="000000"/>
                <w:sz w:val="14"/>
                <w:szCs w:val="14"/>
              </w:rPr>
              <w:t>БКП</w:t>
            </w:r>
          </w:p>
        </w:tc>
      </w:tr>
      <w:tr>
        <w:trPr>
          <w:trHeight w:val="225"/>
          <w:jc w:val="center"/>
        </w:trPr>
        <w:tc>
          <w:tcPr>
            <w:tcW w:w="260" w:type="dxa"/>
            <w:tcBorders>
              <w:top w:val="single" w:sz="4" w:space="0" w:color="auto"/>
              <w:left w:val="single" w:sz="4" w:space="0" w:color="auto"/>
              <w:bottom w:val="dotted" w:sz="4" w:space="0" w:color="auto"/>
              <w:right w:val="nil"/>
            </w:tcBorders>
            <w:shd w:val="clear" w:color="auto" w:fill="auto"/>
            <w:vAlign w:val="center"/>
            <w:hideMark/>
          </w:tcPr>
          <w:p>
            <w:pPr>
              <w:rPr>
                <w:b/>
                <w:bCs/>
                <w:noProof/>
                <w:color w:val="000000"/>
                <w:sz w:val="14"/>
                <w:szCs w:val="14"/>
              </w:rPr>
            </w:pPr>
            <w:r>
              <w:rPr>
                <w:b/>
                <w:bCs/>
                <w:noProof/>
                <w:color w:val="000000"/>
                <w:sz w:val="14"/>
                <w:szCs w:val="14"/>
              </w:rPr>
              <w:t>1.</w:t>
            </w:r>
          </w:p>
        </w:tc>
        <w:tc>
          <w:tcPr>
            <w:tcW w:w="2700" w:type="dxa"/>
            <w:tcBorders>
              <w:top w:val="single" w:sz="4" w:space="0" w:color="auto"/>
              <w:left w:val="nil"/>
              <w:bottom w:val="dotted" w:sz="4" w:space="0" w:color="auto"/>
              <w:right w:val="single" w:sz="4" w:space="0" w:color="auto"/>
            </w:tcBorders>
            <w:shd w:val="clear" w:color="auto" w:fill="auto"/>
            <w:vAlign w:val="center"/>
            <w:hideMark/>
          </w:tcPr>
          <w:p>
            <w:pPr>
              <w:rPr>
                <w:b/>
                <w:bCs/>
                <w:noProof/>
                <w:color w:val="000000"/>
                <w:sz w:val="14"/>
                <w:szCs w:val="14"/>
              </w:rPr>
            </w:pPr>
            <w:r>
              <w:rPr>
                <w:b/>
                <w:bCs/>
                <w:noProof/>
                <w:color w:val="000000"/>
                <w:sz w:val="14"/>
                <w:szCs w:val="14"/>
              </w:rPr>
              <w:t>Интелигентен и приобщаващ растеж</w:t>
            </w:r>
          </w:p>
        </w:tc>
        <w:tc>
          <w:tcPr>
            <w:tcW w:w="1360" w:type="dxa"/>
            <w:tcBorders>
              <w:top w:val="single" w:sz="4" w:space="0" w:color="auto"/>
              <w:left w:val="nil"/>
              <w:bottom w:val="dotted" w:sz="4" w:space="0" w:color="auto"/>
              <w:right w:val="single" w:sz="4" w:space="0" w:color="auto"/>
            </w:tcBorders>
            <w:shd w:val="clear" w:color="000000" w:fill="FFFFFF"/>
            <w:vAlign w:val="center"/>
            <w:hideMark/>
          </w:tcPr>
          <w:p>
            <w:pPr>
              <w:jc w:val="right"/>
              <w:rPr>
                <w:b/>
                <w:bCs/>
                <w:noProof/>
                <w:color w:val="000000"/>
                <w:sz w:val="14"/>
                <w:szCs w:val="14"/>
              </w:rPr>
            </w:pPr>
            <w:r>
              <w:rPr>
                <w:b/>
                <w:bCs/>
                <w:noProof/>
                <w:color w:val="000000"/>
                <w:sz w:val="14"/>
                <w:szCs w:val="14"/>
              </w:rPr>
              <w:t>80 527 449 848</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b/>
                <w:bCs/>
                <w:noProof/>
                <w:color w:val="000000"/>
                <w:sz w:val="14"/>
                <w:szCs w:val="14"/>
              </w:rPr>
            </w:pPr>
            <w:r>
              <w:rPr>
                <w:b/>
                <w:bCs/>
                <w:noProof/>
                <w:color w:val="000000"/>
                <w:sz w:val="14"/>
                <w:szCs w:val="14"/>
              </w:rPr>
              <w:t>67 556 947 173</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xml:space="preserve"> 100 000 000</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xml:space="preserve">   </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80 627 449 848</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67 556 947 173</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От които по Инструмента за гъвкавост</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178 715 475</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178 715 475</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000000" w:fill="FFFFFF"/>
            <w:vAlign w:val="center"/>
            <w:hideMark/>
          </w:tcPr>
          <w:p>
            <w:pPr>
              <w:jc w:val="right"/>
              <w:rPr>
                <w:i/>
                <w:iCs/>
                <w:noProof/>
                <w:color w:val="000000"/>
                <w:sz w:val="14"/>
                <w:szCs w:val="14"/>
              </w:rPr>
            </w:pPr>
            <w:r>
              <w:rPr>
                <w:i/>
                <w:iCs/>
                <w:noProof/>
                <w:color w:val="000000"/>
                <w:sz w:val="14"/>
                <w:szCs w:val="14"/>
              </w:rPr>
              <w:t>От които в общия марж за поетите задължения</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424 734 373</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100 000 000</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524 734 373</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 xml:space="preserve">Таван </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79 924 000 000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79 924 000 000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000000" w:fill="FFFFFF"/>
            <w:vAlign w:val="center"/>
            <w:hideMark/>
          </w:tcPr>
          <w:p>
            <w:pPr>
              <w:jc w:val="right"/>
              <w:rPr>
                <w:i/>
                <w:iCs/>
                <w:noProof/>
                <w:color w:val="000000"/>
                <w:sz w:val="14"/>
                <w:szCs w:val="14"/>
              </w:rPr>
            </w:pPr>
            <w:r>
              <w:rPr>
                <w:i/>
                <w:iCs/>
                <w:noProof/>
                <w:color w:val="000000"/>
                <w:sz w:val="14"/>
                <w:szCs w:val="14"/>
              </w:rPr>
              <w:t>Марж</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60" w:type="dxa"/>
            <w:tcBorders>
              <w:top w:val="nil"/>
              <w:left w:val="single" w:sz="4" w:space="0" w:color="auto"/>
              <w:bottom w:val="dotted" w:sz="4" w:space="0" w:color="auto"/>
              <w:right w:val="nil"/>
            </w:tcBorders>
            <w:shd w:val="clear" w:color="auto" w:fill="auto"/>
            <w:vAlign w:val="center"/>
            <w:hideMark/>
          </w:tcPr>
          <w:p>
            <w:pPr>
              <w:rPr>
                <w:noProof/>
                <w:color w:val="000000"/>
                <w:sz w:val="14"/>
                <w:szCs w:val="14"/>
              </w:rPr>
            </w:pPr>
            <w:r>
              <w:rPr>
                <w:noProof/>
                <w:color w:val="000000"/>
                <w:sz w:val="14"/>
                <w:szCs w:val="14"/>
              </w:rPr>
              <w:t>1а</w:t>
            </w:r>
          </w:p>
        </w:tc>
        <w:tc>
          <w:tcPr>
            <w:tcW w:w="2700" w:type="dxa"/>
            <w:tcBorders>
              <w:top w:val="nil"/>
              <w:left w:val="nil"/>
              <w:bottom w:val="dotted" w:sz="4" w:space="0" w:color="auto"/>
              <w:right w:val="single" w:sz="4" w:space="0" w:color="auto"/>
            </w:tcBorders>
            <w:shd w:val="clear" w:color="auto" w:fill="auto"/>
            <w:vAlign w:val="center"/>
            <w:hideMark/>
          </w:tcPr>
          <w:p>
            <w:pPr>
              <w:rPr>
                <w:noProof/>
                <w:color w:val="000000"/>
                <w:sz w:val="14"/>
                <w:szCs w:val="14"/>
              </w:rPr>
            </w:pPr>
            <w:r>
              <w:rPr>
                <w:noProof/>
                <w:color w:val="000000"/>
                <w:sz w:val="14"/>
                <w:szCs w:val="14"/>
              </w:rPr>
              <w:t>Конкурентоспособност за растеж и работни места</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noProof/>
                <w:color w:val="000000"/>
                <w:sz w:val="14"/>
                <w:szCs w:val="14"/>
              </w:rPr>
            </w:pPr>
            <w:r>
              <w:rPr>
                <w:noProof/>
                <w:color w:val="000000"/>
                <w:sz w:val="14"/>
                <w:szCs w:val="14"/>
              </w:rPr>
              <w:t>23 335 449 848</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noProof/>
                <w:color w:val="000000"/>
                <w:sz w:val="14"/>
                <w:szCs w:val="14"/>
              </w:rPr>
            </w:pPr>
            <w:r>
              <w:rPr>
                <w:noProof/>
                <w:color w:val="000000"/>
                <w:sz w:val="14"/>
                <w:szCs w:val="14"/>
              </w:rPr>
              <w:t>20 521 537 455</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xml:space="preserve"> 100 000 000</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23 435 449 848</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20 521 537 455</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От които по Инструмента за гъвкавост</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noProof/>
                <w:color w:val="000000"/>
                <w:sz w:val="14"/>
                <w:szCs w:val="14"/>
              </w:rPr>
            </w:pPr>
            <w:r>
              <w:rPr>
                <w:noProof/>
                <w:color w:val="000000"/>
                <w:sz w:val="14"/>
                <w:szCs w:val="14"/>
              </w:rPr>
              <w:t xml:space="preserve"> 178 715 475</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noProof/>
                <w:color w:val="000000"/>
                <w:sz w:val="14"/>
                <w:szCs w:val="14"/>
              </w:rPr>
            </w:pPr>
            <w:r>
              <w:rPr>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xml:space="preserve"> 178 715 475</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От които в общия марж за поетите задължения</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74 734 373</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noProof/>
                <w:color w:val="000000"/>
                <w:sz w:val="14"/>
                <w:szCs w:val="14"/>
              </w:rPr>
            </w:pPr>
            <w:r>
              <w:rPr>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xml:space="preserve"> 100 000 000</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xml:space="preserve"> 174 734 373</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Таван</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23 082 000 000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23 082 000 000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Марж</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60" w:type="dxa"/>
            <w:tcBorders>
              <w:top w:val="nil"/>
              <w:left w:val="single" w:sz="4" w:space="0" w:color="auto"/>
              <w:bottom w:val="dotted" w:sz="4" w:space="0" w:color="auto"/>
              <w:right w:val="nil"/>
            </w:tcBorders>
            <w:shd w:val="clear" w:color="auto" w:fill="auto"/>
            <w:vAlign w:val="center"/>
            <w:hideMark/>
          </w:tcPr>
          <w:p>
            <w:pPr>
              <w:rPr>
                <w:noProof/>
                <w:color w:val="000000"/>
                <w:sz w:val="14"/>
                <w:szCs w:val="14"/>
              </w:rPr>
            </w:pPr>
            <w:r>
              <w:rPr>
                <w:noProof/>
                <w:color w:val="000000"/>
                <w:sz w:val="14"/>
                <w:szCs w:val="14"/>
              </w:rPr>
              <w:t xml:space="preserve">1б </w:t>
            </w:r>
          </w:p>
        </w:tc>
        <w:tc>
          <w:tcPr>
            <w:tcW w:w="2700" w:type="dxa"/>
            <w:tcBorders>
              <w:top w:val="nil"/>
              <w:left w:val="nil"/>
              <w:bottom w:val="dotted" w:sz="4" w:space="0" w:color="auto"/>
              <w:right w:val="single" w:sz="4" w:space="0" w:color="auto"/>
            </w:tcBorders>
            <w:shd w:val="clear" w:color="auto" w:fill="auto"/>
            <w:vAlign w:val="center"/>
            <w:hideMark/>
          </w:tcPr>
          <w:p>
            <w:pPr>
              <w:rPr>
                <w:noProof/>
                <w:color w:val="000000"/>
                <w:sz w:val="14"/>
                <w:szCs w:val="14"/>
              </w:rPr>
            </w:pPr>
            <w:r>
              <w:rPr>
                <w:noProof/>
                <w:color w:val="000000"/>
                <w:sz w:val="14"/>
                <w:szCs w:val="14"/>
              </w:rPr>
              <w:t>Икономическо, социално и териториално сближаване</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noProof/>
                <w:color w:val="000000"/>
                <w:sz w:val="14"/>
                <w:szCs w:val="14"/>
              </w:rPr>
            </w:pPr>
            <w:r>
              <w:rPr>
                <w:noProof/>
                <w:color w:val="000000"/>
                <w:sz w:val="14"/>
                <w:szCs w:val="14"/>
              </w:rPr>
              <w:t>57 192 000 000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noProof/>
                <w:color w:val="000000"/>
                <w:sz w:val="14"/>
                <w:szCs w:val="14"/>
              </w:rPr>
            </w:pPr>
            <w:r>
              <w:rPr>
                <w:noProof/>
                <w:color w:val="000000"/>
                <w:sz w:val="14"/>
                <w:szCs w:val="14"/>
              </w:rPr>
              <w:t>47 035 409 718</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57 192 000 000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47 035 409 718</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000000" w:fill="FFFFFF"/>
            <w:vAlign w:val="center"/>
            <w:hideMark/>
          </w:tcPr>
          <w:p>
            <w:pPr>
              <w:jc w:val="right"/>
              <w:rPr>
                <w:i/>
                <w:iCs/>
                <w:noProof/>
                <w:color w:val="000000"/>
                <w:sz w:val="14"/>
                <w:szCs w:val="14"/>
              </w:rPr>
            </w:pPr>
            <w:r>
              <w:rPr>
                <w:i/>
                <w:iCs/>
                <w:noProof/>
                <w:color w:val="000000"/>
                <w:sz w:val="14"/>
                <w:szCs w:val="14"/>
              </w:rPr>
              <w:t>От които в общия марж за поетите задължения</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350 000 000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350 000 000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Таван</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56 842 000 000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56 842 000 000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000000" w:fill="FFFFFF"/>
            <w:vAlign w:val="center"/>
            <w:hideMark/>
          </w:tcPr>
          <w:p>
            <w:pPr>
              <w:jc w:val="right"/>
              <w:rPr>
                <w:i/>
                <w:iCs/>
                <w:noProof/>
                <w:color w:val="000000"/>
                <w:sz w:val="14"/>
                <w:szCs w:val="14"/>
              </w:rPr>
            </w:pPr>
            <w:r>
              <w:rPr>
                <w:i/>
                <w:iCs/>
                <w:noProof/>
                <w:color w:val="000000"/>
                <w:sz w:val="14"/>
                <w:szCs w:val="14"/>
              </w:rPr>
              <w:t>Марж</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60" w:type="dxa"/>
            <w:tcBorders>
              <w:top w:val="nil"/>
              <w:left w:val="single" w:sz="4" w:space="0" w:color="auto"/>
              <w:bottom w:val="dotted" w:sz="4" w:space="0" w:color="auto"/>
              <w:right w:val="nil"/>
            </w:tcBorders>
            <w:shd w:val="clear" w:color="auto" w:fill="auto"/>
            <w:vAlign w:val="center"/>
            <w:hideMark/>
          </w:tcPr>
          <w:p>
            <w:pPr>
              <w:rPr>
                <w:b/>
                <w:bCs/>
                <w:noProof/>
                <w:color w:val="000000"/>
                <w:sz w:val="14"/>
                <w:szCs w:val="14"/>
              </w:rPr>
            </w:pPr>
            <w:r>
              <w:rPr>
                <w:b/>
                <w:bCs/>
                <w:noProof/>
                <w:color w:val="000000"/>
                <w:sz w:val="14"/>
                <w:szCs w:val="14"/>
              </w:rPr>
              <w:t>2.</w:t>
            </w:r>
          </w:p>
        </w:tc>
        <w:tc>
          <w:tcPr>
            <w:tcW w:w="2700" w:type="dxa"/>
            <w:tcBorders>
              <w:top w:val="nil"/>
              <w:left w:val="nil"/>
              <w:bottom w:val="dotted" w:sz="4" w:space="0" w:color="auto"/>
              <w:right w:val="single" w:sz="4" w:space="0" w:color="auto"/>
            </w:tcBorders>
            <w:shd w:val="clear" w:color="auto" w:fill="auto"/>
            <w:vAlign w:val="center"/>
            <w:hideMark/>
          </w:tcPr>
          <w:p>
            <w:pPr>
              <w:rPr>
                <w:b/>
                <w:bCs/>
                <w:noProof/>
                <w:color w:val="000000"/>
                <w:sz w:val="14"/>
                <w:szCs w:val="14"/>
              </w:rPr>
            </w:pPr>
            <w:r>
              <w:rPr>
                <w:b/>
                <w:bCs/>
                <w:noProof/>
                <w:color w:val="000000"/>
                <w:sz w:val="14"/>
                <w:szCs w:val="14"/>
              </w:rPr>
              <w:t>Устойчив растеж: природни ресурси</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b/>
                <w:bCs/>
                <w:noProof/>
                <w:color w:val="000000"/>
                <w:sz w:val="14"/>
                <w:szCs w:val="14"/>
              </w:rPr>
            </w:pPr>
            <w:r>
              <w:rPr>
                <w:b/>
                <w:bCs/>
                <w:noProof/>
                <w:color w:val="000000"/>
                <w:sz w:val="14"/>
                <w:szCs w:val="14"/>
              </w:rPr>
              <w:t>59 642 077 986</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b/>
                <w:bCs/>
                <w:noProof/>
                <w:color w:val="000000"/>
                <w:sz w:val="14"/>
                <w:szCs w:val="14"/>
              </w:rPr>
            </w:pPr>
            <w:r>
              <w:rPr>
                <w:b/>
                <w:bCs/>
                <w:noProof/>
                <w:color w:val="000000"/>
                <w:sz w:val="14"/>
                <w:szCs w:val="14"/>
              </w:rPr>
              <w:t>57 399 857 331</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59 642 077 986</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57 399 857 331</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Таван</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60 344 000 000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60 344 000 000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Марж</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701 922 014</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701 922 014</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34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rPr>
                <w:noProof/>
                <w:color w:val="000000"/>
                <w:sz w:val="14"/>
                <w:szCs w:val="14"/>
              </w:rPr>
            </w:pPr>
            <w:r>
              <w:rPr>
                <w:noProof/>
                <w:color w:val="000000"/>
                <w:sz w:val="14"/>
                <w:szCs w:val="14"/>
              </w:rPr>
              <w:t>От които: Европейски фонд за гарантиране на земеделието (ЕФГЗ) — Разходи, свързани с пазара, и преки плащания</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noProof/>
                <w:color w:val="000000"/>
                <w:sz w:val="14"/>
                <w:szCs w:val="14"/>
              </w:rPr>
            </w:pPr>
            <w:r>
              <w:rPr>
                <w:noProof/>
                <w:color w:val="000000"/>
                <w:sz w:val="14"/>
                <w:szCs w:val="14"/>
              </w:rPr>
              <w:t>43 191 947 000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noProof/>
                <w:color w:val="000000"/>
                <w:sz w:val="14"/>
                <w:szCs w:val="14"/>
              </w:rPr>
            </w:pPr>
            <w:r>
              <w:rPr>
                <w:noProof/>
                <w:color w:val="000000"/>
                <w:sz w:val="14"/>
                <w:szCs w:val="14"/>
              </w:rPr>
              <w:t>43 116 399 417</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43 191 947 000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43 116 399 417</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Подтаван</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43 881 000 000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43 881 000 000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000000" w:fill="FFFFFF"/>
            <w:vAlign w:val="center"/>
            <w:hideMark/>
          </w:tcPr>
          <w:p>
            <w:pPr>
              <w:jc w:val="right"/>
              <w:rPr>
                <w:i/>
                <w:iCs/>
                <w:noProof/>
                <w:color w:val="000000"/>
                <w:sz w:val="14"/>
                <w:szCs w:val="14"/>
              </w:rPr>
            </w:pPr>
            <w:r>
              <w:rPr>
                <w:i/>
                <w:iCs/>
                <w:noProof/>
                <w:color w:val="000000"/>
                <w:sz w:val="14"/>
                <w:szCs w:val="14"/>
              </w:rPr>
              <w:t>Разликата от закръгляне е изключена от изчислението на маржа</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659 000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659 000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Марж за ЕФГЗ</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688 394 000</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688 394 000</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60" w:type="dxa"/>
            <w:tcBorders>
              <w:top w:val="nil"/>
              <w:left w:val="single" w:sz="4" w:space="0" w:color="auto"/>
              <w:bottom w:val="dotted" w:sz="4" w:space="0" w:color="auto"/>
              <w:right w:val="nil"/>
            </w:tcBorders>
            <w:shd w:val="clear" w:color="auto" w:fill="auto"/>
            <w:vAlign w:val="center"/>
            <w:hideMark/>
          </w:tcPr>
          <w:p>
            <w:pPr>
              <w:rPr>
                <w:b/>
                <w:bCs/>
                <w:noProof/>
                <w:color w:val="000000"/>
                <w:sz w:val="14"/>
                <w:szCs w:val="14"/>
              </w:rPr>
            </w:pPr>
            <w:r>
              <w:rPr>
                <w:b/>
                <w:bCs/>
                <w:noProof/>
                <w:color w:val="000000"/>
                <w:sz w:val="14"/>
                <w:szCs w:val="14"/>
              </w:rPr>
              <w:t>3.</w:t>
            </w:r>
          </w:p>
        </w:tc>
        <w:tc>
          <w:tcPr>
            <w:tcW w:w="2700" w:type="dxa"/>
            <w:tcBorders>
              <w:top w:val="nil"/>
              <w:left w:val="nil"/>
              <w:bottom w:val="dotted" w:sz="4" w:space="0" w:color="auto"/>
              <w:right w:val="single" w:sz="4" w:space="0" w:color="auto"/>
            </w:tcBorders>
            <w:shd w:val="clear" w:color="auto" w:fill="auto"/>
            <w:vAlign w:val="center"/>
            <w:hideMark/>
          </w:tcPr>
          <w:p>
            <w:pPr>
              <w:rPr>
                <w:b/>
                <w:bCs/>
                <w:noProof/>
                <w:color w:val="000000"/>
                <w:sz w:val="14"/>
                <w:szCs w:val="14"/>
              </w:rPr>
            </w:pPr>
            <w:r>
              <w:rPr>
                <w:b/>
                <w:bCs/>
                <w:noProof/>
                <w:color w:val="000000"/>
                <w:sz w:val="14"/>
                <w:szCs w:val="14"/>
              </w:rPr>
              <w:t>Сигурност и гражданство</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b/>
                <w:bCs/>
                <w:noProof/>
                <w:color w:val="000000"/>
                <w:sz w:val="14"/>
                <w:szCs w:val="14"/>
              </w:rPr>
            </w:pPr>
            <w:r>
              <w:rPr>
                <w:b/>
                <w:bCs/>
                <w:noProof/>
                <w:color w:val="000000"/>
                <w:sz w:val="14"/>
                <w:szCs w:val="14"/>
              </w:rPr>
              <w:t>3 786 629 138</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b/>
                <w:bCs/>
                <w:noProof/>
                <w:color w:val="000000"/>
                <w:sz w:val="14"/>
                <w:szCs w:val="14"/>
              </w:rPr>
            </w:pPr>
            <w:r>
              <w:rPr>
                <w:b/>
                <w:bCs/>
                <w:noProof/>
                <w:color w:val="000000"/>
                <w:sz w:val="14"/>
                <w:szCs w:val="14"/>
              </w:rPr>
              <w:t>3 527 434 894</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3 786 629 138</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3 527 434 894</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От които по Инструмента за гъвкавост</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985 629 138</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985 629 138</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Таван</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2 801 000 000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2 801 000 000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Марж</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60" w:type="dxa"/>
            <w:tcBorders>
              <w:top w:val="nil"/>
              <w:left w:val="single" w:sz="4" w:space="0" w:color="auto"/>
              <w:bottom w:val="dotted" w:sz="4" w:space="0" w:color="auto"/>
              <w:right w:val="nil"/>
            </w:tcBorders>
            <w:shd w:val="clear" w:color="auto" w:fill="auto"/>
            <w:vAlign w:val="center"/>
            <w:hideMark/>
          </w:tcPr>
          <w:p>
            <w:pPr>
              <w:rPr>
                <w:b/>
                <w:bCs/>
                <w:noProof/>
                <w:color w:val="000000"/>
                <w:sz w:val="14"/>
                <w:szCs w:val="14"/>
              </w:rPr>
            </w:pPr>
            <w:r>
              <w:rPr>
                <w:b/>
                <w:bCs/>
                <w:noProof/>
                <w:color w:val="000000"/>
                <w:sz w:val="14"/>
                <w:szCs w:val="14"/>
              </w:rPr>
              <w:t>4.</w:t>
            </w:r>
          </w:p>
        </w:tc>
        <w:tc>
          <w:tcPr>
            <w:tcW w:w="2700" w:type="dxa"/>
            <w:tcBorders>
              <w:top w:val="nil"/>
              <w:left w:val="nil"/>
              <w:bottom w:val="dotted" w:sz="4" w:space="0" w:color="auto"/>
              <w:right w:val="single" w:sz="4" w:space="0" w:color="auto"/>
            </w:tcBorders>
            <w:shd w:val="clear" w:color="auto" w:fill="auto"/>
            <w:vAlign w:val="center"/>
            <w:hideMark/>
          </w:tcPr>
          <w:p>
            <w:pPr>
              <w:rPr>
                <w:b/>
                <w:bCs/>
                <w:noProof/>
                <w:color w:val="000000"/>
                <w:sz w:val="14"/>
                <w:szCs w:val="14"/>
              </w:rPr>
            </w:pPr>
            <w:r>
              <w:rPr>
                <w:b/>
                <w:bCs/>
                <w:noProof/>
                <w:color w:val="000000"/>
                <w:sz w:val="14"/>
                <w:szCs w:val="14"/>
              </w:rPr>
              <w:t>Глобална Европа</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b/>
                <w:bCs/>
                <w:noProof/>
                <w:color w:val="000000"/>
                <w:sz w:val="14"/>
                <w:szCs w:val="14"/>
              </w:rPr>
            </w:pPr>
            <w:r>
              <w:rPr>
                <w:b/>
                <w:bCs/>
                <w:noProof/>
                <w:color w:val="000000"/>
                <w:sz w:val="14"/>
                <w:szCs w:val="14"/>
              </w:rPr>
              <w:t>11 319 265 627</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b/>
                <w:bCs/>
                <w:noProof/>
                <w:color w:val="000000"/>
                <w:sz w:val="14"/>
                <w:szCs w:val="14"/>
              </w:rPr>
            </w:pPr>
            <w:r>
              <w:rPr>
                <w:b/>
                <w:bCs/>
                <w:noProof/>
                <w:color w:val="000000"/>
                <w:sz w:val="14"/>
                <w:szCs w:val="14"/>
              </w:rPr>
              <w:t>9 358 295 603</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11 319 265 627</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9 358 295 603</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000000" w:fill="FFFFFF"/>
            <w:vAlign w:val="center"/>
            <w:hideMark/>
          </w:tcPr>
          <w:p>
            <w:pPr>
              <w:jc w:val="right"/>
              <w:rPr>
                <w:i/>
                <w:iCs/>
                <w:noProof/>
                <w:color w:val="000000"/>
                <w:sz w:val="14"/>
                <w:szCs w:val="14"/>
              </w:rPr>
            </w:pPr>
            <w:r>
              <w:rPr>
                <w:i/>
                <w:iCs/>
                <w:noProof/>
                <w:color w:val="000000"/>
                <w:sz w:val="14"/>
                <w:szCs w:val="14"/>
              </w:rPr>
              <w:t>От които в общия марж за поетите задължения</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1 051 265 627</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1 051 265 627</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Таван</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10 268 000 000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10 268 000 000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Марж</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60" w:type="dxa"/>
            <w:tcBorders>
              <w:top w:val="nil"/>
              <w:left w:val="single" w:sz="4" w:space="0" w:color="auto"/>
              <w:bottom w:val="dotted" w:sz="4" w:space="0" w:color="auto"/>
              <w:right w:val="nil"/>
            </w:tcBorders>
            <w:shd w:val="clear" w:color="auto" w:fill="auto"/>
            <w:vAlign w:val="center"/>
            <w:hideMark/>
          </w:tcPr>
          <w:p>
            <w:pPr>
              <w:rPr>
                <w:b/>
                <w:bCs/>
                <w:noProof/>
                <w:color w:val="000000"/>
                <w:sz w:val="14"/>
                <w:szCs w:val="14"/>
              </w:rPr>
            </w:pPr>
            <w:r>
              <w:rPr>
                <w:b/>
                <w:bCs/>
                <w:noProof/>
                <w:color w:val="000000"/>
                <w:sz w:val="14"/>
                <w:szCs w:val="14"/>
              </w:rPr>
              <w:t>5.</w:t>
            </w:r>
          </w:p>
        </w:tc>
        <w:tc>
          <w:tcPr>
            <w:tcW w:w="2700" w:type="dxa"/>
            <w:tcBorders>
              <w:top w:val="nil"/>
              <w:left w:val="nil"/>
              <w:bottom w:val="dotted" w:sz="4" w:space="0" w:color="auto"/>
              <w:right w:val="single" w:sz="4" w:space="0" w:color="auto"/>
            </w:tcBorders>
            <w:shd w:val="clear" w:color="auto" w:fill="auto"/>
            <w:vAlign w:val="center"/>
            <w:hideMark/>
          </w:tcPr>
          <w:p>
            <w:pPr>
              <w:rPr>
                <w:b/>
                <w:bCs/>
                <w:noProof/>
                <w:color w:val="000000"/>
                <w:sz w:val="14"/>
                <w:szCs w:val="14"/>
              </w:rPr>
            </w:pPr>
            <w:r>
              <w:rPr>
                <w:b/>
                <w:bCs/>
                <w:noProof/>
                <w:color w:val="000000"/>
                <w:sz w:val="14"/>
                <w:szCs w:val="14"/>
              </w:rPr>
              <w:t>Администрация</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b/>
                <w:bCs/>
                <w:noProof/>
                <w:color w:val="000000"/>
                <w:sz w:val="14"/>
                <w:szCs w:val="14"/>
              </w:rPr>
            </w:pPr>
            <w:r>
              <w:rPr>
                <w:b/>
                <w:bCs/>
                <w:noProof/>
                <w:color w:val="000000"/>
                <w:sz w:val="14"/>
                <w:szCs w:val="14"/>
              </w:rPr>
              <w:t>9 942 974 723</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b/>
                <w:bCs/>
                <w:noProof/>
                <w:color w:val="000000"/>
                <w:sz w:val="14"/>
                <w:szCs w:val="14"/>
              </w:rPr>
            </w:pPr>
            <w:r>
              <w:rPr>
                <w:b/>
                <w:bCs/>
                <w:noProof/>
                <w:color w:val="000000"/>
                <w:sz w:val="14"/>
                <w:szCs w:val="14"/>
              </w:rPr>
              <w:t>9 944 904 743</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9 942 974 723</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9 944 904 743</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Таван</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10 786 000 000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10 786 000 000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От които приспадане от маржа за непредвидени обстоятелства</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- 253 882 156</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- 253 882 156</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Марж</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589 143 121</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589 143 121</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360"/>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rPr>
                <w:noProof/>
                <w:color w:val="000000"/>
                <w:sz w:val="14"/>
                <w:szCs w:val="14"/>
              </w:rPr>
            </w:pPr>
            <w:r>
              <w:rPr>
                <w:noProof/>
                <w:color w:val="000000"/>
                <w:sz w:val="14"/>
                <w:szCs w:val="14"/>
              </w:rPr>
              <w:t>От които: административни разходи на институциите</w:t>
            </w:r>
          </w:p>
        </w:tc>
        <w:tc>
          <w:tcPr>
            <w:tcW w:w="1360" w:type="dxa"/>
            <w:tcBorders>
              <w:top w:val="single" w:sz="4" w:space="0" w:color="auto"/>
              <w:left w:val="nil"/>
              <w:bottom w:val="dotted" w:sz="4" w:space="0" w:color="auto"/>
              <w:right w:val="single" w:sz="4" w:space="0" w:color="auto"/>
            </w:tcBorders>
            <w:shd w:val="clear" w:color="000000" w:fill="FFFFFF"/>
            <w:vAlign w:val="center"/>
            <w:hideMark/>
          </w:tcPr>
          <w:p>
            <w:pPr>
              <w:jc w:val="right"/>
              <w:rPr>
                <w:noProof/>
                <w:color w:val="000000"/>
                <w:sz w:val="14"/>
                <w:szCs w:val="14"/>
              </w:rPr>
            </w:pPr>
            <w:r>
              <w:rPr>
                <w:noProof/>
                <w:color w:val="000000"/>
                <w:sz w:val="14"/>
                <w:szCs w:val="14"/>
              </w:rPr>
              <w:t>7 747 285 803</w:t>
            </w:r>
          </w:p>
        </w:tc>
        <w:tc>
          <w:tcPr>
            <w:tcW w:w="1360" w:type="dxa"/>
            <w:tcBorders>
              <w:top w:val="single" w:sz="4" w:space="0" w:color="auto"/>
              <w:left w:val="nil"/>
              <w:bottom w:val="dotted" w:sz="4" w:space="0" w:color="auto"/>
              <w:right w:val="single" w:sz="4" w:space="0" w:color="auto"/>
            </w:tcBorders>
            <w:shd w:val="clear" w:color="000000" w:fill="FFFFFF"/>
            <w:vAlign w:val="center"/>
            <w:hideMark/>
          </w:tcPr>
          <w:p>
            <w:pPr>
              <w:jc w:val="right"/>
              <w:rPr>
                <w:noProof/>
                <w:color w:val="000000"/>
                <w:sz w:val="14"/>
                <w:szCs w:val="14"/>
              </w:rPr>
            </w:pPr>
            <w:r>
              <w:rPr>
                <w:noProof/>
                <w:color w:val="000000"/>
                <w:sz w:val="14"/>
                <w:szCs w:val="14"/>
              </w:rPr>
              <w:t>7 749 215 823</w:t>
            </w:r>
          </w:p>
        </w:tc>
        <w:tc>
          <w:tcPr>
            <w:tcW w:w="1200" w:type="dxa"/>
            <w:tcBorders>
              <w:top w:val="single" w:sz="4" w:space="0" w:color="auto"/>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w:t>
            </w:r>
          </w:p>
        </w:tc>
        <w:tc>
          <w:tcPr>
            <w:tcW w:w="1200" w:type="dxa"/>
            <w:tcBorders>
              <w:top w:val="single" w:sz="4" w:space="0" w:color="auto"/>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 </w:t>
            </w:r>
          </w:p>
        </w:tc>
        <w:tc>
          <w:tcPr>
            <w:tcW w:w="1360" w:type="dxa"/>
            <w:tcBorders>
              <w:top w:val="single" w:sz="4" w:space="0" w:color="auto"/>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7 747 285 803</w:t>
            </w:r>
          </w:p>
        </w:tc>
        <w:tc>
          <w:tcPr>
            <w:tcW w:w="1360" w:type="dxa"/>
            <w:tcBorders>
              <w:top w:val="single" w:sz="4" w:space="0" w:color="auto"/>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szCs w:val="14"/>
              </w:rPr>
              <w:t>7 749 215 823</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Подтаван</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8 700 000 000</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8 700 000 000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От които приспадане от маржа за непредвидени обстоятелства</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- 253 882 156</w:t>
            </w:r>
          </w:p>
        </w:tc>
        <w:tc>
          <w:tcPr>
            <w:tcW w:w="1360" w:type="dxa"/>
            <w:tcBorders>
              <w:top w:val="nil"/>
              <w:left w:val="nil"/>
              <w:bottom w:val="dotted"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- 253 882 156</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iCs/>
                <w:noProof/>
                <w:color w:val="000000"/>
                <w:sz w:val="14"/>
                <w:szCs w:val="14"/>
              </w:rPr>
              <w:t>Марж</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xml:space="preserve"> 698 832 041</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xml:space="preserve"> 698 832 041</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iCs/>
                <w:noProof/>
                <w:color w:val="000000"/>
                <w:sz w:val="14"/>
                <w:szCs w:val="14"/>
              </w:rPr>
              <w:t> </w:t>
            </w:r>
          </w:p>
        </w:tc>
      </w:tr>
      <w:tr>
        <w:trPr>
          <w:trHeight w:val="225"/>
          <w:jc w:val="center"/>
        </w:trPr>
        <w:tc>
          <w:tcPr>
            <w:tcW w:w="2960" w:type="dxa"/>
            <w:gridSpan w:val="2"/>
            <w:tcBorders>
              <w:top w:val="single" w:sz="4" w:space="0" w:color="auto"/>
              <w:left w:val="single" w:sz="4" w:space="0" w:color="auto"/>
              <w:bottom w:val="dotted" w:sz="4" w:space="0" w:color="auto"/>
              <w:right w:val="single" w:sz="4" w:space="0" w:color="000000"/>
            </w:tcBorders>
            <w:shd w:val="clear" w:color="000000" w:fill="D9D9D9"/>
            <w:vAlign w:val="center"/>
            <w:hideMark/>
          </w:tcPr>
          <w:p>
            <w:pPr>
              <w:jc w:val="right"/>
              <w:rPr>
                <w:b/>
                <w:bCs/>
                <w:noProof/>
                <w:color w:val="000000"/>
                <w:sz w:val="14"/>
                <w:szCs w:val="14"/>
              </w:rPr>
            </w:pPr>
            <w:r>
              <w:rPr>
                <w:b/>
                <w:bCs/>
                <w:noProof/>
                <w:color w:val="000000"/>
                <w:sz w:val="14"/>
                <w:szCs w:val="14"/>
              </w:rPr>
              <w:t>Общо</w:t>
            </w:r>
          </w:p>
        </w:tc>
        <w:tc>
          <w:tcPr>
            <w:tcW w:w="1360" w:type="dxa"/>
            <w:tcBorders>
              <w:top w:val="single" w:sz="4" w:space="0" w:color="auto"/>
              <w:left w:val="nil"/>
              <w:bottom w:val="dotted" w:sz="4" w:space="0" w:color="auto"/>
              <w:right w:val="single" w:sz="4" w:space="0" w:color="auto"/>
            </w:tcBorders>
            <w:shd w:val="clear" w:color="000000" w:fill="D9D9D9"/>
            <w:vAlign w:val="center"/>
            <w:hideMark/>
          </w:tcPr>
          <w:p>
            <w:pPr>
              <w:jc w:val="right"/>
              <w:rPr>
                <w:b/>
                <w:bCs/>
                <w:noProof/>
                <w:color w:val="000000"/>
                <w:sz w:val="14"/>
                <w:szCs w:val="14"/>
              </w:rPr>
            </w:pPr>
            <w:r>
              <w:rPr>
                <w:b/>
                <w:bCs/>
                <w:noProof/>
                <w:color w:val="000000"/>
                <w:sz w:val="14"/>
                <w:szCs w:val="14"/>
              </w:rPr>
              <w:t>165 218 397 322</w:t>
            </w:r>
          </w:p>
        </w:tc>
        <w:tc>
          <w:tcPr>
            <w:tcW w:w="1360" w:type="dxa"/>
            <w:tcBorders>
              <w:top w:val="single" w:sz="4" w:space="0" w:color="auto"/>
              <w:left w:val="nil"/>
              <w:bottom w:val="dotted" w:sz="4" w:space="0" w:color="auto"/>
              <w:right w:val="single" w:sz="4" w:space="0" w:color="auto"/>
            </w:tcBorders>
            <w:shd w:val="clear" w:color="000000" w:fill="D9D9D9"/>
            <w:vAlign w:val="center"/>
            <w:hideMark/>
          </w:tcPr>
          <w:p>
            <w:pPr>
              <w:jc w:val="right"/>
              <w:rPr>
                <w:b/>
                <w:bCs/>
                <w:noProof/>
                <w:color w:val="000000"/>
                <w:sz w:val="14"/>
                <w:szCs w:val="14"/>
              </w:rPr>
            </w:pPr>
            <w:r>
              <w:rPr>
                <w:b/>
                <w:bCs/>
                <w:noProof/>
                <w:color w:val="000000"/>
                <w:sz w:val="14"/>
                <w:szCs w:val="14"/>
              </w:rPr>
              <w:t>147 787 439 744</w:t>
            </w:r>
          </w:p>
        </w:tc>
        <w:tc>
          <w:tcPr>
            <w:tcW w:w="1200" w:type="dxa"/>
            <w:tcBorders>
              <w:top w:val="single" w:sz="4" w:space="0" w:color="auto"/>
              <w:left w:val="nil"/>
              <w:bottom w:val="dotted" w:sz="4" w:space="0" w:color="auto"/>
              <w:right w:val="single" w:sz="4" w:space="0" w:color="auto"/>
            </w:tcBorders>
            <w:shd w:val="clear" w:color="000000" w:fill="D9D9D9"/>
            <w:vAlign w:val="center"/>
            <w:hideMark/>
          </w:tcPr>
          <w:p>
            <w:pPr>
              <w:jc w:val="right"/>
              <w:rPr>
                <w:b/>
                <w:bCs/>
                <w:noProof/>
                <w:color w:val="000000"/>
                <w:sz w:val="14"/>
                <w:szCs w:val="14"/>
              </w:rPr>
            </w:pPr>
            <w:r>
              <w:rPr>
                <w:b/>
                <w:bCs/>
                <w:noProof/>
                <w:color w:val="000000"/>
                <w:sz w:val="14"/>
                <w:szCs w:val="14"/>
              </w:rPr>
              <w:t xml:space="preserve"> 100 000 000</w:t>
            </w:r>
          </w:p>
        </w:tc>
        <w:tc>
          <w:tcPr>
            <w:tcW w:w="1200" w:type="dxa"/>
            <w:tcBorders>
              <w:top w:val="single" w:sz="4" w:space="0" w:color="auto"/>
              <w:left w:val="nil"/>
              <w:bottom w:val="dotted" w:sz="4" w:space="0" w:color="auto"/>
              <w:right w:val="single" w:sz="4" w:space="0" w:color="auto"/>
            </w:tcBorders>
            <w:shd w:val="clear" w:color="000000" w:fill="D9D9D9"/>
            <w:vAlign w:val="center"/>
            <w:hideMark/>
          </w:tcPr>
          <w:p>
            <w:pPr>
              <w:jc w:val="right"/>
              <w:rPr>
                <w:b/>
                <w:bCs/>
                <w:noProof/>
                <w:color w:val="000000"/>
                <w:sz w:val="14"/>
                <w:szCs w:val="14"/>
              </w:rPr>
            </w:pPr>
            <w:r>
              <w:rPr>
                <w:b/>
                <w:bCs/>
                <w:noProof/>
                <w:color w:val="000000"/>
                <w:sz w:val="14"/>
                <w:szCs w:val="14"/>
              </w:rPr>
              <w:t xml:space="preserve">   </w:t>
            </w:r>
          </w:p>
        </w:tc>
        <w:tc>
          <w:tcPr>
            <w:tcW w:w="1360" w:type="dxa"/>
            <w:tcBorders>
              <w:top w:val="single" w:sz="4" w:space="0" w:color="auto"/>
              <w:left w:val="nil"/>
              <w:bottom w:val="dotted" w:sz="4" w:space="0" w:color="auto"/>
              <w:right w:val="single" w:sz="4" w:space="0" w:color="auto"/>
            </w:tcBorders>
            <w:shd w:val="clear" w:color="000000" w:fill="D9D9D9"/>
            <w:vAlign w:val="center"/>
            <w:hideMark/>
          </w:tcPr>
          <w:p>
            <w:pPr>
              <w:jc w:val="right"/>
              <w:rPr>
                <w:b/>
                <w:bCs/>
                <w:noProof/>
                <w:color w:val="000000"/>
                <w:sz w:val="14"/>
                <w:szCs w:val="14"/>
              </w:rPr>
            </w:pPr>
            <w:r>
              <w:rPr>
                <w:b/>
                <w:bCs/>
                <w:noProof/>
                <w:color w:val="000000"/>
                <w:sz w:val="14"/>
                <w:szCs w:val="14"/>
              </w:rPr>
              <w:t>165 318 397 322</w:t>
            </w:r>
          </w:p>
        </w:tc>
        <w:tc>
          <w:tcPr>
            <w:tcW w:w="1360" w:type="dxa"/>
            <w:tcBorders>
              <w:top w:val="single" w:sz="4" w:space="0" w:color="auto"/>
              <w:left w:val="nil"/>
              <w:bottom w:val="dotted" w:sz="4" w:space="0" w:color="auto"/>
              <w:right w:val="single" w:sz="4" w:space="0" w:color="auto"/>
            </w:tcBorders>
            <w:shd w:val="clear" w:color="000000" w:fill="D9D9D9"/>
            <w:vAlign w:val="center"/>
            <w:hideMark/>
          </w:tcPr>
          <w:p>
            <w:pPr>
              <w:jc w:val="right"/>
              <w:rPr>
                <w:b/>
                <w:bCs/>
                <w:noProof/>
                <w:color w:val="000000"/>
                <w:sz w:val="14"/>
                <w:szCs w:val="14"/>
              </w:rPr>
            </w:pPr>
            <w:r>
              <w:rPr>
                <w:b/>
                <w:bCs/>
                <w:noProof/>
                <w:color w:val="000000"/>
                <w:sz w:val="14"/>
                <w:szCs w:val="14"/>
              </w:rPr>
              <w:t>147 787 439 744</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jc w:val="right"/>
              <w:rPr>
                <w:b/>
                <w:bCs/>
                <w:i/>
                <w:iCs/>
                <w:noProof/>
                <w:color w:val="000000"/>
                <w:sz w:val="14"/>
                <w:szCs w:val="14"/>
              </w:rPr>
            </w:pPr>
            <w:r>
              <w:rPr>
                <w:b/>
                <w:bCs/>
                <w:i/>
                <w:iCs/>
                <w:noProof/>
                <w:color w:val="000000"/>
                <w:sz w:val="14"/>
                <w:szCs w:val="14"/>
              </w:rPr>
              <w:t>От които по Инструмента за гъвкавост</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1 164 344 613</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xml:space="preserve"> 961 862 659</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xml:space="preserve">   </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1 164 344 613</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xml:space="preserve"> 961 862 659</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jc w:val="right"/>
              <w:rPr>
                <w:b/>
                <w:bCs/>
                <w:i/>
                <w:iCs/>
                <w:noProof/>
                <w:color w:val="000000"/>
                <w:sz w:val="14"/>
                <w:szCs w:val="14"/>
              </w:rPr>
            </w:pPr>
            <w:r>
              <w:rPr>
                <w:b/>
                <w:bCs/>
                <w:i/>
                <w:iCs/>
                <w:noProof/>
                <w:color w:val="000000"/>
                <w:sz w:val="14"/>
                <w:szCs w:val="14"/>
              </w:rPr>
              <w:t>От които в общия марж за поетите задължения</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1 476 000 000</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xml:space="preserve"> 100 000 000</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1 576 000 000</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jc w:val="right"/>
              <w:rPr>
                <w:b/>
                <w:bCs/>
                <w:i/>
                <w:iCs/>
                <w:noProof/>
                <w:color w:val="000000"/>
                <w:sz w:val="14"/>
                <w:szCs w:val="14"/>
              </w:rPr>
            </w:pPr>
            <w:r>
              <w:rPr>
                <w:b/>
                <w:bCs/>
                <w:i/>
                <w:iCs/>
                <w:noProof/>
                <w:color w:val="000000"/>
                <w:sz w:val="14"/>
                <w:szCs w:val="14"/>
              </w:rPr>
              <w:t>Таван</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164 123 000 000</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166 709 000 000</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xml:space="preserve">   </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164 123 000 000</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166 709 000 000</w:t>
            </w:r>
          </w:p>
        </w:tc>
      </w:tr>
      <w:tr>
        <w:trPr>
          <w:trHeight w:val="225"/>
          <w:jc w:val="center"/>
        </w:trPr>
        <w:tc>
          <w:tcPr>
            <w:tcW w:w="2960"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jc w:val="right"/>
              <w:rPr>
                <w:b/>
                <w:bCs/>
                <w:i/>
                <w:iCs/>
                <w:noProof/>
                <w:color w:val="000000"/>
                <w:sz w:val="14"/>
                <w:szCs w:val="14"/>
              </w:rPr>
            </w:pPr>
            <w:r>
              <w:rPr>
                <w:b/>
                <w:bCs/>
                <w:i/>
                <w:iCs/>
                <w:noProof/>
                <w:color w:val="000000"/>
                <w:sz w:val="14"/>
                <w:szCs w:val="14"/>
              </w:rPr>
              <w:t>От които приспадане от маржа за непредвидени обстоятелства</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- 253 882 156</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xml:space="preserve">   </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- 253 882 156</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w:t>
            </w:r>
          </w:p>
        </w:tc>
      </w:tr>
      <w:tr>
        <w:trPr>
          <w:trHeight w:val="225"/>
          <w:jc w:val="center"/>
        </w:trPr>
        <w:tc>
          <w:tcPr>
            <w:tcW w:w="2960" w:type="dxa"/>
            <w:gridSpan w:val="2"/>
            <w:tcBorders>
              <w:top w:val="dotted" w:sz="4" w:space="0" w:color="auto"/>
              <w:left w:val="single" w:sz="4" w:space="0" w:color="auto"/>
              <w:bottom w:val="nil"/>
              <w:right w:val="single" w:sz="4" w:space="0" w:color="000000"/>
            </w:tcBorders>
            <w:shd w:val="clear" w:color="000000" w:fill="D9D9D9"/>
            <w:vAlign w:val="center"/>
            <w:hideMark/>
          </w:tcPr>
          <w:p>
            <w:pPr>
              <w:jc w:val="right"/>
              <w:rPr>
                <w:b/>
                <w:bCs/>
                <w:i/>
                <w:iCs/>
                <w:noProof/>
                <w:color w:val="000000"/>
                <w:sz w:val="14"/>
                <w:szCs w:val="14"/>
              </w:rPr>
            </w:pPr>
            <w:r>
              <w:rPr>
                <w:b/>
                <w:bCs/>
                <w:i/>
                <w:iCs/>
                <w:noProof/>
                <w:color w:val="000000"/>
                <w:sz w:val="14"/>
                <w:szCs w:val="14"/>
              </w:rPr>
              <w:t>Марж</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1 291 065 135</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19 883 422 915</w:t>
            </w:r>
          </w:p>
        </w:tc>
        <w:tc>
          <w:tcPr>
            <w:tcW w:w="1200" w:type="dxa"/>
            <w:tcBorders>
              <w:top w:val="nil"/>
              <w:left w:val="nil"/>
              <w:bottom w:val="single"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xml:space="preserve">   </w:t>
            </w:r>
          </w:p>
        </w:tc>
        <w:tc>
          <w:tcPr>
            <w:tcW w:w="1200" w:type="dxa"/>
            <w:tcBorders>
              <w:top w:val="nil"/>
              <w:left w:val="nil"/>
              <w:bottom w:val="single"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 </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1 291 065 135</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i/>
                <w:iCs/>
                <w:noProof/>
                <w:color w:val="000000"/>
                <w:sz w:val="14"/>
                <w:szCs w:val="14"/>
              </w:rPr>
            </w:pPr>
            <w:r>
              <w:rPr>
                <w:b/>
                <w:bCs/>
                <w:i/>
                <w:iCs/>
                <w:noProof/>
                <w:color w:val="000000"/>
                <w:sz w:val="14"/>
                <w:szCs w:val="14"/>
              </w:rPr>
              <w:t>19 883 422 915</w:t>
            </w:r>
          </w:p>
        </w:tc>
      </w:tr>
      <w:tr>
        <w:trPr>
          <w:trHeight w:val="225"/>
          <w:jc w:val="center"/>
        </w:trPr>
        <w:tc>
          <w:tcPr>
            <w:tcW w:w="260" w:type="dxa"/>
            <w:tcBorders>
              <w:top w:val="single" w:sz="4" w:space="0" w:color="auto"/>
              <w:left w:val="single" w:sz="4" w:space="0" w:color="auto"/>
              <w:bottom w:val="single" w:sz="4" w:space="0" w:color="auto"/>
              <w:right w:val="nil"/>
            </w:tcBorders>
            <w:shd w:val="clear" w:color="auto" w:fill="auto"/>
            <w:vAlign w:val="center"/>
            <w:hideMark/>
          </w:tcPr>
          <w:p>
            <w:pPr>
              <w:rPr>
                <w:b/>
                <w:bCs/>
                <w:noProof/>
                <w:color w:val="000000"/>
                <w:sz w:val="14"/>
                <w:szCs w:val="14"/>
              </w:rPr>
            </w:pPr>
            <w:r>
              <w:rPr>
                <w:b/>
                <w:bCs/>
                <w:noProof/>
                <w:color w:val="000000"/>
                <w:sz w:val="14"/>
                <w:szCs w:val="14"/>
              </w:rPr>
              <w:t> </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pPr>
              <w:rPr>
                <w:b/>
                <w:bCs/>
                <w:noProof/>
                <w:color w:val="000000"/>
                <w:sz w:val="14"/>
                <w:szCs w:val="14"/>
              </w:rPr>
            </w:pPr>
            <w:r>
              <w:rPr>
                <w:b/>
                <w:bCs/>
                <w:noProof/>
                <w:color w:val="000000"/>
                <w:sz w:val="14"/>
                <w:szCs w:val="14"/>
              </w:rPr>
              <w:t>Други специални инструменти</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b/>
                <w:bCs/>
                <w:noProof/>
                <w:color w:val="000000"/>
                <w:sz w:val="14"/>
                <w:szCs w:val="14"/>
              </w:rPr>
            </w:pPr>
            <w:r>
              <w:rPr>
                <w:b/>
                <w:bCs/>
                <w:noProof/>
                <w:color w:val="000000"/>
                <w:sz w:val="14"/>
                <w:szCs w:val="14"/>
              </w:rPr>
              <w:t xml:space="preserve"> 577 248 000</w:t>
            </w:r>
          </w:p>
        </w:tc>
        <w:tc>
          <w:tcPr>
            <w:tcW w:w="1360" w:type="dxa"/>
            <w:tcBorders>
              <w:top w:val="nil"/>
              <w:left w:val="nil"/>
              <w:bottom w:val="single" w:sz="4" w:space="0" w:color="auto"/>
              <w:right w:val="single" w:sz="4" w:space="0" w:color="auto"/>
            </w:tcBorders>
            <w:shd w:val="clear" w:color="000000" w:fill="FFFFFF"/>
            <w:vAlign w:val="center"/>
            <w:hideMark/>
          </w:tcPr>
          <w:p>
            <w:pPr>
              <w:jc w:val="right"/>
              <w:rPr>
                <w:b/>
                <w:bCs/>
                <w:noProof/>
                <w:color w:val="000000"/>
                <w:sz w:val="14"/>
                <w:szCs w:val="14"/>
              </w:rPr>
            </w:pPr>
            <w:r>
              <w:rPr>
                <w:b/>
                <w:bCs/>
                <w:noProof/>
                <w:color w:val="000000"/>
                <w:sz w:val="14"/>
                <w:szCs w:val="14"/>
              </w:rPr>
              <w:t xml:space="preserve"> 411 500 000</w:t>
            </w:r>
          </w:p>
        </w:tc>
        <w:tc>
          <w:tcPr>
            <w:tcW w:w="1200"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xml:space="preserve"> 577 248 000</w:t>
            </w:r>
          </w:p>
        </w:tc>
        <w:tc>
          <w:tcPr>
            <w:tcW w:w="1360"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4"/>
                <w:szCs w:val="14"/>
              </w:rPr>
            </w:pPr>
            <w:r>
              <w:rPr>
                <w:b/>
                <w:bCs/>
                <w:noProof/>
                <w:color w:val="000000"/>
                <w:sz w:val="14"/>
                <w:szCs w:val="14"/>
              </w:rPr>
              <w:t xml:space="preserve"> 411 500 000</w:t>
            </w:r>
          </w:p>
        </w:tc>
      </w:tr>
      <w:tr>
        <w:trPr>
          <w:trHeight w:val="225"/>
          <w:jc w:val="center"/>
        </w:trPr>
        <w:tc>
          <w:tcPr>
            <w:tcW w:w="2960" w:type="dxa"/>
            <w:gridSpan w:val="2"/>
            <w:tcBorders>
              <w:top w:val="nil"/>
              <w:left w:val="single" w:sz="4" w:space="0" w:color="auto"/>
              <w:bottom w:val="single" w:sz="4" w:space="0" w:color="auto"/>
              <w:right w:val="single" w:sz="4" w:space="0" w:color="000000"/>
            </w:tcBorders>
            <w:shd w:val="clear" w:color="000000" w:fill="D9D9D9"/>
            <w:vAlign w:val="center"/>
            <w:hideMark/>
          </w:tcPr>
          <w:p>
            <w:pPr>
              <w:jc w:val="right"/>
              <w:rPr>
                <w:b/>
                <w:bCs/>
                <w:noProof/>
                <w:color w:val="000000"/>
                <w:sz w:val="14"/>
                <w:szCs w:val="14"/>
              </w:rPr>
            </w:pPr>
            <w:r>
              <w:rPr>
                <w:b/>
                <w:bCs/>
                <w:noProof/>
                <w:color w:val="000000"/>
                <w:sz w:val="14"/>
                <w:szCs w:val="14"/>
              </w:rPr>
              <w:t>Общо всичко</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noProof/>
                <w:color w:val="000000"/>
                <w:sz w:val="14"/>
                <w:szCs w:val="14"/>
              </w:rPr>
            </w:pPr>
            <w:r>
              <w:rPr>
                <w:b/>
                <w:bCs/>
                <w:noProof/>
                <w:color w:val="000000"/>
                <w:sz w:val="14"/>
                <w:szCs w:val="14"/>
              </w:rPr>
              <w:t>165 795 645 322</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noProof/>
                <w:color w:val="000000"/>
                <w:sz w:val="14"/>
                <w:szCs w:val="14"/>
              </w:rPr>
            </w:pPr>
            <w:r>
              <w:rPr>
                <w:b/>
                <w:bCs/>
                <w:noProof/>
                <w:color w:val="000000"/>
                <w:sz w:val="14"/>
                <w:szCs w:val="14"/>
              </w:rPr>
              <w:t>148 198 939 744</w:t>
            </w:r>
          </w:p>
        </w:tc>
        <w:tc>
          <w:tcPr>
            <w:tcW w:w="1200" w:type="dxa"/>
            <w:tcBorders>
              <w:top w:val="nil"/>
              <w:left w:val="nil"/>
              <w:bottom w:val="single" w:sz="4" w:space="0" w:color="auto"/>
              <w:right w:val="single" w:sz="4" w:space="0" w:color="auto"/>
            </w:tcBorders>
            <w:shd w:val="clear" w:color="000000" w:fill="D9D9D9"/>
            <w:vAlign w:val="center"/>
            <w:hideMark/>
          </w:tcPr>
          <w:p>
            <w:pPr>
              <w:jc w:val="right"/>
              <w:rPr>
                <w:b/>
                <w:bCs/>
                <w:noProof/>
                <w:color w:val="000000"/>
                <w:sz w:val="14"/>
                <w:szCs w:val="14"/>
              </w:rPr>
            </w:pPr>
            <w:r>
              <w:rPr>
                <w:b/>
                <w:bCs/>
                <w:noProof/>
                <w:color w:val="000000"/>
                <w:sz w:val="14"/>
                <w:szCs w:val="14"/>
              </w:rPr>
              <w:t xml:space="preserve"> 100 000 000</w:t>
            </w:r>
          </w:p>
        </w:tc>
        <w:tc>
          <w:tcPr>
            <w:tcW w:w="1200" w:type="dxa"/>
            <w:tcBorders>
              <w:top w:val="nil"/>
              <w:left w:val="nil"/>
              <w:bottom w:val="single" w:sz="4" w:space="0" w:color="auto"/>
              <w:right w:val="single" w:sz="4" w:space="0" w:color="auto"/>
            </w:tcBorders>
            <w:shd w:val="clear" w:color="000000" w:fill="D9D9D9"/>
            <w:vAlign w:val="center"/>
            <w:hideMark/>
          </w:tcPr>
          <w:p>
            <w:pPr>
              <w:jc w:val="right"/>
              <w:rPr>
                <w:b/>
                <w:bCs/>
                <w:noProof/>
                <w:color w:val="000000"/>
                <w:sz w:val="14"/>
                <w:szCs w:val="14"/>
              </w:rPr>
            </w:pPr>
            <w:r>
              <w:rPr>
                <w:b/>
                <w:bCs/>
                <w:noProof/>
                <w:color w:val="000000"/>
                <w:sz w:val="14"/>
                <w:szCs w:val="14"/>
              </w:rPr>
              <w:t xml:space="preserve">   </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noProof/>
                <w:color w:val="000000"/>
                <w:sz w:val="14"/>
                <w:szCs w:val="14"/>
              </w:rPr>
            </w:pPr>
            <w:r>
              <w:rPr>
                <w:b/>
                <w:bCs/>
                <w:noProof/>
                <w:color w:val="000000"/>
                <w:sz w:val="14"/>
                <w:szCs w:val="14"/>
              </w:rPr>
              <w:t>165 895 645 322</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noProof/>
                <w:color w:val="000000"/>
                <w:sz w:val="14"/>
                <w:szCs w:val="14"/>
              </w:rPr>
            </w:pPr>
            <w:r>
              <w:rPr>
                <w:b/>
                <w:bCs/>
                <w:noProof/>
                <w:color w:val="000000"/>
                <w:sz w:val="14"/>
                <w:szCs w:val="14"/>
              </w:rPr>
              <w:t>148 198 939 744</w:t>
            </w:r>
          </w:p>
        </w:tc>
      </w:tr>
    </w:tbl>
    <w:p>
      <w:pPr>
        <w:pStyle w:val="Text1"/>
        <w:ind w:left="0"/>
        <w:rPr>
          <w:noProof/>
        </w:rPr>
      </w:pPr>
    </w:p>
    <w:sectPr>
      <w:headerReference w:type="even" r:id="rId32"/>
      <w:headerReference w:type="default" r:id="rId33"/>
      <w:footerReference w:type="even" r:id="rId34"/>
      <w:footerReference w:type="default" r:id="rId35"/>
      <w:headerReference w:type="first" r:id="rId36"/>
      <w:footerReference w:type="first" r:id="rId37"/>
      <w:pgSz w:w="11907" w:h="1683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851" w:right="-851"/>
      <w:rPr>
        <w:rFonts w:ascii="Arial" w:hAnsi="Arial" w:cs="Arial"/>
        <w:b/>
        <w:sz w:val="48"/>
      </w:rPr>
    </w:pPr>
    <w:r>
      <w:rPr>
        <w:rFonts w:ascii="Arial" w:hAnsi="Arial"/>
        <w:b/>
        <w:sz w:val="48"/>
      </w:rPr>
      <w:tab/>
    </w:r>
    <w:r>
      <w:fldChar w:fldCharType="begin"/>
    </w:r>
    <w:r>
      <w:instrText xml:space="preserve"> PAGE  \* MERGEFORMAT </w:instrText>
    </w:r>
    <w:r>
      <w:fldChar w:fldCharType="separate"/>
    </w:r>
    <w:r>
      <w:rPr>
        <w:noProof/>
      </w:rPr>
      <w:t>6</w:t>
    </w:r>
    <w:r>
      <w:fldChar w:fldCharType="end"/>
    </w: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851" w:right="-851"/>
      <w:rPr>
        <w:rFonts w:ascii="Arial" w:hAnsi="Arial" w:cs="Arial"/>
        <w:b/>
        <w:sz w:val="48"/>
      </w:rPr>
    </w:pPr>
    <w:r>
      <w:rPr>
        <w:rFonts w:ascii="Arial" w:hAnsi="Arial"/>
        <w:b/>
        <w:sz w:val="48"/>
      </w:rPr>
      <w:tab/>
    </w:r>
    <w:r>
      <w:fldChar w:fldCharType="begin"/>
    </w:r>
    <w:r>
      <w:instrText xml:space="preserve"> PAGE  \* MERGEFORMAT </w:instrText>
    </w:r>
    <w:r>
      <w:fldChar w:fldCharType="separate"/>
    </w:r>
    <w:r>
      <w:rPr>
        <w:noProof/>
      </w:rPr>
      <w:t>2</w:t>
    </w:r>
    <w:r>
      <w:fldChar w:fldCharType="end"/>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851" w:right="-851"/>
      <w:rPr>
        <w:rFonts w:ascii="Arial" w:hAnsi="Arial" w:cs="Arial"/>
        <w:b/>
        <w:sz w:val="48"/>
      </w:rPr>
    </w:pPr>
    <w:r>
      <w:rPr>
        <w:rFonts w:ascii="Arial" w:hAnsi="Arial"/>
        <w:b/>
        <w:sz w:val="48"/>
      </w:rPr>
      <w:tab/>
    </w:r>
    <w:r>
      <w:fldChar w:fldCharType="begin"/>
    </w:r>
    <w:r>
      <w:instrText xml:space="preserve"> PAGE  \* MERGEFORMAT </w:instrText>
    </w:r>
    <w:r>
      <w:fldChar w:fldCharType="separate"/>
    </w:r>
    <w:r>
      <w:rPr>
        <w:noProof/>
      </w:rPr>
      <w:t>3</w:t>
    </w:r>
    <w:r>
      <w:fldChar w:fldCharType="end"/>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pPr>
      <w:r>
        <w:rPr>
          <w:rStyle w:val="FootnoteReference"/>
        </w:rPr>
        <w:footnoteRef/>
      </w:r>
      <w:r>
        <w:t xml:space="preserve"> </w:t>
      </w:r>
      <w:r>
        <w:tab/>
      </w:r>
      <w:r>
        <w:rPr>
          <w:sz w:val="18"/>
          <w:szCs w:val="18"/>
        </w:rPr>
        <w:t>ОВ L 193, 30.7.2018 г., стр. 1.</w:t>
      </w:r>
    </w:p>
  </w:footnote>
  <w:footnote w:id="3">
    <w:p>
      <w:pPr>
        <w:pStyle w:val="FootnoteText"/>
      </w:pPr>
      <w:r>
        <w:rPr>
          <w:rStyle w:val="FootnoteReference"/>
        </w:rPr>
        <w:footnoteRef/>
      </w:r>
      <w:r>
        <w:tab/>
      </w:r>
      <w:r>
        <w:rPr>
          <w:sz w:val="18"/>
          <w:szCs w:val="18"/>
        </w:rPr>
        <w:t>ОВ L 67, 7.3.2019 г.</w:t>
      </w:r>
    </w:p>
  </w:footnote>
  <w:footnote w:id="4">
    <w:p>
      <w:pPr>
        <w:pStyle w:val="FootnoteText"/>
      </w:pPr>
      <w:r>
        <w:rPr>
          <w:rStyle w:val="FootnoteReference"/>
        </w:rPr>
        <w:footnoteRef/>
      </w:r>
      <w:r>
        <w:t xml:space="preserve"> </w:t>
      </w:r>
      <w:r>
        <w:tab/>
      </w:r>
      <w:r>
        <w:rPr>
          <w:sz w:val="18"/>
        </w:rPr>
        <w:t>COM(2019) 300, 15.4.2019 г.</w:t>
      </w:r>
    </w:p>
  </w:footnote>
  <w:footnote w:id="5">
    <w:p>
      <w:pPr>
        <w:pStyle w:val="FootnoteText"/>
        <w:rPr>
          <w:highlight w:val="yellow"/>
        </w:rPr>
      </w:pPr>
      <w:r>
        <w:rPr>
          <w:rStyle w:val="FootnoteReference"/>
        </w:rPr>
        <w:footnoteRef/>
      </w:r>
      <w:r>
        <w:t xml:space="preserve"> </w:t>
      </w:r>
      <w:r>
        <w:tab/>
        <w:t xml:space="preserve">Резолюция на Европейския парламент от 12 декември 2018 г. относно втория проект на общ бюджет на Европейския съюз за финансовата 2019 година (15205/2018 – C8-0499/2018 – </w:t>
      </w:r>
      <w:hyperlink r:id="rId1" w:history="1">
        <w:r>
          <w:rPr>
            <w:rStyle w:val="Hyperlink"/>
          </w:rPr>
          <w:t>2018/2275(BUD)</w:t>
        </w:r>
      </w:hyperlink>
      <w:r>
        <w:t>).</w:t>
      </w:r>
    </w:p>
  </w:footnote>
  <w:footnote w:id="6">
    <w:p>
      <w:pPr>
        <w:pStyle w:val="FootnoteText"/>
      </w:pPr>
      <w:r>
        <w:rPr>
          <w:rStyle w:val="FootnoteReference"/>
        </w:rPr>
        <w:footnoteRef/>
      </w:r>
      <w:r>
        <w:t xml:space="preserve"> </w:t>
      </w:r>
      <w:r>
        <w:tab/>
        <w:t>COM(2019) 310, [14.5.2019 г.].</w:t>
      </w:r>
    </w:p>
  </w:footnote>
  <w:footnote w:id="7">
    <w:p>
      <w:pPr>
        <w:pStyle w:val="FootnoteText"/>
        <w:tabs>
          <w:tab w:val="left" w:pos="851"/>
        </w:tabs>
        <w:ind w:left="851" w:hanging="851"/>
      </w:pPr>
      <w:r>
        <w:rPr>
          <w:color w:val="000000" w:themeColor="text1"/>
          <w:vertAlign w:val="superscript"/>
        </w:rPr>
        <w:footnoteRef/>
      </w:r>
      <w:r>
        <w:rPr>
          <w:color w:val="000000" w:themeColor="text1"/>
        </w:rPr>
        <w:t xml:space="preserve"> </w:t>
      </w:r>
      <w:r>
        <w:rPr>
          <w:color w:val="000000" w:themeColor="text1"/>
        </w:rPr>
        <w:tab/>
        <w:t>Съобщение „Укрепване на европейската идентичност чрез образование и култура“ от 14 ноември 2017 г., COM(2017) 673.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BA72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7ED41C8C"/>
    <w:lvl w:ilvl="0">
      <w:start w:val="1"/>
      <w:numFmt w:val="decimal"/>
      <w:lvlText w:val="%1."/>
      <w:lvlJc w:val="left"/>
      <w:pPr>
        <w:tabs>
          <w:tab w:val="num" w:pos="360"/>
        </w:tabs>
        <w:ind w:left="360" w:hanging="360"/>
      </w:pPr>
    </w:lvl>
  </w:abstractNum>
  <w:abstractNum w:abstractNumId="2">
    <w:nsid w:val="00A856D4"/>
    <w:multiLevelType w:val="hybridMultilevel"/>
    <w:tmpl w:val="B07CF3C4"/>
    <w:lvl w:ilvl="0" w:tplc="3D900F3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54526B"/>
    <w:multiLevelType w:val="hybridMultilevel"/>
    <w:tmpl w:val="18D88870"/>
    <w:lvl w:ilvl="0" w:tplc="8A36BA8C">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401886"/>
    <w:multiLevelType w:val="hybridMultilevel"/>
    <w:tmpl w:val="FBA0B950"/>
    <w:lvl w:ilvl="0" w:tplc="D1CAE414">
      <w:numFmt w:val="bullet"/>
      <w:lvlText w:val="-"/>
      <w:lvlJc w:val="left"/>
      <w:pPr>
        <w:tabs>
          <w:tab w:val="num" w:pos="810"/>
        </w:tabs>
        <w:ind w:left="810" w:hanging="45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9F20AC0"/>
    <w:multiLevelType w:val="hybridMultilevel"/>
    <w:tmpl w:val="32B0E5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7936C33"/>
    <w:multiLevelType w:val="hybridMultilevel"/>
    <w:tmpl w:val="4036C0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8795CFC"/>
    <w:multiLevelType w:val="hybridMultilevel"/>
    <w:tmpl w:val="D988CAFC"/>
    <w:lvl w:ilvl="0" w:tplc="040C000F">
      <w:start w:val="1"/>
      <w:numFmt w:val="decimal"/>
      <w:lvlText w:val="%1."/>
      <w:lvlJc w:val="left"/>
      <w:pPr>
        <w:tabs>
          <w:tab w:val="num" w:pos="720"/>
        </w:tabs>
        <w:ind w:left="720" w:hanging="360"/>
      </w:pPr>
    </w:lvl>
    <w:lvl w:ilvl="1" w:tplc="94027E84">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9847826"/>
    <w:multiLevelType w:val="hybridMultilevel"/>
    <w:tmpl w:val="42E816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2F78565E"/>
    <w:multiLevelType w:val="hybridMultilevel"/>
    <w:tmpl w:val="3F76E5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31246D7F"/>
    <w:multiLevelType w:val="hybridMultilevel"/>
    <w:tmpl w:val="E1EA8208"/>
    <w:lvl w:ilvl="0" w:tplc="94027E84">
      <w:start w:val="1"/>
      <w:numFmt w:val="bullet"/>
      <w:lvlText w:val=""/>
      <w:lvlJc w:val="left"/>
      <w:pPr>
        <w:tabs>
          <w:tab w:val="num" w:pos="1437"/>
        </w:tabs>
        <w:ind w:left="1437"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3">
    <w:nsid w:val="33BE45BD"/>
    <w:multiLevelType w:val="hybridMultilevel"/>
    <w:tmpl w:val="6D2219A0"/>
    <w:lvl w:ilvl="0" w:tplc="08090001">
      <w:start w:val="1"/>
      <w:numFmt w:val="bullet"/>
      <w:lvlText w:val=""/>
      <w:lvlJc w:val="left"/>
      <w:pPr>
        <w:tabs>
          <w:tab w:val="num" w:pos="720"/>
        </w:tabs>
        <w:ind w:left="720" w:hanging="360"/>
      </w:pPr>
      <w:rPr>
        <w:rFonts w:ascii="Symbol" w:hAnsi="Symbol" w:hint="default"/>
      </w:rPr>
    </w:lvl>
    <w:lvl w:ilvl="1" w:tplc="94027E84">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4EA3932"/>
    <w:multiLevelType w:val="hybridMultilevel"/>
    <w:tmpl w:val="FA52B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nsid w:val="3F090162"/>
    <w:multiLevelType w:val="hybridMultilevel"/>
    <w:tmpl w:val="97F2B26A"/>
    <w:lvl w:ilvl="0" w:tplc="61E27E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8">
    <w:nsid w:val="41AF2082"/>
    <w:multiLevelType w:val="hybridMultilevel"/>
    <w:tmpl w:val="A672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8628B4"/>
    <w:multiLevelType w:val="hybridMultilevel"/>
    <w:tmpl w:val="7706A2BE"/>
    <w:lvl w:ilvl="0" w:tplc="3D900F36">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nsid w:val="4B5D68CF"/>
    <w:multiLevelType w:val="hybridMultilevel"/>
    <w:tmpl w:val="4CE08654"/>
    <w:lvl w:ilvl="0" w:tplc="9942206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D2B5511"/>
    <w:multiLevelType w:val="singleLevel"/>
    <w:tmpl w:val="74A09970"/>
    <w:name w:val="Heading__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3">
    <w:nsid w:val="7123216D"/>
    <w:multiLevelType w:val="hybridMultilevel"/>
    <w:tmpl w:val="F648ECEA"/>
    <w:lvl w:ilvl="0" w:tplc="AB00A56E">
      <w:start w:val="1"/>
      <w:numFmt w:val="bullet"/>
      <w:lvlText w:val=""/>
      <w:lvlJc w:val="left"/>
      <w:pPr>
        <w:tabs>
          <w:tab w:val="num" w:pos="720"/>
        </w:tabs>
        <w:ind w:left="720" w:hanging="360"/>
      </w:pPr>
      <w:rPr>
        <w:rFonts w:ascii="Symbol" w:hAnsi="Symbol" w:hint="default"/>
      </w:rPr>
    </w:lvl>
    <w:lvl w:ilvl="1" w:tplc="047A04A6" w:tentative="1">
      <w:start w:val="1"/>
      <w:numFmt w:val="bullet"/>
      <w:lvlText w:val="o"/>
      <w:lvlJc w:val="left"/>
      <w:pPr>
        <w:tabs>
          <w:tab w:val="num" w:pos="1440"/>
        </w:tabs>
        <w:ind w:left="1440" w:hanging="360"/>
      </w:pPr>
      <w:rPr>
        <w:rFonts w:ascii="Courier New" w:hAnsi="Courier New" w:cs="Courier New" w:hint="default"/>
      </w:rPr>
    </w:lvl>
    <w:lvl w:ilvl="2" w:tplc="CED8E37C" w:tentative="1">
      <w:start w:val="1"/>
      <w:numFmt w:val="bullet"/>
      <w:lvlText w:val=""/>
      <w:lvlJc w:val="left"/>
      <w:pPr>
        <w:tabs>
          <w:tab w:val="num" w:pos="2160"/>
        </w:tabs>
        <w:ind w:left="2160" w:hanging="360"/>
      </w:pPr>
      <w:rPr>
        <w:rFonts w:ascii="Wingdings" w:hAnsi="Wingdings" w:hint="default"/>
      </w:rPr>
    </w:lvl>
    <w:lvl w:ilvl="3" w:tplc="99803BDA" w:tentative="1">
      <w:start w:val="1"/>
      <w:numFmt w:val="bullet"/>
      <w:lvlText w:val=""/>
      <w:lvlJc w:val="left"/>
      <w:pPr>
        <w:tabs>
          <w:tab w:val="num" w:pos="2880"/>
        </w:tabs>
        <w:ind w:left="2880" w:hanging="360"/>
      </w:pPr>
      <w:rPr>
        <w:rFonts w:ascii="Symbol" w:hAnsi="Symbol" w:hint="default"/>
      </w:rPr>
    </w:lvl>
    <w:lvl w:ilvl="4" w:tplc="64F20456" w:tentative="1">
      <w:start w:val="1"/>
      <w:numFmt w:val="bullet"/>
      <w:lvlText w:val="o"/>
      <w:lvlJc w:val="left"/>
      <w:pPr>
        <w:tabs>
          <w:tab w:val="num" w:pos="3600"/>
        </w:tabs>
        <w:ind w:left="3600" w:hanging="360"/>
      </w:pPr>
      <w:rPr>
        <w:rFonts w:ascii="Courier New" w:hAnsi="Courier New" w:cs="Courier New" w:hint="default"/>
      </w:rPr>
    </w:lvl>
    <w:lvl w:ilvl="5" w:tplc="9D789344" w:tentative="1">
      <w:start w:val="1"/>
      <w:numFmt w:val="bullet"/>
      <w:lvlText w:val=""/>
      <w:lvlJc w:val="left"/>
      <w:pPr>
        <w:tabs>
          <w:tab w:val="num" w:pos="4320"/>
        </w:tabs>
        <w:ind w:left="4320" w:hanging="360"/>
      </w:pPr>
      <w:rPr>
        <w:rFonts w:ascii="Wingdings" w:hAnsi="Wingdings" w:hint="default"/>
      </w:rPr>
    </w:lvl>
    <w:lvl w:ilvl="6" w:tplc="440617F6" w:tentative="1">
      <w:start w:val="1"/>
      <w:numFmt w:val="bullet"/>
      <w:lvlText w:val=""/>
      <w:lvlJc w:val="left"/>
      <w:pPr>
        <w:tabs>
          <w:tab w:val="num" w:pos="5040"/>
        </w:tabs>
        <w:ind w:left="5040" w:hanging="360"/>
      </w:pPr>
      <w:rPr>
        <w:rFonts w:ascii="Symbol" w:hAnsi="Symbol" w:hint="default"/>
      </w:rPr>
    </w:lvl>
    <w:lvl w:ilvl="7" w:tplc="BA5AA682" w:tentative="1">
      <w:start w:val="1"/>
      <w:numFmt w:val="bullet"/>
      <w:lvlText w:val="o"/>
      <w:lvlJc w:val="left"/>
      <w:pPr>
        <w:tabs>
          <w:tab w:val="num" w:pos="5760"/>
        </w:tabs>
        <w:ind w:left="5760" w:hanging="360"/>
      </w:pPr>
      <w:rPr>
        <w:rFonts w:ascii="Courier New" w:hAnsi="Courier New" w:cs="Courier New" w:hint="default"/>
      </w:rPr>
    </w:lvl>
    <w:lvl w:ilvl="8" w:tplc="64C40A7C" w:tentative="1">
      <w:start w:val="1"/>
      <w:numFmt w:val="bullet"/>
      <w:lvlText w:val=""/>
      <w:lvlJc w:val="left"/>
      <w:pPr>
        <w:tabs>
          <w:tab w:val="num" w:pos="6480"/>
        </w:tabs>
        <w:ind w:left="6480" w:hanging="360"/>
      </w:pPr>
      <w:rPr>
        <w:rFonts w:ascii="Wingdings" w:hAnsi="Wingdings" w:hint="default"/>
      </w:rPr>
    </w:lvl>
  </w:abstractNum>
  <w:abstractNum w:abstractNumId="24">
    <w:nsid w:val="7BE95D7F"/>
    <w:multiLevelType w:val="multilevel"/>
    <w:tmpl w:val="F126F78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5">
    <w:nsid w:val="7C966381"/>
    <w:multiLevelType w:val="multilevel"/>
    <w:tmpl w:val="DCC8806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2"/>
  </w:num>
  <w:num w:numId="4">
    <w:abstractNumId w:val="17"/>
  </w:num>
  <w:num w:numId="5">
    <w:abstractNumId w:val="23"/>
  </w:num>
  <w:num w:numId="6">
    <w:abstractNumId w:val="17"/>
  </w:num>
  <w:num w:numId="7">
    <w:abstractNumId w:val="22"/>
  </w:num>
  <w:num w:numId="8">
    <w:abstractNumId w:val="15"/>
  </w:num>
  <w:num w:numId="9">
    <w:abstractNumId w:val="7"/>
  </w:num>
  <w:num w:numId="10">
    <w:abstractNumId w:val="13"/>
  </w:num>
  <w:num w:numId="11">
    <w:abstractNumId w:val="14"/>
  </w:num>
  <w:num w:numId="12">
    <w:abstractNumId w:val="5"/>
  </w:num>
  <w:num w:numId="13">
    <w:abstractNumId w:val="6"/>
  </w:num>
  <w:num w:numId="14">
    <w:abstractNumId w:val="9"/>
  </w:num>
  <w:num w:numId="15">
    <w:abstractNumId w:val="11"/>
  </w:num>
  <w:num w:numId="16">
    <w:abstractNumId w:val="19"/>
  </w:num>
  <w:num w:numId="17">
    <w:abstractNumId w:val="17"/>
  </w:num>
  <w:num w:numId="18">
    <w:abstractNumId w:val="21"/>
  </w:num>
  <w:num w:numId="19">
    <w:abstractNumId w:val="4"/>
  </w:num>
  <w:num w:numId="20">
    <w:abstractNumId w:val="10"/>
  </w:num>
  <w:num w:numId="21">
    <w:abstractNumId w:val="17"/>
  </w:num>
  <w:num w:numId="22">
    <w:abstractNumId w:val="17"/>
  </w:num>
  <w:num w:numId="23">
    <w:abstractNumId w:val="0"/>
  </w:num>
  <w:num w:numId="24">
    <w:abstractNumId w:val="18"/>
  </w:num>
  <w:num w:numId="25">
    <w:abstractNumId w:val="16"/>
  </w:num>
  <w:num w:numId="26">
    <w:abstractNumId w:val="3"/>
  </w:num>
  <w:num w:numId="27">
    <w:abstractNumId w:val="24"/>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DocumentType" w:val="ERR"/>
    <w:docVar w:name="FigNum" w:val="1"/>
    <w:docVar w:name="LW_CORRIGENDUM" w:val="&lt;UNUSED&gt;"/>
    <w:docVar w:name="LW_COVERPAGE_EXISTS" w:val="True"/>
    <w:docVar w:name="LW_COVERPAGE_GUID" w:val="5B1AC250-E448-4BB7-B945-D4EB66EB9C9D"/>
    <w:docVar w:name="LW_COVERPAGE_TYPE" w:val="1"/>
    <w:docVar w:name="LW_CROSSREFERENCE" w:val="&lt;UNUSED&gt;"/>
    <w:docVar w:name="LW_DocType" w:val="NORMAL"/>
    <w:docVar w:name="LW_EMISSION" w:val="15.5.2019"/>
    <w:docVar w:name="LW_EMISSION_ISODATE" w:val="2019-05-15"/>
    <w:docVar w:name="LW_EMISSION_LOCATION" w:val="BRX"/>
    <w:docVar w:name="LW_EMISSION_PREFIX" w:val="Брюксел, "/>
    <w:docVar w:name="LW_EMISSION_SUFFIX" w:val=" \u1075?."/>
    <w:docVar w:name="LW_ID_DOCTYPE_NONLW" w:val="CP-03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3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u1059?\u1074?\u1077?\u1083?\u1080?\u1095?\u1077?\u1085?\u1080?\u1077? \u1085?\u1072? \u1089?\u1088?\u1077?\u1076?\u1089?\u1090?\u1074?\u1072?\u1090?\u1072? \u1079?\u1072? \u1086?\u1089?\u1085?\u1086?\u1074?\u1085?\u1080?\u1090?\u1077? \u1087?\u1088?\u1086?\u1075?\u1088?\u1072?\u1084?\u1080? \u1079?\u1072? \u1082?\u1086?\u1085?\u1082?\u1091?\u1088?\u1077?\u1085?\u1090?\u1086?\u1089?\u1087?\u1086?\u1089?\u1086?\u1073?\u1085?\u1086?\u1089?\u1090?\u1090?\u1072? \u1085?\u1072? \u1045?\u1057?: \u8222?\u1061?\u1086?\u1088?\u1080?\u1079?\u1086?\u1085?\u1090? 2020\u8220? \u1080? \u8222?\u1045?\u1088?\u1072?\u1079?\u1098?\u1084?+\u8220?"/>
    <w:docVar w:name="LW_TITRE.OBJ.CP_PREVIOUS" w:val="&lt;UNUSED&gt;"/>
    <w:docVar w:name="LW_TYPE.DOC.CP" w:val="\u1055?\u1056?\u1054?\u1045?\u1050?\u1058? \u1053?\u1040? \u1050?\u1054?\u1056?\u1048?\u1043?\u1048?\u1056?\u1040?\u1065? \u1041?\u1070?\u1044?\u1046?\u1045?\u1058? \u8470? 2_x000b_\u1050?\u1066?\u1052? \u1054?\u1041?\u1065?\u1048?\u1071? \u1041?\u1070?\u1044?\u1046?\u1045?\u1058? \u1047?\u1040? 2019 \u1043?."/>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Pr>
      <w:sz w:val="24"/>
      <w:szCs w:val="24"/>
    </w:rPr>
  </w:style>
  <w:style w:type="paragraph" w:styleId="Heading1">
    <w:name w:val="heading 1"/>
    <w:basedOn w:val="Normal"/>
    <w:next w:val="Normal"/>
    <w:autoRedefine/>
    <w:qFormat/>
    <w:pPr>
      <w:keepNext/>
      <w:spacing w:before="240" w:after="120"/>
      <w:outlineLvl w:val="0"/>
    </w:pPr>
    <w:rPr>
      <w:rFonts w:ascii="Arial" w:hAnsi="Arial" w:cs="Arial"/>
      <w:b/>
      <w:bCs/>
      <w:kern w:val="32"/>
      <w:sz w:val="32"/>
      <w:szCs w:val="32"/>
    </w:rPr>
  </w:style>
  <w:style w:type="paragraph" w:styleId="Heading2">
    <w:name w:val="heading 2"/>
    <w:basedOn w:val="Normal"/>
    <w:next w:val="Normal"/>
    <w:autoRedefine/>
    <w:qFormat/>
    <w:pPr>
      <w:keepNext/>
      <w:spacing w:before="240" w:after="120"/>
      <w:ind w:left="720" w:hanging="720"/>
      <w:outlineLvl w:val="1"/>
    </w:pPr>
    <w:rPr>
      <w:rFonts w:ascii="Arial" w:hAnsi="Arial" w:cs="Arial"/>
      <w:b/>
      <w:bCs/>
      <w:i/>
      <w:iCs/>
      <w:sz w:val="28"/>
      <w:szCs w:val="28"/>
    </w:rPr>
  </w:style>
  <w:style w:type="paragraph" w:styleId="Heading3">
    <w:name w:val="heading 3"/>
    <w:basedOn w:val="Normal"/>
    <w:next w:val="Normal"/>
    <w:autoRedefine/>
    <w:qFormat/>
    <w:pPr>
      <w:keepNext/>
      <w:numPr>
        <w:ilvl w:val="2"/>
      </w:numPr>
      <w:tabs>
        <w:tab w:val="num" w:pos="850"/>
      </w:tabs>
      <w:spacing w:before="120" w:after="120"/>
      <w:ind w:left="850" w:hanging="850"/>
      <w:jc w:val="both"/>
      <w:outlineLvl w:val="2"/>
    </w:pPr>
    <w:rPr>
      <w:rFonts w:ascii="Arial" w:hAnsi="Arial" w:cs="Arial"/>
      <w:b/>
      <w:bCs/>
      <w:i/>
      <w:sz w:val="26"/>
      <w:szCs w:val="26"/>
    </w:rPr>
  </w:style>
  <w:style w:type="paragraph" w:styleId="Heading4">
    <w:name w:val="heading 4"/>
    <w:basedOn w:val="Normal"/>
    <w:next w:val="Normal"/>
    <w:qFormat/>
    <w:pPr>
      <w:keepNext/>
      <w:numPr>
        <w:ilvl w:val="3"/>
      </w:numPr>
      <w:tabs>
        <w:tab w:val="num" w:pos="1030"/>
      </w:tabs>
      <w:spacing w:before="120" w:after="120"/>
      <w:ind w:left="1030" w:hanging="850"/>
      <w:jc w:val="both"/>
      <w:outlineLvl w:val="3"/>
    </w:pPr>
    <w:rPr>
      <w:b/>
      <w:bCs/>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paragraph" w:styleId="FootnoteText">
    <w:name w:val="footnote text"/>
    <w:basedOn w:val="Normal"/>
    <w:link w:val="FootnoteTextChar"/>
    <w:pPr>
      <w:ind w:left="720" w:hanging="720"/>
      <w:jc w:val="both"/>
    </w:pPr>
    <w:rPr>
      <w:sz w:val="20"/>
      <w:szCs w:val="20"/>
      <w:lang w:eastAsia="de-DE"/>
    </w:rPr>
  </w:style>
  <w:style w:type="paragraph" w:styleId="TOC1">
    <w:name w:val="toc 1"/>
    <w:basedOn w:val="Normal"/>
    <w:next w:val="Normal"/>
    <w:uiPriority w:val="39"/>
    <w:pPr>
      <w:spacing w:before="120" w:after="120"/>
    </w:pPr>
    <w:rPr>
      <w:b/>
      <w:bCs/>
      <w:caps/>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uiPriority w:val="99"/>
    <w:rPr>
      <w:vertAlign w:val="superscript"/>
    </w:rPr>
  </w:style>
  <w:style w:type="paragraph" w:customStyle="1" w:styleId="Text1">
    <w:name w:val="Text 1"/>
    <w:basedOn w:val="Normal"/>
    <w:pPr>
      <w:spacing w:before="120" w:after="120"/>
      <w:ind w:left="850"/>
      <w:jc w:val="both"/>
    </w:pPr>
    <w:rPr>
      <w:lang w:eastAsia="de-DE"/>
    </w:rPr>
  </w:style>
  <w:style w:type="paragraph" w:customStyle="1" w:styleId="Tiret0">
    <w:name w:val="Tiret 0"/>
    <w:basedOn w:val="Normal"/>
    <w:pPr>
      <w:numPr>
        <w:numId w:val="1"/>
      </w:numPr>
      <w:spacing w:before="120" w:after="120"/>
      <w:jc w:val="both"/>
    </w:pPr>
    <w:rPr>
      <w:lang w:eastAsia="de-DE"/>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lang w:eastAsia="de-DE"/>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b/>
      <w:lang w:eastAsia="de-DE"/>
    </w:rPr>
  </w:style>
  <w:style w:type="paragraph" w:customStyle="1" w:styleId="ListDash">
    <w:name w:val="List Dash"/>
    <w:basedOn w:val="Normal"/>
    <w:link w:val="ListDashChar"/>
    <w:pPr>
      <w:numPr>
        <w:numId w:val="2"/>
      </w:numPr>
      <w:spacing w:before="120" w:after="120"/>
      <w:jc w:val="both"/>
    </w:pPr>
    <w:rPr>
      <w:lang w:eastAsia="de-DE"/>
    </w:rPr>
  </w:style>
  <w:style w:type="paragraph" w:styleId="TOCHeading">
    <w:name w:val="TOC Heading"/>
    <w:basedOn w:val="Normal"/>
    <w:next w:val="Normal"/>
    <w:qFormat/>
    <w:pPr>
      <w:spacing w:before="120" w:after="240"/>
      <w:jc w:val="center"/>
    </w:pPr>
    <w:rPr>
      <w:b/>
      <w:sz w:val="28"/>
      <w:lang w:eastAsia="de-DE"/>
    </w:rPr>
  </w:style>
  <w:style w:type="paragraph" w:customStyle="1" w:styleId="Prliminairetitre">
    <w:name w:val="Préliminaire titre"/>
    <w:basedOn w:val="Normal"/>
    <w:next w:val="Normal"/>
    <w:pPr>
      <w:spacing w:before="360" w:after="360"/>
      <w:jc w:val="center"/>
    </w:pPr>
    <w:rPr>
      <w:b/>
      <w:lang w:eastAsia="de-DE"/>
    </w:rPr>
  </w:style>
  <w:style w:type="paragraph" w:customStyle="1" w:styleId="Prliminairetype">
    <w:name w:val="Préliminaire type"/>
    <w:basedOn w:val="Normal"/>
    <w:next w:val="Normal"/>
    <w:pPr>
      <w:spacing w:before="360"/>
      <w:jc w:val="center"/>
    </w:pPr>
    <w:rPr>
      <w:b/>
      <w:lang w:eastAsia="de-DE"/>
    </w:rPr>
  </w:style>
  <w:style w:type="character" w:styleId="Hyperlink">
    <w:name w:val="Hyperlink"/>
    <w:uiPriority w:val="99"/>
    <w:rPr>
      <w:color w:val="0000FF"/>
      <w:u w:val="singl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120" w:after="120"/>
      <w:jc w:val="both"/>
    </w:pPr>
    <w:rPr>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HeaderCoverPage">
    <w:name w:val="Header Cover Page"/>
    <w:basedOn w:val="Normal"/>
    <w:pPr>
      <w:tabs>
        <w:tab w:val="center" w:pos="4535"/>
        <w:tab w:val="right" w:pos="9071"/>
      </w:tabs>
      <w:spacing w:after="120"/>
      <w:jc w:val="both"/>
    </w:p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ListBullet">
    <w:name w:val="List Bullet"/>
    <w:basedOn w:val="Normal"/>
    <w:pPr>
      <w:numPr>
        <w:numId w:val="7"/>
      </w:numPr>
      <w:spacing w:before="120" w:after="120"/>
      <w:jc w:val="both"/>
    </w:pPr>
    <w:rPr>
      <w:lang w:eastAsia="de-DE"/>
    </w:rPr>
  </w:style>
  <w:style w:type="paragraph" w:customStyle="1" w:styleId="ListDash2">
    <w:name w:val="List Dash 2"/>
    <w:basedOn w:val="Normal"/>
    <w:pPr>
      <w:tabs>
        <w:tab w:val="num" w:pos="1134"/>
      </w:tabs>
      <w:spacing w:before="120" w:after="120"/>
      <w:ind w:left="1134" w:hanging="283"/>
      <w:jc w:val="both"/>
    </w:pPr>
    <w:rPr>
      <w:lang w:eastAsia="de-DE"/>
    </w:rPr>
  </w:style>
  <w:style w:type="paragraph" w:customStyle="1" w:styleId="ListBullet1">
    <w:name w:val="List Bullet 1"/>
    <w:basedOn w:val="Text1"/>
    <w:pPr>
      <w:numPr>
        <w:numId w:val="8"/>
      </w:numPr>
      <w:spacing w:before="0" w:after="240"/>
    </w:pPr>
    <w:rPr>
      <w:szCs w:val="20"/>
      <w:lang w:eastAsia="en-US"/>
    </w:rPr>
  </w:style>
  <w:style w:type="paragraph" w:styleId="ListBullet2">
    <w:name w:val="List Bullet 2"/>
    <w:basedOn w:val="Normal"/>
    <w:pPr>
      <w:numPr>
        <w:numId w:val="14"/>
      </w:numPr>
      <w:spacing w:after="240"/>
      <w:jc w:val="both"/>
    </w:pPr>
    <w:rPr>
      <w:szCs w:val="20"/>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ypedudocument">
    <w:name w:val="Type du document"/>
    <w:basedOn w:val="Normal"/>
    <w:next w:val="Titreobjet"/>
    <w:pPr>
      <w:spacing w:before="360"/>
      <w:jc w:val="center"/>
    </w:pPr>
    <w:rPr>
      <w:b/>
      <w:lang w:eastAsia="en-US"/>
    </w:rPr>
  </w:style>
  <w:style w:type="paragraph" w:customStyle="1" w:styleId="Titreobjet">
    <w:name w:val="Titre objet"/>
    <w:basedOn w:val="Normal"/>
    <w:next w:val="Normal"/>
    <w:pPr>
      <w:spacing w:before="360" w:after="360"/>
      <w:jc w:val="center"/>
    </w:pPr>
    <w:rPr>
      <w:b/>
      <w:lang w:eastAsia="en-US"/>
    </w:rPr>
  </w:style>
  <w:style w:type="character" w:styleId="Emphasis">
    <w:name w:val="Emphasis"/>
    <w:qFormat/>
    <w:rPr>
      <w:i/>
      <w:iCs/>
    </w:rPr>
  </w:style>
  <w:style w:type="paragraph" w:styleId="NormalWeb">
    <w:name w:val="Normal (Web)"/>
    <w:basedOn w:val="Normal"/>
    <w:pPr>
      <w:spacing w:before="100" w:beforeAutospacing="1" w:after="100" w:afterAutospacing="1"/>
    </w:pPr>
  </w:style>
  <w:style w:type="paragraph" w:customStyle="1" w:styleId="Text2">
    <w:name w:val="Text 2"/>
    <w:basedOn w:val="Normal"/>
    <w:pPr>
      <w:spacing w:before="120" w:after="120"/>
      <w:ind w:left="850"/>
      <w:jc w:val="both"/>
    </w:pPr>
    <w:rPr>
      <w:lang w:eastAsia="en-US"/>
    </w:rPr>
  </w:style>
  <w:style w:type="paragraph" w:styleId="BalloonText">
    <w:name w:val="Balloon Text"/>
    <w:basedOn w:val="Normal"/>
    <w:semiHidden/>
    <w:rPr>
      <w:rFonts w:ascii="Tahoma" w:hAnsi="Tahoma" w:cs="Tahoma"/>
      <w:sz w:val="16"/>
      <w:szCs w:val="16"/>
    </w:rPr>
  </w:style>
  <w:style w:type="paragraph" w:styleId="ListNumber">
    <w:name w:val="List Number"/>
    <w:basedOn w:val="Normal"/>
    <w:pPr>
      <w:numPr>
        <w:numId w:val="28"/>
      </w:numPr>
      <w:spacing w:before="120" w:after="120"/>
      <w:jc w:val="both"/>
    </w:pPr>
    <w:rPr>
      <w:lang w:eastAsia="de-DE"/>
    </w:rPr>
  </w:style>
  <w:style w:type="paragraph" w:customStyle="1" w:styleId="ListNumberLevel2">
    <w:name w:val="List Number (Level 2)"/>
    <w:basedOn w:val="Normal"/>
    <w:pPr>
      <w:numPr>
        <w:ilvl w:val="1"/>
        <w:numId w:val="28"/>
      </w:numPr>
      <w:spacing w:before="120" w:after="120"/>
      <w:jc w:val="both"/>
    </w:pPr>
    <w:rPr>
      <w:lang w:eastAsia="de-DE"/>
    </w:rPr>
  </w:style>
  <w:style w:type="paragraph" w:customStyle="1" w:styleId="ListNumberLevel3">
    <w:name w:val="List Number (Level 3)"/>
    <w:basedOn w:val="Normal"/>
    <w:pPr>
      <w:numPr>
        <w:ilvl w:val="2"/>
        <w:numId w:val="28"/>
      </w:numPr>
      <w:spacing w:before="120" w:after="120"/>
      <w:jc w:val="both"/>
    </w:pPr>
    <w:rPr>
      <w:lang w:eastAsia="de-DE"/>
    </w:rPr>
  </w:style>
  <w:style w:type="paragraph" w:customStyle="1" w:styleId="ListNumberLevel4">
    <w:name w:val="List Number (Level 4)"/>
    <w:basedOn w:val="Normal"/>
    <w:pPr>
      <w:numPr>
        <w:ilvl w:val="3"/>
        <w:numId w:val="28"/>
      </w:numPr>
      <w:spacing w:before="120" w:after="120"/>
      <w:jc w:val="both"/>
    </w:pPr>
    <w:rPr>
      <w:lang w:eastAsia="de-DE"/>
    </w:rPr>
  </w:style>
  <w:style w:type="character" w:customStyle="1" w:styleId="ListDashChar">
    <w:name w:val="List Dash Char"/>
    <w:link w:val="ListDash"/>
    <w:rPr>
      <w:sz w:val="24"/>
      <w:szCs w:val="24"/>
      <w:lang w:eastAsia="de-DE"/>
    </w:rPr>
  </w:style>
  <w:style w:type="paragraph" w:customStyle="1" w:styleId="StyleManualHeading2Italic">
    <w:name w:val="Style Manual Heading 2 + Italic"/>
    <w:basedOn w:val="ManualHeading2"/>
    <w:autoRedefine/>
    <w:pPr>
      <w:spacing w:before="160" w:after="160"/>
      <w:ind w:left="851" w:hanging="851"/>
    </w:pPr>
    <w:rPr>
      <w:bCs/>
      <w:i/>
      <w:iCs/>
    </w:rPr>
  </w:style>
  <w:style w:type="character" w:customStyle="1" w:styleId="FootnoteTextChar">
    <w:name w:val="Footnote Text Char"/>
    <w:link w:val="FootnoteText"/>
    <w:rPr>
      <w:lang w:eastAsia="de-DE"/>
    </w:rPr>
  </w:style>
  <w:style w:type="paragraph" w:customStyle="1" w:styleId="NormalCentered">
    <w:name w:val="Normal Centered"/>
    <w:basedOn w:val="Normal"/>
    <w:pPr>
      <w:spacing w:before="120" w:after="120"/>
      <w:jc w:val="center"/>
    </w:pPr>
    <w:rPr>
      <w:lang w:eastAsia="de-DE"/>
    </w:rPr>
  </w:style>
  <w:style w:type="paragraph" w:customStyle="1" w:styleId="NormalRight">
    <w:name w:val="Normal Right"/>
    <w:basedOn w:val="Normal"/>
    <w:pPr>
      <w:spacing w:before="120" w:after="120"/>
      <w:jc w:val="right"/>
    </w:pPr>
    <w:rPr>
      <w:lang w:eastAsia="de-DE"/>
    </w:rPr>
  </w:style>
  <w:style w:type="paragraph" w:customStyle="1" w:styleId="NormalLeft">
    <w:name w:val="Normal Left"/>
    <w:basedOn w:val="Normal"/>
    <w:pPr>
      <w:spacing w:before="120" w:after="120"/>
    </w:pPr>
  </w:style>
  <w:style w:type="paragraph" w:customStyle="1" w:styleId="Point0number">
    <w:name w:val="Point 0 (number)"/>
    <w:basedOn w:val="Normal"/>
    <w:uiPriority w:val="99"/>
    <w:pPr>
      <w:numPr>
        <w:numId w:val="27"/>
      </w:numPr>
      <w:spacing w:before="120" w:after="120"/>
      <w:jc w:val="both"/>
    </w:pPr>
    <w:rPr>
      <w:lang w:eastAsia="en-US"/>
    </w:rPr>
  </w:style>
  <w:style w:type="paragraph" w:customStyle="1" w:styleId="Point1number">
    <w:name w:val="Point 1 (number)"/>
    <w:basedOn w:val="Normal"/>
    <w:uiPriority w:val="99"/>
    <w:pPr>
      <w:numPr>
        <w:ilvl w:val="2"/>
        <w:numId w:val="27"/>
      </w:numPr>
      <w:spacing w:before="120" w:after="120"/>
      <w:jc w:val="both"/>
    </w:pPr>
    <w:rPr>
      <w:lang w:eastAsia="en-US"/>
    </w:rPr>
  </w:style>
  <w:style w:type="paragraph" w:customStyle="1" w:styleId="Point2number">
    <w:name w:val="Point 2 (number)"/>
    <w:basedOn w:val="Normal"/>
    <w:uiPriority w:val="99"/>
    <w:pPr>
      <w:numPr>
        <w:ilvl w:val="4"/>
        <w:numId w:val="27"/>
      </w:numPr>
      <w:spacing w:before="120" w:after="120"/>
      <w:jc w:val="both"/>
    </w:pPr>
    <w:rPr>
      <w:lang w:eastAsia="en-US"/>
    </w:rPr>
  </w:style>
  <w:style w:type="paragraph" w:customStyle="1" w:styleId="Point3number">
    <w:name w:val="Point 3 (number)"/>
    <w:basedOn w:val="Normal"/>
    <w:uiPriority w:val="99"/>
    <w:pPr>
      <w:numPr>
        <w:ilvl w:val="6"/>
        <w:numId w:val="27"/>
      </w:numPr>
      <w:spacing w:before="120" w:after="120"/>
      <w:jc w:val="both"/>
    </w:pPr>
    <w:rPr>
      <w:lang w:eastAsia="en-US"/>
    </w:rPr>
  </w:style>
  <w:style w:type="paragraph" w:customStyle="1" w:styleId="Point0letter">
    <w:name w:val="Point 0 (letter)"/>
    <w:basedOn w:val="Normal"/>
    <w:uiPriority w:val="99"/>
    <w:pPr>
      <w:numPr>
        <w:ilvl w:val="1"/>
        <w:numId w:val="27"/>
      </w:numPr>
      <w:spacing w:before="120" w:after="120"/>
      <w:jc w:val="both"/>
    </w:pPr>
    <w:rPr>
      <w:lang w:eastAsia="en-US"/>
    </w:rPr>
  </w:style>
  <w:style w:type="paragraph" w:customStyle="1" w:styleId="Point1letter">
    <w:name w:val="Point 1 (letter)"/>
    <w:basedOn w:val="Normal"/>
    <w:uiPriority w:val="99"/>
    <w:pPr>
      <w:numPr>
        <w:ilvl w:val="3"/>
        <w:numId w:val="27"/>
      </w:numPr>
      <w:spacing w:before="120" w:after="120"/>
      <w:jc w:val="both"/>
    </w:pPr>
    <w:rPr>
      <w:lang w:eastAsia="en-US"/>
    </w:rPr>
  </w:style>
  <w:style w:type="paragraph" w:customStyle="1" w:styleId="Point2letter">
    <w:name w:val="Point 2 (letter)"/>
    <w:basedOn w:val="Normal"/>
    <w:uiPriority w:val="99"/>
    <w:pPr>
      <w:numPr>
        <w:ilvl w:val="5"/>
        <w:numId w:val="27"/>
      </w:numPr>
      <w:spacing w:before="120" w:after="120"/>
      <w:jc w:val="both"/>
    </w:pPr>
    <w:rPr>
      <w:lang w:eastAsia="en-US"/>
    </w:rPr>
  </w:style>
  <w:style w:type="paragraph" w:customStyle="1" w:styleId="Point3letter">
    <w:name w:val="Point 3 (letter)"/>
    <w:basedOn w:val="Normal"/>
    <w:uiPriority w:val="99"/>
    <w:pPr>
      <w:numPr>
        <w:ilvl w:val="7"/>
        <w:numId w:val="27"/>
      </w:numPr>
      <w:spacing w:before="120" w:after="120"/>
      <w:jc w:val="both"/>
    </w:pPr>
    <w:rPr>
      <w:lang w:eastAsia="en-US"/>
    </w:rPr>
  </w:style>
  <w:style w:type="paragraph" w:customStyle="1" w:styleId="Point4letter">
    <w:name w:val="Point 4 (letter)"/>
    <w:basedOn w:val="Normal"/>
    <w:uiPriority w:val="99"/>
    <w:pPr>
      <w:numPr>
        <w:ilvl w:val="8"/>
        <w:numId w:val="27"/>
      </w:numPr>
      <w:spacing w:before="120" w:after="120"/>
      <w:jc w:val="both"/>
    </w:pPr>
    <w:rPr>
      <w:lang w:eastAsia="en-US"/>
    </w:rPr>
  </w:style>
  <w:style w:type="paragraph" w:customStyle="1" w:styleId="NumPar1">
    <w:name w:val="NumPar 1"/>
    <w:basedOn w:val="Normal"/>
    <w:next w:val="Text1"/>
    <w:pPr>
      <w:numPr>
        <w:numId w:val="36"/>
      </w:numPr>
      <w:spacing w:before="120" w:after="120"/>
      <w:jc w:val="both"/>
    </w:pPr>
    <w:rPr>
      <w:lang w:eastAsia="de-DE"/>
    </w:rPr>
  </w:style>
  <w:style w:type="paragraph" w:customStyle="1" w:styleId="NumPar2">
    <w:name w:val="NumPar 2"/>
    <w:basedOn w:val="Normal"/>
    <w:next w:val="Normal"/>
    <w:pPr>
      <w:numPr>
        <w:ilvl w:val="1"/>
        <w:numId w:val="36"/>
      </w:numPr>
      <w:spacing w:before="120" w:after="120"/>
      <w:jc w:val="both"/>
    </w:pPr>
    <w:rPr>
      <w:lang w:eastAsia="de-DE"/>
    </w:rPr>
  </w:style>
  <w:style w:type="paragraph" w:customStyle="1" w:styleId="NumPar3">
    <w:name w:val="NumPar 3"/>
    <w:basedOn w:val="Normal"/>
    <w:next w:val="Normal"/>
    <w:pPr>
      <w:numPr>
        <w:ilvl w:val="2"/>
        <w:numId w:val="36"/>
      </w:numPr>
      <w:spacing w:before="120" w:after="120"/>
      <w:jc w:val="both"/>
    </w:pPr>
    <w:rPr>
      <w:lang w:eastAsia="de-DE"/>
    </w:rPr>
  </w:style>
  <w:style w:type="paragraph" w:customStyle="1" w:styleId="NumPar4">
    <w:name w:val="NumPar 4"/>
    <w:basedOn w:val="Normal"/>
    <w:next w:val="Normal"/>
    <w:pPr>
      <w:numPr>
        <w:ilvl w:val="3"/>
        <w:numId w:val="36"/>
      </w:numPr>
      <w:spacing w:before="120" w:after="120"/>
      <w:jc w:val="both"/>
    </w:pPr>
    <w:rPr>
      <w:lang w:eastAsia="de-DE"/>
    </w:rPr>
  </w:style>
  <w:style w:type="paragraph" w:customStyle="1" w:styleId="Exposdesmotifstitre">
    <w:name w:val="Exposé des motifs titre"/>
    <w:basedOn w:val="Normal"/>
    <w:next w:val="Normal"/>
    <w:pPr>
      <w:spacing w:before="120" w:after="120"/>
      <w:jc w:val="center"/>
    </w:pPr>
    <w:rPr>
      <w:b/>
      <w:u w:val="single"/>
      <w:lang w:eastAsia="de-DE"/>
    </w:rPr>
  </w:style>
  <w:style w:type="character" w:styleId="CommentReference">
    <w:name w:val="annotation reference"/>
    <w:rPr>
      <w:sz w:val="16"/>
      <w:szCs w:val="16"/>
    </w:rPr>
  </w:style>
  <w:style w:type="paragraph" w:customStyle="1" w:styleId="Statut">
    <w:name w:val="Statut"/>
    <w:basedOn w:val="Normal"/>
    <w:next w:val="Typedudocument"/>
    <w:pPr>
      <w:spacing w:before="360"/>
      <w:jc w:val="center"/>
    </w:pPr>
    <w:rPr>
      <w:rFonts w:eastAsia="Calibri"/>
      <w:szCs w:val="22"/>
      <w:lang w:eastAsia="en-US"/>
    </w:rPr>
  </w:style>
  <w:style w:type="paragraph" w:customStyle="1" w:styleId="Declassification">
    <w:name w:val="Declassification"/>
    <w:basedOn w:val="Normal"/>
    <w:next w:val="Normal"/>
    <w:pPr>
      <w:jc w:val="both"/>
    </w:pPr>
    <w:rPr>
      <w:rFonts w:eastAsiaTheme="minorHAnsi"/>
      <w:szCs w:val="22"/>
      <w:lang w:eastAsia="en-US"/>
    </w:rPr>
  </w:style>
  <w:style w:type="character" w:customStyle="1" w:styleId="HeaderChar">
    <w:name w:val="Header Char"/>
    <w:basedOn w:val="DefaultParagraphFont"/>
    <w:link w:val="Header"/>
    <w:uiPriority w:val="99"/>
    <w:rPr>
      <w:rFonts w:eastAsiaTheme="minorHAnsi"/>
      <w:sz w:val="24"/>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Revision">
    <w:name w:val="Revision"/>
    <w:hidden/>
    <w:uiPriority w:val="99"/>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Pr>
      <w:sz w:val="24"/>
      <w:szCs w:val="24"/>
    </w:rPr>
  </w:style>
  <w:style w:type="paragraph" w:styleId="Heading1">
    <w:name w:val="heading 1"/>
    <w:basedOn w:val="Normal"/>
    <w:next w:val="Normal"/>
    <w:autoRedefine/>
    <w:qFormat/>
    <w:pPr>
      <w:keepNext/>
      <w:spacing w:before="240" w:after="120"/>
      <w:outlineLvl w:val="0"/>
    </w:pPr>
    <w:rPr>
      <w:rFonts w:ascii="Arial" w:hAnsi="Arial" w:cs="Arial"/>
      <w:b/>
      <w:bCs/>
      <w:kern w:val="32"/>
      <w:sz w:val="32"/>
      <w:szCs w:val="32"/>
    </w:rPr>
  </w:style>
  <w:style w:type="paragraph" w:styleId="Heading2">
    <w:name w:val="heading 2"/>
    <w:basedOn w:val="Normal"/>
    <w:next w:val="Normal"/>
    <w:autoRedefine/>
    <w:qFormat/>
    <w:pPr>
      <w:keepNext/>
      <w:spacing w:before="240" w:after="120"/>
      <w:ind w:left="720" w:hanging="720"/>
      <w:outlineLvl w:val="1"/>
    </w:pPr>
    <w:rPr>
      <w:rFonts w:ascii="Arial" w:hAnsi="Arial" w:cs="Arial"/>
      <w:b/>
      <w:bCs/>
      <w:i/>
      <w:iCs/>
      <w:sz w:val="28"/>
      <w:szCs w:val="28"/>
    </w:rPr>
  </w:style>
  <w:style w:type="paragraph" w:styleId="Heading3">
    <w:name w:val="heading 3"/>
    <w:basedOn w:val="Normal"/>
    <w:next w:val="Normal"/>
    <w:autoRedefine/>
    <w:qFormat/>
    <w:pPr>
      <w:keepNext/>
      <w:numPr>
        <w:ilvl w:val="2"/>
      </w:numPr>
      <w:tabs>
        <w:tab w:val="num" w:pos="850"/>
      </w:tabs>
      <w:spacing w:before="120" w:after="120"/>
      <w:ind w:left="850" w:hanging="850"/>
      <w:jc w:val="both"/>
      <w:outlineLvl w:val="2"/>
    </w:pPr>
    <w:rPr>
      <w:rFonts w:ascii="Arial" w:hAnsi="Arial" w:cs="Arial"/>
      <w:b/>
      <w:bCs/>
      <w:i/>
      <w:sz w:val="26"/>
      <w:szCs w:val="26"/>
    </w:rPr>
  </w:style>
  <w:style w:type="paragraph" w:styleId="Heading4">
    <w:name w:val="heading 4"/>
    <w:basedOn w:val="Normal"/>
    <w:next w:val="Normal"/>
    <w:qFormat/>
    <w:pPr>
      <w:keepNext/>
      <w:numPr>
        <w:ilvl w:val="3"/>
      </w:numPr>
      <w:tabs>
        <w:tab w:val="num" w:pos="1030"/>
      </w:tabs>
      <w:spacing w:before="120" w:after="120"/>
      <w:ind w:left="1030" w:hanging="850"/>
      <w:jc w:val="both"/>
      <w:outlineLvl w:val="3"/>
    </w:pPr>
    <w:rPr>
      <w:b/>
      <w:bCs/>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paragraph" w:styleId="FootnoteText">
    <w:name w:val="footnote text"/>
    <w:basedOn w:val="Normal"/>
    <w:link w:val="FootnoteTextChar"/>
    <w:pPr>
      <w:ind w:left="720" w:hanging="720"/>
      <w:jc w:val="both"/>
    </w:pPr>
    <w:rPr>
      <w:sz w:val="20"/>
      <w:szCs w:val="20"/>
      <w:lang w:eastAsia="de-DE"/>
    </w:rPr>
  </w:style>
  <w:style w:type="paragraph" w:styleId="TOC1">
    <w:name w:val="toc 1"/>
    <w:basedOn w:val="Normal"/>
    <w:next w:val="Normal"/>
    <w:uiPriority w:val="39"/>
    <w:pPr>
      <w:spacing w:before="120" w:after="120"/>
    </w:pPr>
    <w:rPr>
      <w:b/>
      <w:bCs/>
      <w:caps/>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uiPriority w:val="99"/>
    <w:rPr>
      <w:vertAlign w:val="superscript"/>
    </w:rPr>
  </w:style>
  <w:style w:type="paragraph" w:customStyle="1" w:styleId="Text1">
    <w:name w:val="Text 1"/>
    <w:basedOn w:val="Normal"/>
    <w:pPr>
      <w:spacing w:before="120" w:after="120"/>
      <w:ind w:left="850"/>
      <w:jc w:val="both"/>
    </w:pPr>
    <w:rPr>
      <w:lang w:eastAsia="de-DE"/>
    </w:rPr>
  </w:style>
  <w:style w:type="paragraph" w:customStyle="1" w:styleId="Tiret0">
    <w:name w:val="Tiret 0"/>
    <w:basedOn w:val="Normal"/>
    <w:pPr>
      <w:numPr>
        <w:numId w:val="1"/>
      </w:numPr>
      <w:spacing w:before="120" w:after="120"/>
      <w:jc w:val="both"/>
    </w:pPr>
    <w:rPr>
      <w:lang w:eastAsia="de-DE"/>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lang w:eastAsia="de-DE"/>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b/>
      <w:lang w:eastAsia="de-DE"/>
    </w:rPr>
  </w:style>
  <w:style w:type="paragraph" w:customStyle="1" w:styleId="ListDash">
    <w:name w:val="List Dash"/>
    <w:basedOn w:val="Normal"/>
    <w:link w:val="ListDashChar"/>
    <w:pPr>
      <w:numPr>
        <w:numId w:val="2"/>
      </w:numPr>
      <w:spacing w:before="120" w:after="120"/>
      <w:jc w:val="both"/>
    </w:pPr>
    <w:rPr>
      <w:lang w:eastAsia="de-DE"/>
    </w:rPr>
  </w:style>
  <w:style w:type="paragraph" w:styleId="TOCHeading">
    <w:name w:val="TOC Heading"/>
    <w:basedOn w:val="Normal"/>
    <w:next w:val="Normal"/>
    <w:qFormat/>
    <w:pPr>
      <w:spacing w:before="120" w:after="240"/>
      <w:jc w:val="center"/>
    </w:pPr>
    <w:rPr>
      <w:b/>
      <w:sz w:val="28"/>
      <w:lang w:eastAsia="de-DE"/>
    </w:rPr>
  </w:style>
  <w:style w:type="paragraph" w:customStyle="1" w:styleId="Prliminairetitre">
    <w:name w:val="Préliminaire titre"/>
    <w:basedOn w:val="Normal"/>
    <w:next w:val="Normal"/>
    <w:pPr>
      <w:spacing w:before="360" w:after="360"/>
      <w:jc w:val="center"/>
    </w:pPr>
    <w:rPr>
      <w:b/>
      <w:lang w:eastAsia="de-DE"/>
    </w:rPr>
  </w:style>
  <w:style w:type="paragraph" w:customStyle="1" w:styleId="Prliminairetype">
    <w:name w:val="Préliminaire type"/>
    <w:basedOn w:val="Normal"/>
    <w:next w:val="Normal"/>
    <w:pPr>
      <w:spacing w:before="360"/>
      <w:jc w:val="center"/>
    </w:pPr>
    <w:rPr>
      <w:b/>
      <w:lang w:eastAsia="de-DE"/>
    </w:rPr>
  </w:style>
  <w:style w:type="character" w:styleId="Hyperlink">
    <w:name w:val="Hyperlink"/>
    <w:uiPriority w:val="99"/>
    <w:rPr>
      <w:color w:val="0000FF"/>
      <w:u w:val="singl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120" w:after="120"/>
      <w:jc w:val="both"/>
    </w:pPr>
    <w:rPr>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HeaderCoverPage">
    <w:name w:val="Header Cover Page"/>
    <w:basedOn w:val="Normal"/>
    <w:pPr>
      <w:tabs>
        <w:tab w:val="center" w:pos="4535"/>
        <w:tab w:val="right" w:pos="9071"/>
      </w:tabs>
      <w:spacing w:after="120"/>
      <w:jc w:val="both"/>
    </w:p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ListBullet">
    <w:name w:val="List Bullet"/>
    <w:basedOn w:val="Normal"/>
    <w:pPr>
      <w:numPr>
        <w:numId w:val="7"/>
      </w:numPr>
      <w:spacing w:before="120" w:after="120"/>
      <w:jc w:val="both"/>
    </w:pPr>
    <w:rPr>
      <w:lang w:eastAsia="de-DE"/>
    </w:rPr>
  </w:style>
  <w:style w:type="paragraph" w:customStyle="1" w:styleId="ListDash2">
    <w:name w:val="List Dash 2"/>
    <w:basedOn w:val="Normal"/>
    <w:pPr>
      <w:tabs>
        <w:tab w:val="num" w:pos="1134"/>
      </w:tabs>
      <w:spacing w:before="120" w:after="120"/>
      <w:ind w:left="1134" w:hanging="283"/>
      <w:jc w:val="both"/>
    </w:pPr>
    <w:rPr>
      <w:lang w:eastAsia="de-DE"/>
    </w:rPr>
  </w:style>
  <w:style w:type="paragraph" w:customStyle="1" w:styleId="ListBullet1">
    <w:name w:val="List Bullet 1"/>
    <w:basedOn w:val="Text1"/>
    <w:pPr>
      <w:numPr>
        <w:numId w:val="8"/>
      </w:numPr>
      <w:spacing w:before="0" w:after="240"/>
    </w:pPr>
    <w:rPr>
      <w:szCs w:val="20"/>
      <w:lang w:eastAsia="en-US"/>
    </w:rPr>
  </w:style>
  <w:style w:type="paragraph" w:styleId="ListBullet2">
    <w:name w:val="List Bullet 2"/>
    <w:basedOn w:val="Normal"/>
    <w:pPr>
      <w:numPr>
        <w:numId w:val="14"/>
      </w:numPr>
      <w:spacing w:after="240"/>
      <w:jc w:val="both"/>
    </w:pPr>
    <w:rPr>
      <w:szCs w:val="20"/>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ypedudocument">
    <w:name w:val="Type du document"/>
    <w:basedOn w:val="Normal"/>
    <w:next w:val="Titreobjet"/>
    <w:pPr>
      <w:spacing w:before="360"/>
      <w:jc w:val="center"/>
    </w:pPr>
    <w:rPr>
      <w:b/>
      <w:lang w:eastAsia="en-US"/>
    </w:rPr>
  </w:style>
  <w:style w:type="paragraph" w:customStyle="1" w:styleId="Titreobjet">
    <w:name w:val="Titre objet"/>
    <w:basedOn w:val="Normal"/>
    <w:next w:val="Normal"/>
    <w:pPr>
      <w:spacing w:before="360" w:after="360"/>
      <w:jc w:val="center"/>
    </w:pPr>
    <w:rPr>
      <w:b/>
      <w:lang w:eastAsia="en-US"/>
    </w:rPr>
  </w:style>
  <w:style w:type="character" w:styleId="Emphasis">
    <w:name w:val="Emphasis"/>
    <w:qFormat/>
    <w:rPr>
      <w:i/>
      <w:iCs/>
    </w:rPr>
  </w:style>
  <w:style w:type="paragraph" w:styleId="NormalWeb">
    <w:name w:val="Normal (Web)"/>
    <w:basedOn w:val="Normal"/>
    <w:pPr>
      <w:spacing w:before="100" w:beforeAutospacing="1" w:after="100" w:afterAutospacing="1"/>
    </w:pPr>
  </w:style>
  <w:style w:type="paragraph" w:customStyle="1" w:styleId="Text2">
    <w:name w:val="Text 2"/>
    <w:basedOn w:val="Normal"/>
    <w:pPr>
      <w:spacing w:before="120" w:after="120"/>
      <w:ind w:left="850"/>
      <w:jc w:val="both"/>
    </w:pPr>
    <w:rPr>
      <w:lang w:eastAsia="en-US"/>
    </w:rPr>
  </w:style>
  <w:style w:type="paragraph" w:styleId="BalloonText">
    <w:name w:val="Balloon Text"/>
    <w:basedOn w:val="Normal"/>
    <w:semiHidden/>
    <w:rPr>
      <w:rFonts w:ascii="Tahoma" w:hAnsi="Tahoma" w:cs="Tahoma"/>
      <w:sz w:val="16"/>
      <w:szCs w:val="16"/>
    </w:rPr>
  </w:style>
  <w:style w:type="paragraph" w:styleId="ListNumber">
    <w:name w:val="List Number"/>
    <w:basedOn w:val="Normal"/>
    <w:pPr>
      <w:numPr>
        <w:numId w:val="28"/>
      </w:numPr>
      <w:spacing w:before="120" w:after="120"/>
      <w:jc w:val="both"/>
    </w:pPr>
    <w:rPr>
      <w:lang w:eastAsia="de-DE"/>
    </w:rPr>
  </w:style>
  <w:style w:type="paragraph" w:customStyle="1" w:styleId="ListNumberLevel2">
    <w:name w:val="List Number (Level 2)"/>
    <w:basedOn w:val="Normal"/>
    <w:pPr>
      <w:numPr>
        <w:ilvl w:val="1"/>
        <w:numId w:val="28"/>
      </w:numPr>
      <w:spacing w:before="120" w:after="120"/>
      <w:jc w:val="both"/>
    </w:pPr>
    <w:rPr>
      <w:lang w:eastAsia="de-DE"/>
    </w:rPr>
  </w:style>
  <w:style w:type="paragraph" w:customStyle="1" w:styleId="ListNumberLevel3">
    <w:name w:val="List Number (Level 3)"/>
    <w:basedOn w:val="Normal"/>
    <w:pPr>
      <w:numPr>
        <w:ilvl w:val="2"/>
        <w:numId w:val="28"/>
      </w:numPr>
      <w:spacing w:before="120" w:after="120"/>
      <w:jc w:val="both"/>
    </w:pPr>
    <w:rPr>
      <w:lang w:eastAsia="de-DE"/>
    </w:rPr>
  </w:style>
  <w:style w:type="paragraph" w:customStyle="1" w:styleId="ListNumberLevel4">
    <w:name w:val="List Number (Level 4)"/>
    <w:basedOn w:val="Normal"/>
    <w:pPr>
      <w:numPr>
        <w:ilvl w:val="3"/>
        <w:numId w:val="28"/>
      </w:numPr>
      <w:spacing w:before="120" w:after="120"/>
      <w:jc w:val="both"/>
    </w:pPr>
    <w:rPr>
      <w:lang w:eastAsia="de-DE"/>
    </w:rPr>
  </w:style>
  <w:style w:type="character" w:customStyle="1" w:styleId="ListDashChar">
    <w:name w:val="List Dash Char"/>
    <w:link w:val="ListDash"/>
    <w:rPr>
      <w:sz w:val="24"/>
      <w:szCs w:val="24"/>
      <w:lang w:eastAsia="de-DE"/>
    </w:rPr>
  </w:style>
  <w:style w:type="paragraph" w:customStyle="1" w:styleId="StyleManualHeading2Italic">
    <w:name w:val="Style Manual Heading 2 + Italic"/>
    <w:basedOn w:val="ManualHeading2"/>
    <w:autoRedefine/>
    <w:pPr>
      <w:spacing w:before="160" w:after="160"/>
      <w:ind w:left="851" w:hanging="851"/>
    </w:pPr>
    <w:rPr>
      <w:bCs/>
      <w:i/>
      <w:iCs/>
    </w:rPr>
  </w:style>
  <w:style w:type="character" w:customStyle="1" w:styleId="FootnoteTextChar">
    <w:name w:val="Footnote Text Char"/>
    <w:link w:val="FootnoteText"/>
    <w:rPr>
      <w:lang w:eastAsia="de-DE"/>
    </w:rPr>
  </w:style>
  <w:style w:type="paragraph" w:customStyle="1" w:styleId="NormalCentered">
    <w:name w:val="Normal Centered"/>
    <w:basedOn w:val="Normal"/>
    <w:pPr>
      <w:spacing w:before="120" w:after="120"/>
      <w:jc w:val="center"/>
    </w:pPr>
    <w:rPr>
      <w:lang w:eastAsia="de-DE"/>
    </w:rPr>
  </w:style>
  <w:style w:type="paragraph" w:customStyle="1" w:styleId="NormalRight">
    <w:name w:val="Normal Right"/>
    <w:basedOn w:val="Normal"/>
    <w:pPr>
      <w:spacing w:before="120" w:after="120"/>
      <w:jc w:val="right"/>
    </w:pPr>
    <w:rPr>
      <w:lang w:eastAsia="de-DE"/>
    </w:rPr>
  </w:style>
  <w:style w:type="paragraph" w:customStyle="1" w:styleId="NormalLeft">
    <w:name w:val="Normal Left"/>
    <w:basedOn w:val="Normal"/>
    <w:pPr>
      <w:spacing w:before="120" w:after="120"/>
    </w:pPr>
  </w:style>
  <w:style w:type="paragraph" w:customStyle="1" w:styleId="Point0number">
    <w:name w:val="Point 0 (number)"/>
    <w:basedOn w:val="Normal"/>
    <w:uiPriority w:val="99"/>
    <w:pPr>
      <w:numPr>
        <w:numId w:val="27"/>
      </w:numPr>
      <w:spacing w:before="120" w:after="120"/>
      <w:jc w:val="both"/>
    </w:pPr>
    <w:rPr>
      <w:lang w:eastAsia="en-US"/>
    </w:rPr>
  </w:style>
  <w:style w:type="paragraph" w:customStyle="1" w:styleId="Point1number">
    <w:name w:val="Point 1 (number)"/>
    <w:basedOn w:val="Normal"/>
    <w:uiPriority w:val="99"/>
    <w:pPr>
      <w:numPr>
        <w:ilvl w:val="2"/>
        <w:numId w:val="27"/>
      </w:numPr>
      <w:spacing w:before="120" w:after="120"/>
      <w:jc w:val="both"/>
    </w:pPr>
    <w:rPr>
      <w:lang w:eastAsia="en-US"/>
    </w:rPr>
  </w:style>
  <w:style w:type="paragraph" w:customStyle="1" w:styleId="Point2number">
    <w:name w:val="Point 2 (number)"/>
    <w:basedOn w:val="Normal"/>
    <w:uiPriority w:val="99"/>
    <w:pPr>
      <w:numPr>
        <w:ilvl w:val="4"/>
        <w:numId w:val="27"/>
      </w:numPr>
      <w:spacing w:before="120" w:after="120"/>
      <w:jc w:val="both"/>
    </w:pPr>
    <w:rPr>
      <w:lang w:eastAsia="en-US"/>
    </w:rPr>
  </w:style>
  <w:style w:type="paragraph" w:customStyle="1" w:styleId="Point3number">
    <w:name w:val="Point 3 (number)"/>
    <w:basedOn w:val="Normal"/>
    <w:uiPriority w:val="99"/>
    <w:pPr>
      <w:numPr>
        <w:ilvl w:val="6"/>
        <w:numId w:val="27"/>
      </w:numPr>
      <w:spacing w:before="120" w:after="120"/>
      <w:jc w:val="both"/>
    </w:pPr>
    <w:rPr>
      <w:lang w:eastAsia="en-US"/>
    </w:rPr>
  </w:style>
  <w:style w:type="paragraph" w:customStyle="1" w:styleId="Point0letter">
    <w:name w:val="Point 0 (letter)"/>
    <w:basedOn w:val="Normal"/>
    <w:uiPriority w:val="99"/>
    <w:pPr>
      <w:numPr>
        <w:ilvl w:val="1"/>
        <w:numId w:val="27"/>
      </w:numPr>
      <w:spacing w:before="120" w:after="120"/>
      <w:jc w:val="both"/>
    </w:pPr>
    <w:rPr>
      <w:lang w:eastAsia="en-US"/>
    </w:rPr>
  </w:style>
  <w:style w:type="paragraph" w:customStyle="1" w:styleId="Point1letter">
    <w:name w:val="Point 1 (letter)"/>
    <w:basedOn w:val="Normal"/>
    <w:uiPriority w:val="99"/>
    <w:pPr>
      <w:numPr>
        <w:ilvl w:val="3"/>
        <w:numId w:val="27"/>
      </w:numPr>
      <w:spacing w:before="120" w:after="120"/>
      <w:jc w:val="both"/>
    </w:pPr>
    <w:rPr>
      <w:lang w:eastAsia="en-US"/>
    </w:rPr>
  </w:style>
  <w:style w:type="paragraph" w:customStyle="1" w:styleId="Point2letter">
    <w:name w:val="Point 2 (letter)"/>
    <w:basedOn w:val="Normal"/>
    <w:uiPriority w:val="99"/>
    <w:pPr>
      <w:numPr>
        <w:ilvl w:val="5"/>
        <w:numId w:val="27"/>
      </w:numPr>
      <w:spacing w:before="120" w:after="120"/>
      <w:jc w:val="both"/>
    </w:pPr>
    <w:rPr>
      <w:lang w:eastAsia="en-US"/>
    </w:rPr>
  </w:style>
  <w:style w:type="paragraph" w:customStyle="1" w:styleId="Point3letter">
    <w:name w:val="Point 3 (letter)"/>
    <w:basedOn w:val="Normal"/>
    <w:uiPriority w:val="99"/>
    <w:pPr>
      <w:numPr>
        <w:ilvl w:val="7"/>
        <w:numId w:val="27"/>
      </w:numPr>
      <w:spacing w:before="120" w:after="120"/>
      <w:jc w:val="both"/>
    </w:pPr>
    <w:rPr>
      <w:lang w:eastAsia="en-US"/>
    </w:rPr>
  </w:style>
  <w:style w:type="paragraph" w:customStyle="1" w:styleId="Point4letter">
    <w:name w:val="Point 4 (letter)"/>
    <w:basedOn w:val="Normal"/>
    <w:uiPriority w:val="99"/>
    <w:pPr>
      <w:numPr>
        <w:ilvl w:val="8"/>
        <w:numId w:val="27"/>
      </w:numPr>
      <w:spacing w:before="120" w:after="120"/>
      <w:jc w:val="both"/>
    </w:pPr>
    <w:rPr>
      <w:lang w:eastAsia="en-US"/>
    </w:rPr>
  </w:style>
  <w:style w:type="paragraph" w:customStyle="1" w:styleId="NumPar1">
    <w:name w:val="NumPar 1"/>
    <w:basedOn w:val="Normal"/>
    <w:next w:val="Text1"/>
    <w:pPr>
      <w:numPr>
        <w:numId w:val="36"/>
      </w:numPr>
      <w:spacing w:before="120" w:after="120"/>
      <w:jc w:val="both"/>
    </w:pPr>
    <w:rPr>
      <w:lang w:eastAsia="de-DE"/>
    </w:rPr>
  </w:style>
  <w:style w:type="paragraph" w:customStyle="1" w:styleId="NumPar2">
    <w:name w:val="NumPar 2"/>
    <w:basedOn w:val="Normal"/>
    <w:next w:val="Normal"/>
    <w:pPr>
      <w:numPr>
        <w:ilvl w:val="1"/>
        <w:numId w:val="36"/>
      </w:numPr>
      <w:spacing w:before="120" w:after="120"/>
      <w:jc w:val="both"/>
    </w:pPr>
    <w:rPr>
      <w:lang w:eastAsia="de-DE"/>
    </w:rPr>
  </w:style>
  <w:style w:type="paragraph" w:customStyle="1" w:styleId="NumPar3">
    <w:name w:val="NumPar 3"/>
    <w:basedOn w:val="Normal"/>
    <w:next w:val="Normal"/>
    <w:pPr>
      <w:numPr>
        <w:ilvl w:val="2"/>
        <w:numId w:val="36"/>
      </w:numPr>
      <w:spacing w:before="120" w:after="120"/>
      <w:jc w:val="both"/>
    </w:pPr>
    <w:rPr>
      <w:lang w:eastAsia="de-DE"/>
    </w:rPr>
  </w:style>
  <w:style w:type="paragraph" w:customStyle="1" w:styleId="NumPar4">
    <w:name w:val="NumPar 4"/>
    <w:basedOn w:val="Normal"/>
    <w:next w:val="Normal"/>
    <w:pPr>
      <w:numPr>
        <w:ilvl w:val="3"/>
        <w:numId w:val="36"/>
      </w:numPr>
      <w:spacing w:before="120" w:after="120"/>
      <w:jc w:val="both"/>
    </w:pPr>
    <w:rPr>
      <w:lang w:eastAsia="de-DE"/>
    </w:rPr>
  </w:style>
  <w:style w:type="paragraph" w:customStyle="1" w:styleId="Exposdesmotifstitre">
    <w:name w:val="Exposé des motifs titre"/>
    <w:basedOn w:val="Normal"/>
    <w:next w:val="Normal"/>
    <w:pPr>
      <w:spacing w:before="120" w:after="120"/>
      <w:jc w:val="center"/>
    </w:pPr>
    <w:rPr>
      <w:b/>
      <w:u w:val="single"/>
      <w:lang w:eastAsia="de-DE"/>
    </w:rPr>
  </w:style>
  <w:style w:type="character" w:styleId="CommentReference">
    <w:name w:val="annotation reference"/>
    <w:rPr>
      <w:sz w:val="16"/>
      <w:szCs w:val="16"/>
    </w:rPr>
  </w:style>
  <w:style w:type="paragraph" w:customStyle="1" w:styleId="Statut">
    <w:name w:val="Statut"/>
    <w:basedOn w:val="Normal"/>
    <w:next w:val="Typedudocument"/>
    <w:pPr>
      <w:spacing w:before="360"/>
      <w:jc w:val="center"/>
    </w:pPr>
    <w:rPr>
      <w:rFonts w:eastAsia="Calibri"/>
      <w:szCs w:val="22"/>
      <w:lang w:eastAsia="en-US"/>
    </w:rPr>
  </w:style>
  <w:style w:type="paragraph" w:customStyle="1" w:styleId="Declassification">
    <w:name w:val="Declassification"/>
    <w:basedOn w:val="Normal"/>
    <w:next w:val="Normal"/>
    <w:pPr>
      <w:jc w:val="both"/>
    </w:pPr>
    <w:rPr>
      <w:rFonts w:eastAsiaTheme="minorHAnsi"/>
      <w:szCs w:val="22"/>
      <w:lang w:eastAsia="en-US"/>
    </w:rPr>
  </w:style>
  <w:style w:type="character" w:customStyle="1" w:styleId="HeaderChar">
    <w:name w:val="Header Char"/>
    <w:basedOn w:val="DefaultParagraphFont"/>
    <w:link w:val="Header"/>
    <w:uiPriority w:val="99"/>
    <w:rPr>
      <w:rFonts w:eastAsiaTheme="minorHAnsi"/>
      <w:sz w:val="24"/>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4795">
      <w:bodyDiv w:val="1"/>
      <w:marLeft w:val="0"/>
      <w:marRight w:val="0"/>
      <w:marTop w:val="0"/>
      <w:marBottom w:val="0"/>
      <w:divBdr>
        <w:top w:val="none" w:sz="0" w:space="0" w:color="auto"/>
        <w:left w:val="none" w:sz="0" w:space="0" w:color="auto"/>
        <w:bottom w:val="none" w:sz="0" w:space="0" w:color="auto"/>
        <w:right w:val="none" w:sz="0" w:space="0" w:color="auto"/>
      </w:divBdr>
    </w:div>
    <w:div w:id="129058754">
      <w:bodyDiv w:val="1"/>
      <w:marLeft w:val="0"/>
      <w:marRight w:val="0"/>
      <w:marTop w:val="0"/>
      <w:marBottom w:val="0"/>
      <w:divBdr>
        <w:top w:val="none" w:sz="0" w:space="0" w:color="auto"/>
        <w:left w:val="none" w:sz="0" w:space="0" w:color="auto"/>
        <w:bottom w:val="none" w:sz="0" w:space="0" w:color="auto"/>
        <w:right w:val="none" w:sz="0" w:space="0" w:color="auto"/>
      </w:divBdr>
    </w:div>
    <w:div w:id="140775662">
      <w:bodyDiv w:val="1"/>
      <w:marLeft w:val="0"/>
      <w:marRight w:val="0"/>
      <w:marTop w:val="0"/>
      <w:marBottom w:val="0"/>
      <w:divBdr>
        <w:top w:val="none" w:sz="0" w:space="0" w:color="auto"/>
        <w:left w:val="none" w:sz="0" w:space="0" w:color="auto"/>
        <w:bottom w:val="none" w:sz="0" w:space="0" w:color="auto"/>
        <w:right w:val="none" w:sz="0" w:space="0" w:color="auto"/>
      </w:divBdr>
    </w:div>
    <w:div w:id="269511476">
      <w:bodyDiv w:val="1"/>
      <w:marLeft w:val="0"/>
      <w:marRight w:val="0"/>
      <w:marTop w:val="0"/>
      <w:marBottom w:val="0"/>
      <w:divBdr>
        <w:top w:val="none" w:sz="0" w:space="0" w:color="auto"/>
        <w:left w:val="none" w:sz="0" w:space="0" w:color="auto"/>
        <w:bottom w:val="none" w:sz="0" w:space="0" w:color="auto"/>
        <w:right w:val="none" w:sz="0" w:space="0" w:color="auto"/>
      </w:divBdr>
    </w:div>
    <w:div w:id="526875107">
      <w:bodyDiv w:val="1"/>
      <w:marLeft w:val="0"/>
      <w:marRight w:val="0"/>
      <w:marTop w:val="0"/>
      <w:marBottom w:val="0"/>
      <w:divBdr>
        <w:top w:val="none" w:sz="0" w:space="0" w:color="auto"/>
        <w:left w:val="none" w:sz="0" w:space="0" w:color="auto"/>
        <w:bottom w:val="none" w:sz="0" w:space="0" w:color="auto"/>
        <w:right w:val="none" w:sz="0" w:space="0" w:color="auto"/>
      </w:divBdr>
    </w:div>
    <w:div w:id="631600828">
      <w:bodyDiv w:val="1"/>
      <w:marLeft w:val="0"/>
      <w:marRight w:val="0"/>
      <w:marTop w:val="0"/>
      <w:marBottom w:val="0"/>
      <w:divBdr>
        <w:top w:val="none" w:sz="0" w:space="0" w:color="auto"/>
        <w:left w:val="none" w:sz="0" w:space="0" w:color="auto"/>
        <w:bottom w:val="none" w:sz="0" w:space="0" w:color="auto"/>
        <w:right w:val="none" w:sz="0" w:space="0" w:color="auto"/>
      </w:divBdr>
    </w:div>
    <w:div w:id="651643793">
      <w:bodyDiv w:val="1"/>
      <w:marLeft w:val="0"/>
      <w:marRight w:val="0"/>
      <w:marTop w:val="0"/>
      <w:marBottom w:val="0"/>
      <w:divBdr>
        <w:top w:val="none" w:sz="0" w:space="0" w:color="auto"/>
        <w:left w:val="none" w:sz="0" w:space="0" w:color="auto"/>
        <w:bottom w:val="none" w:sz="0" w:space="0" w:color="auto"/>
        <w:right w:val="none" w:sz="0" w:space="0" w:color="auto"/>
      </w:divBdr>
    </w:div>
    <w:div w:id="744688616">
      <w:bodyDiv w:val="1"/>
      <w:marLeft w:val="0"/>
      <w:marRight w:val="0"/>
      <w:marTop w:val="0"/>
      <w:marBottom w:val="0"/>
      <w:divBdr>
        <w:top w:val="none" w:sz="0" w:space="0" w:color="auto"/>
        <w:left w:val="none" w:sz="0" w:space="0" w:color="auto"/>
        <w:bottom w:val="none" w:sz="0" w:space="0" w:color="auto"/>
        <w:right w:val="none" w:sz="0" w:space="0" w:color="auto"/>
      </w:divBdr>
    </w:div>
    <w:div w:id="874540662">
      <w:bodyDiv w:val="1"/>
      <w:marLeft w:val="0"/>
      <w:marRight w:val="0"/>
      <w:marTop w:val="0"/>
      <w:marBottom w:val="0"/>
      <w:divBdr>
        <w:top w:val="none" w:sz="0" w:space="0" w:color="auto"/>
        <w:left w:val="none" w:sz="0" w:space="0" w:color="auto"/>
        <w:bottom w:val="none" w:sz="0" w:space="0" w:color="auto"/>
        <w:right w:val="none" w:sz="0" w:space="0" w:color="auto"/>
      </w:divBdr>
    </w:div>
    <w:div w:id="898131723">
      <w:bodyDiv w:val="1"/>
      <w:marLeft w:val="0"/>
      <w:marRight w:val="0"/>
      <w:marTop w:val="0"/>
      <w:marBottom w:val="0"/>
      <w:divBdr>
        <w:top w:val="none" w:sz="0" w:space="0" w:color="auto"/>
        <w:left w:val="none" w:sz="0" w:space="0" w:color="auto"/>
        <w:bottom w:val="none" w:sz="0" w:space="0" w:color="auto"/>
        <w:right w:val="none" w:sz="0" w:space="0" w:color="auto"/>
      </w:divBdr>
    </w:div>
    <w:div w:id="1017465266">
      <w:bodyDiv w:val="1"/>
      <w:marLeft w:val="0"/>
      <w:marRight w:val="0"/>
      <w:marTop w:val="0"/>
      <w:marBottom w:val="0"/>
      <w:divBdr>
        <w:top w:val="none" w:sz="0" w:space="0" w:color="auto"/>
        <w:left w:val="none" w:sz="0" w:space="0" w:color="auto"/>
        <w:bottom w:val="none" w:sz="0" w:space="0" w:color="auto"/>
        <w:right w:val="none" w:sz="0" w:space="0" w:color="auto"/>
      </w:divBdr>
    </w:div>
    <w:div w:id="1051805765">
      <w:bodyDiv w:val="1"/>
      <w:marLeft w:val="0"/>
      <w:marRight w:val="0"/>
      <w:marTop w:val="0"/>
      <w:marBottom w:val="0"/>
      <w:divBdr>
        <w:top w:val="none" w:sz="0" w:space="0" w:color="auto"/>
        <w:left w:val="none" w:sz="0" w:space="0" w:color="auto"/>
        <w:bottom w:val="none" w:sz="0" w:space="0" w:color="auto"/>
        <w:right w:val="none" w:sz="0" w:space="0" w:color="auto"/>
      </w:divBdr>
      <w:divsChild>
        <w:div w:id="1326399010">
          <w:marLeft w:val="0"/>
          <w:marRight w:val="0"/>
          <w:marTop w:val="0"/>
          <w:marBottom w:val="0"/>
          <w:divBdr>
            <w:top w:val="none" w:sz="0" w:space="0" w:color="auto"/>
            <w:left w:val="none" w:sz="0" w:space="0" w:color="auto"/>
            <w:bottom w:val="none" w:sz="0" w:space="0" w:color="auto"/>
            <w:right w:val="none" w:sz="0" w:space="0" w:color="auto"/>
          </w:divBdr>
          <w:divsChild>
            <w:div w:id="10768024">
              <w:marLeft w:val="0"/>
              <w:marRight w:val="0"/>
              <w:marTop w:val="0"/>
              <w:marBottom w:val="0"/>
              <w:divBdr>
                <w:top w:val="none" w:sz="0" w:space="0" w:color="auto"/>
                <w:left w:val="none" w:sz="0" w:space="0" w:color="auto"/>
                <w:bottom w:val="none" w:sz="0" w:space="0" w:color="auto"/>
                <w:right w:val="none" w:sz="0" w:space="0" w:color="auto"/>
              </w:divBdr>
              <w:divsChild>
                <w:div w:id="1110509085">
                  <w:marLeft w:val="-225"/>
                  <w:marRight w:val="-225"/>
                  <w:marTop w:val="0"/>
                  <w:marBottom w:val="0"/>
                  <w:divBdr>
                    <w:top w:val="none" w:sz="0" w:space="0" w:color="auto"/>
                    <w:left w:val="none" w:sz="0" w:space="0" w:color="auto"/>
                    <w:bottom w:val="none" w:sz="0" w:space="0" w:color="auto"/>
                    <w:right w:val="none" w:sz="0" w:space="0" w:color="auto"/>
                  </w:divBdr>
                  <w:divsChild>
                    <w:div w:id="2092005566">
                      <w:marLeft w:val="0"/>
                      <w:marRight w:val="0"/>
                      <w:marTop w:val="0"/>
                      <w:marBottom w:val="0"/>
                      <w:divBdr>
                        <w:top w:val="none" w:sz="0" w:space="0" w:color="auto"/>
                        <w:left w:val="none" w:sz="0" w:space="0" w:color="auto"/>
                        <w:bottom w:val="none" w:sz="0" w:space="0" w:color="auto"/>
                        <w:right w:val="none" w:sz="0" w:space="0" w:color="auto"/>
                      </w:divBdr>
                      <w:divsChild>
                        <w:div w:id="1084764764">
                          <w:marLeft w:val="0"/>
                          <w:marRight w:val="0"/>
                          <w:marTop w:val="0"/>
                          <w:marBottom w:val="0"/>
                          <w:divBdr>
                            <w:top w:val="none" w:sz="0" w:space="0" w:color="auto"/>
                            <w:left w:val="none" w:sz="0" w:space="0" w:color="auto"/>
                            <w:bottom w:val="none" w:sz="0" w:space="0" w:color="auto"/>
                            <w:right w:val="none" w:sz="0" w:space="0" w:color="auto"/>
                          </w:divBdr>
                          <w:divsChild>
                            <w:div w:id="1888908354">
                              <w:marLeft w:val="0"/>
                              <w:marRight w:val="0"/>
                              <w:marTop w:val="0"/>
                              <w:marBottom w:val="0"/>
                              <w:divBdr>
                                <w:top w:val="none" w:sz="0" w:space="0" w:color="auto"/>
                                <w:left w:val="none" w:sz="0" w:space="0" w:color="auto"/>
                                <w:bottom w:val="none" w:sz="0" w:space="0" w:color="auto"/>
                                <w:right w:val="none" w:sz="0" w:space="0" w:color="auto"/>
                              </w:divBdr>
                              <w:divsChild>
                                <w:div w:id="982350976">
                                  <w:marLeft w:val="0"/>
                                  <w:marRight w:val="0"/>
                                  <w:marTop w:val="0"/>
                                  <w:marBottom w:val="133"/>
                                  <w:divBdr>
                                    <w:top w:val="none" w:sz="0" w:space="0" w:color="auto"/>
                                    <w:left w:val="none" w:sz="0" w:space="0" w:color="auto"/>
                                    <w:bottom w:val="none" w:sz="0" w:space="0" w:color="auto"/>
                                    <w:right w:val="none" w:sz="0" w:space="0" w:color="auto"/>
                                  </w:divBdr>
                                  <w:divsChild>
                                    <w:div w:id="49118662">
                                      <w:marLeft w:val="0"/>
                                      <w:marRight w:val="0"/>
                                      <w:marTop w:val="0"/>
                                      <w:marBottom w:val="0"/>
                                      <w:divBdr>
                                        <w:top w:val="none" w:sz="0" w:space="0" w:color="auto"/>
                                        <w:left w:val="none" w:sz="0" w:space="0" w:color="auto"/>
                                        <w:bottom w:val="none" w:sz="0" w:space="0" w:color="auto"/>
                                        <w:right w:val="none" w:sz="0" w:space="0" w:color="auto"/>
                                      </w:divBdr>
                                      <w:divsChild>
                                        <w:div w:id="834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237249">
      <w:bodyDiv w:val="1"/>
      <w:marLeft w:val="0"/>
      <w:marRight w:val="0"/>
      <w:marTop w:val="0"/>
      <w:marBottom w:val="0"/>
      <w:divBdr>
        <w:top w:val="none" w:sz="0" w:space="0" w:color="auto"/>
        <w:left w:val="none" w:sz="0" w:space="0" w:color="auto"/>
        <w:bottom w:val="none" w:sz="0" w:space="0" w:color="auto"/>
        <w:right w:val="none" w:sz="0" w:space="0" w:color="auto"/>
      </w:divBdr>
    </w:div>
    <w:div w:id="1288586908">
      <w:bodyDiv w:val="1"/>
      <w:marLeft w:val="0"/>
      <w:marRight w:val="0"/>
      <w:marTop w:val="0"/>
      <w:marBottom w:val="0"/>
      <w:divBdr>
        <w:top w:val="none" w:sz="0" w:space="0" w:color="auto"/>
        <w:left w:val="none" w:sz="0" w:space="0" w:color="auto"/>
        <w:bottom w:val="none" w:sz="0" w:space="0" w:color="auto"/>
        <w:right w:val="none" w:sz="0" w:space="0" w:color="auto"/>
      </w:divBdr>
    </w:div>
    <w:div w:id="1691947953">
      <w:bodyDiv w:val="1"/>
      <w:marLeft w:val="0"/>
      <w:marRight w:val="0"/>
      <w:marTop w:val="0"/>
      <w:marBottom w:val="0"/>
      <w:divBdr>
        <w:top w:val="none" w:sz="0" w:space="0" w:color="auto"/>
        <w:left w:val="none" w:sz="0" w:space="0" w:color="auto"/>
        <w:bottom w:val="none" w:sz="0" w:space="0" w:color="auto"/>
        <w:right w:val="none" w:sz="0" w:space="0" w:color="auto"/>
      </w:divBdr>
    </w:div>
    <w:div w:id="1695381422">
      <w:bodyDiv w:val="1"/>
      <w:marLeft w:val="0"/>
      <w:marRight w:val="0"/>
      <w:marTop w:val="0"/>
      <w:marBottom w:val="0"/>
      <w:divBdr>
        <w:top w:val="none" w:sz="0" w:space="0" w:color="auto"/>
        <w:left w:val="none" w:sz="0" w:space="0" w:color="auto"/>
        <w:bottom w:val="none" w:sz="0" w:space="0" w:color="auto"/>
        <w:right w:val="none" w:sz="0" w:space="0" w:color="auto"/>
      </w:divBdr>
    </w:div>
    <w:div w:id="1708601875">
      <w:bodyDiv w:val="1"/>
      <w:marLeft w:val="0"/>
      <w:marRight w:val="0"/>
      <w:marTop w:val="0"/>
      <w:marBottom w:val="0"/>
      <w:divBdr>
        <w:top w:val="none" w:sz="0" w:space="0" w:color="auto"/>
        <w:left w:val="none" w:sz="0" w:space="0" w:color="auto"/>
        <w:bottom w:val="none" w:sz="0" w:space="0" w:color="auto"/>
        <w:right w:val="none" w:sz="0" w:space="0" w:color="auto"/>
      </w:divBdr>
    </w:div>
    <w:div w:id="1725518721">
      <w:bodyDiv w:val="1"/>
      <w:marLeft w:val="0"/>
      <w:marRight w:val="0"/>
      <w:marTop w:val="0"/>
      <w:marBottom w:val="0"/>
      <w:divBdr>
        <w:top w:val="none" w:sz="0" w:space="0" w:color="auto"/>
        <w:left w:val="none" w:sz="0" w:space="0" w:color="auto"/>
        <w:bottom w:val="none" w:sz="0" w:space="0" w:color="auto"/>
        <w:right w:val="none" w:sz="0" w:space="0" w:color="auto"/>
      </w:divBdr>
    </w:div>
    <w:div w:id="1777287212">
      <w:bodyDiv w:val="1"/>
      <w:marLeft w:val="0"/>
      <w:marRight w:val="0"/>
      <w:marTop w:val="0"/>
      <w:marBottom w:val="0"/>
      <w:divBdr>
        <w:top w:val="none" w:sz="0" w:space="0" w:color="auto"/>
        <w:left w:val="none" w:sz="0" w:space="0" w:color="auto"/>
        <w:bottom w:val="none" w:sz="0" w:space="0" w:color="auto"/>
        <w:right w:val="none" w:sz="0" w:space="0" w:color="auto"/>
      </w:divBdr>
    </w:div>
    <w:div w:id="1825969139">
      <w:bodyDiv w:val="1"/>
      <w:marLeft w:val="0"/>
      <w:marRight w:val="0"/>
      <w:marTop w:val="0"/>
      <w:marBottom w:val="0"/>
      <w:divBdr>
        <w:top w:val="none" w:sz="0" w:space="0" w:color="auto"/>
        <w:left w:val="none" w:sz="0" w:space="0" w:color="auto"/>
        <w:bottom w:val="none" w:sz="0" w:space="0" w:color="auto"/>
        <w:right w:val="none" w:sz="0" w:space="0" w:color="auto"/>
      </w:divBdr>
    </w:div>
    <w:div w:id="1849320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yperlink" Target="http://eur-lex.europa.eu/budget/www/index-bg.htm"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oeil/popups/ficheprocedure.do?lang=en&amp;reference=2016/2047(B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885EF0364217924BAD471D1695637112" ma:contentTypeVersion="1" ma:contentTypeDescription="Create a new document in this library." ma:contentTypeScope="" ma:versionID="205d5bdeabaca534a5226ddab7fc3cab">
  <xsd:schema xmlns:xsd="http://www.w3.org/2001/XMLSchema" xmlns:xs="http://www.w3.org/2001/XMLSchema" xmlns:p="http://schemas.microsoft.com/office/2006/metadata/properties" xmlns:ns3="d9606faa-45a1-44ba-9f56-4f4a8f4034dc" targetNamespace="http://schemas.microsoft.com/office/2006/metadata/properties" ma:root="true" ma:fieldsID="2dd27c47d5134ace2527d0f4f98d29d2" ns3:_="">
    <xsd:import namespace="d9606faa-45a1-44ba-9f56-4f4a8f4034dc"/>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06faa-45a1-44ba-9f56-4f4a8f4034d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d9606faa-45a1-44ba-9f56-4f4a8f4034dc">EN</EC_Collab_DocumentLanguage>
    <EC_Collab_Reference xmlns="d9606faa-45a1-44ba-9f56-4f4a8f4034dc" xsi:nil="true"/>
    <EC_Collab_Status xmlns="d9606faa-45a1-44ba-9f56-4f4a8f4034dc">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60D5B-412D-4C96-96FC-1DDF56CE96D9}">
  <ds:schemaRefs>
    <ds:schemaRef ds:uri="http://schemas.microsoft.com/sharepoint/v3/contenttype/forms"/>
  </ds:schemaRefs>
</ds:datastoreItem>
</file>

<file path=customXml/itemProps2.xml><?xml version="1.0" encoding="utf-8"?>
<ds:datastoreItem xmlns:ds="http://schemas.openxmlformats.org/officeDocument/2006/customXml" ds:itemID="{8C111116-EBCB-4080-853B-DEAA17D1E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06faa-45a1-44ba-9f56-4f4a8f403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7BA85-4E09-4A59-BEF7-0E1E6301EDD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9606faa-45a1-44ba-9f56-4f4a8f4034dc"/>
    <ds:schemaRef ds:uri="http://www.w3.org/XML/1998/namespace"/>
  </ds:schemaRefs>
</ds:datastoreItem>
</file>

<file path=customXml/itemProps4.xml><?xml version="1.0" encoding="utf-8"?>
<ds:datastoreItem xmlns:ds="http://schemas.openxmlformats.org/officeDocument/2006/customXml" ds:itemID="{A4C43309-C472-4EEE-9512-3C778BB1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1710</Words>
  <Characters>8312</Characters>
  <Application>Microsoft Office Word</Application>
  <DocSecurity>0</DocSecurity>
  <Lines>519</Lines>
  <Paragraphs>278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9744</CharactersWithSpaces>
  <SharedDoc>false</SharedDoc>
  <HLinks>
    <vt:vector size="6" baseType="variant">
      <vt:variant>
        <vt:i4>5046279</vt:i4>
      </vt:variant>
      <vt:variant>
        <vt:i4>0</vt:i4>
      </vt:variant>
      <vt:variant>
        <vt:i4>0</vt:i4>
      </vt:variant>
      <vt:variant>
        <vt:i4>5</vt:i4>
      </vt:variant>
      <vt:variant>
        <vt:lpwstr>http://eur-lex.europa.eu/budget/www/index-en.htm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21</cp:revision>
  <cp:lastPrinted>2019-04-26T13:48:00Z</cp:lastPrinted>
  <dcterms:created xsi:type="dcterms:W3CDTF">2019-05-06T16:05:00Z</dcterms:created>
  <dcterms:modified xsi:type="dcterms:W3CDTF">2019-05-27T13:44:00Z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fmtid="{D5CDD505-2E9C-101B-9397-08002B2CF9AE}" pid="8" name="ContentTypeId">
    <vt:lpwstr>0x010100258AA79CEB83498886A3A0868112325000885EF0364217924BAD471D1695637112</vt:lpwstr>
  </property>
</Properties>
</file>