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BC7C3F3-4690-4A1A-9BBB-12D012C1E0E1" style="width:450.8pt;height:320.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 xml:space="preserve">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2019, adopté le 12 décembre 2018</w:t>
      </w:r>
      <w:r>
        <w:rPr>
          <w:rStyle w:val="FootnoteReference"/>
          <w:noProof/>
        </w:rPr>
        <w:footnoteReference w:id="3"/>
      </w:r>
      <w:r>
        <w:rPr>
          <w:noProof/>
        </w:rPr>
        <w:t>,</w:t>
      </w:r>
    </w:p>
    <w:p>
      <w:pPr>
        <w:pStyle w:val="Tiret0"/>
        <w:tabs>
          <w:tab w:val="clear" w:pos="850"/>
          <w:tab w:val="num" w:pos="927"/>
        </w:tabs>
        <w:rPr>
          <w:noProof/>
        </w:rPr>
      </w:pPr>
      <w:r>
        <w:rPr>
          <w:noProof/>
        </w:rPr>
        <w:t>le projet de budget rectificatif nº 1/2019</w:t>
      </w:r>
      <w:r>
        <w:rPr>
          <w:rStyle w:val="FootnoteReference"/>
          <w:noProof/>
        </w:rPr>
        <w:footnoteReference w:id="4"/>
      </w:r>
      <w:r>
        <w:rPr>
          <w:noProof/>
        </w:rPr>
        <w:t>, adopté le 15 avril 2019,</w:t>
      </w:r>
    </w:p>
    <w:p>
      <w:pPr>
        <w:jc w:val="both"/>
        <w:rPr>
          <w:noProof/>
        </w:rPr>
      </w:pPr>
      <w:r>
        <w:rPr>
          <w:noProof/>
        </w:rPr>
        <w:t>la Commission européenne présente ci-après au Parlement européen et au Conseil le projet de budget rectificatif nº 2 au budget 2019.</w:t>
      </w:r>
    </w:p>
    <w:p>
      <w:pPr>
        <w:rPr>
          <w:b/>
          <w:noProof/>
          <w:u w:val="single"/>
        </w:rPr>
      </w:pPr>
    </w:p>
    <w:p>
      <w:pPr>
        <w:jc w:val="both"/>
        <w:rPr>
          <w:b/>
          <w:noProof/>
          <w:u w:val="single"/>
        </w:rPr>
      </w:pPr>
      <w:r>
        <w:rPr>
          <w:b/>
          <w:noProof/>
          <w:u w:val="single"/>
        </w:rPr>
        <w:t>MODIFICATIONS À L’ÉTAT DES RECETTES ET DES DÉPENSES PAR SECTION</w:t>
      </w:r>
    </w:p>
    <w:p>
      <w:pPr>
        <w:rPr>
          <w:b/>
          <w:noProof/>
          <w:u w:val="single"/>
        </w:rPr>
      </w:pPr>
    </w:p>
    <w:p>
      <w:pPr>
        <w:jc w:val="both"/>
        <w:rPr>
          <w:noProof/>
        </w:rPr>
      </w:pPr>
      <w:r>
        <w:rPr>
          <w:noProof/>
        </w:rPr>
        <w:t>Les modifications apportées à l’état des dépenses de la section III sont disponibles sur EUR-Lex (</w:t>
      </w:r>
      <w:hyperlink r:id="rId19">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t>TABLE DES MATIÈRES</w:t>
      </w:r>
    </w:p>
    <w:sdt>
      <w:sdtPr>
        <w:rPr>
          <w:b w:val="0"/>
          <w:bCs w:val="0"/>
          <w:caps w:val="0"/>
          <w:smallCaps/>
          <w:noProof/>
          <w:sz w:val="24"/>
          <w:szCs w:val="24"/>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9416716"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_Toc9416716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9416717"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Renforcement des programmes Horizon 2020 et Erasmus+</w:t>
            </w:r>
            <w:r>
              <w:rPr>
                <w:noProof/>
                <w:webHidden/>
              </w:rPr>
              <w:tab/>
            </w:r>
            <w:r>
              <w:rPr>
                <w:noProof/>
                <w:webHidden/>
              </w:rPr>
              <w:fldChar w:fldCharType="begin"/>
            </w:r>
            <w:r>
              <w:rPr>
                <w:noProof/>
                <w:webHidden/>
              </w:rPr>
              <w:instrText xml:space="preserve"> PAGEREF _Toc9416717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9416718"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Contexte</w:t>
            </w:r>
            <w:r>
              <w:rPr>
                <w:noProof/>
                <w:webHidden/>
              </w:rPr>
              <w:tab/>
            </w:r>
            <w:r>
              <w:rPr>
                <w:noProof/>
                <w:webHidden/>
              </w:rPr>
              <w:fldChar w:fldCharType="begin"/>
            </w:r>
            <w:r>
              <w:rPr>
                <w:noProof/>
                <w:webHidden/>
              </w:rPr>
              <w:instrText xml:space="preserve"> PAGEREF _Toc9416718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9416719"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Renforcement du programme Horizon 2020</w:t>
            </w:r>
            <w:r>
              <w:rPr>
                <w:noProof/>
                <w:webHidden/>
              </w:rPr>
              <w:tab/>
            </w:r>
            <w:r>
              <w:rPr>
                <w:noProof/>
                <w:webHidden/>
              </w:rPr>
              <w:fldChar w:fldCharType="begin"/>
            </w:r>
            <w:r>
              <w:rPr>
                <w:noProof/>
                <w:webHidden/>
              </w:rPr>
              <w:instrText xml:space="preserve"> PAGEREF _Toc9416719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9416720"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Renforcement du programme Erasmus+</w:t>
            </w:r>
            <w:r>
              <w:rPr>
                <w:noProof/>
                <w:webHidden/>
              </w:rPr>
              <w:tab/>
            </w:r>
            <w:r>
              <w:rPr>
                <w:noProof/>
                <w:webHidden/>
              </w:rPr>
              <w:fldChar w:fldCharType="begin"/>
            </w:r>
            <w:r>
              <w:rPr>
                <w:noProof/>
                <w:webHidden/>
              </w:rPr>
              <w:instrText xml:space="preserve"> PAGEREF _Toc9416720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9416721"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Financement</w:t>
            </w:r>
            <w:r>
              <w:rPr>
                <w:noProof/>
                <w:webHidden/>
              </w:rPr>
              <w:tab/>
            </w:r>
            <w:r>
              <w:rPr>
                <w:noProof/>
                <w:webHidden/>
              </w:rPr>
              <w:fldChar w:fldCharType="begin"/>
            </w:r>
            <w:r>
              <w:rPr>
                <w:noProof/>
                <w:webHidden/>
              </w:rPr>
              <w:instrText xml:space="preserve"> PAGEREF _Toc9416721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9416722"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_Toc9416722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b w:val="0"/>
              <w:caps w:val="0"/>
              <w:smallCaps/>
              <w:noProof/>
              <w:sz w:val="24"/>
              <w:szCs w:val="24"/>
            </w:rPr>
            <w:fldChar w:fldCharType="end"/>
          </w:r>
        </w:p>
      </w:sdtContent>
    </w:sdt>
    <w:p>
      <w:pPr>
        <w:rPr>
          <w:b/>
          <w:noProof/>
          <w:u w:val="singl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EXPOSÉ DES MOTIFS</w:t>
      </w:r>
    </w:p>
    <w:p>
      <w:pPr>
        <w:pStyle w:val="ManualHeading1"/>
        <w:rPr>
          <w:noProof/>
        </w:rPr>
      </w:pPr>
      <w:bookmarkStart w:id="5" w:name="_Toc385506031"/>
      <w:bookmarkStart w:id="6" w:name="_Toc430865946"/>
      <w:bookmarkStart w:id="7" w:name="_Toc430867524"/>
      <w:bookmarkStart w:id="8" w:name="_Toc525202225"/>
      <w:bookmarkStart w:id="9" w:name="_Toc7167667"/>
      <w:bookmarkStart w:id="10" w:name="_Toc9416716"/>
      <w:r>
        <w:rPr>
          <w:noProof/>
        </w:rPr>
        <w:t>1.</w:t>
      </w:r>
      <w:r>
        <w:rPr>
          <w:noProof/>
        </w:rPr>
        <w:tab/>
        <w:t>Introduction</w:t>
      </w:r>
      <w:bookmarkEnd w:id="5"/>
      <w:bookmarkEnd w:id="6"/>
      <w:bookmarkEnd w:id="7"/>
      <w:bookmarkEnd w:id="8"/>
      <w:bookmarkEnd w:id="9"/>
      <w:bookmarkEnd w:id="10"/>
    </w:p>
    <w:p>
      <w:pPr>
        <w:jc w:val="both"/>
        <w:rPr>
          <w:noProof/>
        </w:rPr>
      </w:pPr>
      <w:r>
        <w:rPr>
          <w:noProof/>
        </w:rPr>
        <w:t xml:space="preserve">Le projet de budget rectificatif (PBR) nº 2/2019 vise à procurer 100 millions d’EUR supplémentaires en crédits d’engagement aux programmes Horizon 2020 et Erasmus+, conformément à la décision prise par le Parlement européen et le Conseil dans le contexte de leur accord sur le budget 2019. Il n’est pas proposé de renforcement en crédits de paiement. </w:t>
      </w:r>
    </w:p>
    <w:p>
      <w:pPr>
        <w:pStyle w:val="ManualHeading1"/>
        <w:rPr>
          <w:noProof/>
        </w:rPr>
      </w:pPr>
      <w:bookmarkStart w:id="11" w:name="_Toc7167668"/>
      <w:bookmarkStart w:id="12" w:name="_Toc9416717"/>
      <w:bookmarkEnd w:id="2"/>
      <w:r>
        <w:rPr>
          <w:noProof/>
        </w:rPr>
        <w:t>2.</w:t>
      </w:r>
      <w:r>
        <w:rPr>
          <w:noProof/>
        </w:rPr>
        <w:tab/>
        <w:t>Renforcement des programmes Horizon 2020 et Erasmus+</w:t>
      </w:r>
      <w:bookmarkEnd w:id="11"/>
      <w:bookmarkEnd w:id="12"/>
    </w:p>
    <w:p>
      <w:pPr>
        <w:keepNext/>
        <w:tabs>
          <w:tab w:val="left" w:pos="850"/>
        </w:tabs>
        <w:spacing w:before="360" w:after="120"/>
        <w:ind w:left="850" w:hanging="850"/>
        <w:jc w:val="both"/>
        <w:outlineLvl w:val="1"/>
        <w:rPr>
          <w:rFonts w:eastAsia="Calibri"/>
          <w:b/>
          <w:noProof/>
        </w:rPr>
      </w:pPr>
      <w:bookmarkStart w:id="13" w:name="_Toc7167669"/>
      <w:bookmarkStart w:id="14" w:name="_Toc9416718"/>
      <w:r>
        <w:rPr>
          <w:b/>
          <w:noProof/>
        </w:rPr>
        <w:t>2.1.</w:t>
      </w:r>
      <w:r>
        <w:rPr>
          <w:noProof/>
        </w:rPr>
        <w:tab/>
      </w:r>
      <w:r>
        <w:rPr>
          <w:b/>
          <w:noProof/>
        </w:rPr>
        <w:t>Contexte</w:t>
      </w:r>
      <w:bookmarkEnd w:id="13"/>
      <w:bookmarkEnd w:id="14"/>
      <w:r>
        <w:rPr>
          <w:b/>
          <w:noProof/>
        </w:rPr>
        <w:t xml:space="preserve"> </w:t>
      </w:r>
    </w:p>
    <w:p>
      <w:pPr>
        <w:spacing w:before="120" w:after="120"/>
        <w:jc w:val="both"/>
        <w:rPr>
          <w:noProof/>
        </w:rPr>
      </w:pPr>
      <w:r>
        <w:rPr>
          <w:noProof/>
        </w:rPr>
        <w:t>Dans leur accord final sur le budget 2019</w:t>
      </w:r>
      <w:r>
        <w:rPr>
          <w:rStyle w:val="FootnoteReference"/>
          <w:noProof/>
        </w:rPr>
        <w:footnoteReference w:id="5"/>
      </w:r>
      <w:r>
        <w:rPr>
          <w:noProof/>
        </w:rPr>
        <w:t>, le Parlement européen et le Conseil sont convenus «</w:t>
      </w:r>
      <w:r>
        <w:rPr>
          <w:i/>
          <w:noProof/>
        </w:rPr>
        <w:t>de mobiliser 100 millions d’EUR par la voie d’un budget rectificatif en 2019 afin de renforcer les programmes Horizon 2020 et Erasmus+</w:t>
      </w:r>
      <w:r>
        <w:rPr>
          <w:noProof/>
        </w:rPr>
        <w:t>».</w:t>
      </w:r>
      <w:r>
        <w:rPr>
          <w:i/>
          <w:noProof/>
        </w:rPr>
        <w:t xml:space="preserve"> </w:t>
      </w:r>
      <w:r>
        <w:rPr>
          <w:noProof/>
        </w:rPr>
        <w:t>Ils ont invité la Commission à «</w:t>
      </w:r>
      <w:r>
        <w:rPr>
          <w:i/>
          <w:noProof/>
        </w:rPr>
        <w:t>présenter[...] ce budget rectificatif, qui ne contiendra aucun autre élément, dès que l’ajustement technique du cadre financier pluriannuel pour 2020, y compris le calcul de la marge globale pour les engagements, aura été achevé, au printemps 2019</w:t>
      </w:r>
      <w:r>
        <w:rPr>
          <w:noProof/>
        </w:rPr>
        <w:t>».</w:t>
      </w:r>
    </w:p>
    <w:p>
      <w:pPr>
        <w:spacing w:before="120" w:after="120"/>
        <w:jc w:val="both"/>
        <w:rPr>
          <w:noProof/>
        </w:rPr>
      </w:pPr>
      <w:r>
        <w:rPr>
          <w:noProof/>
        </w:rPr>
        <w:t>L’ajustement technique étant désormais adopté</w:t>
      </w:r>
      <w:r>
        <w:rPr>
          <w:rStyle w:val="FootnoteReference"/>
          <w:noProof/>
        </w:rPr>
        <w:footnoteReference w:id="6"/>
      </w:r>
      <w:r>
        <w:rPr>
          <w:noProof/>
        </w:rPr>
        <w:t>, la Commission propose de modifier le budget 2019 pour qu’il tienne compte de l’accord susmentionné.</w:t>
      </w:r>
    </w:p>
    <w:p>
      <w:pPr>
        <w:keepNext/>
        <w:tabs>
          <w:tab w:val="left" w:pos="850"/>
        </w:tabs>
        <w:spacing w:before="360" w:after="120"/>
        <w:ind w:left="850" w:hanging="850"/>
        <w:jc w:val="both"/>
        <w:outlineLvl w:val="1"/>
        <w:rPr>
          <w:rFonts w:eastAsia="Calibri"/>
          <w:b/>
          <w:noProof/>
        </w:rPr>
      </w:pPr>
      <w:bookmarkStart w:id="15" w:name="_Toc7167670"/>
      <w:bookmarkStart w:id="16" w:name="_Toc9416719"/>
      <w:r>
        <w:rPr>
          <w:b/>
          <w:noProof/>
        </w:rPr>
        <w:t>2.2.</w:t>
      </w:r>
      <w:r>
        <w:rPr>
          <w:noProof/>
        </w:rPr>
        <w:tab/>
      </w:r>
      <w:r>
        <w:rPr>
          <w:b/>
          <w:noProof/>
        </w:rPr>
        <w:t>Renforcement du programme Horizon 2020</w:t>
      </w:r>
      <w:bookmarkEnd w:id="15"/>
      <w:bookmarkEnd w:id="16"/>
    </w:p>
    <w:p>
      <w:pPr>
        <w:pStyle w:val="Text1"/>
        <w:ind w:left="0"/>
        <w:rPr>
          <w:noProof/>
        </w:rPr>
      </w:pPr>
      <w:r>
        <w:rPr>
          <w:noProof/>
        </w:rPr>
        <w:t>Un objectif ambitieux a été fixé, dans le cadre d’Horizon 2020, le programme phare pour la recherche et l’innovation, concernant la contribution de ce dernier à l’objectif en matière de climat du budget de l’UE. Alors que les dépenses ayant trait au changement climatique augmentent de manière considérable par rapport au 7</w:t>
      </w:r>
      <w:r>
        <w:rPr>
          <w:noProof/>
          <w:vertAlign w:val="superscript"/>
        </w:rPr>
        <w:t>e</w:t>
      </w:r>
      <w:r>
        <w:rPr>
          <w:noProof/>
        </w:rPr>
        <w:t xml:space="preserve"> programme-cadre pour le financement de la recherche 2007-2013 (7</w:t>
      </w:r>
      <w:r>
        <w:rPr>
          <w:noProof/>
          <w:vertAlign w:val="superscript"/>
        </w:rPr>
        <w:t>e</w:t>
      </w:r>
      <w:r>
        <w:rPr>
          <w:noProof/>
        </w:rPr>
        <w:t xml:space="preserve"> PC), il convient de renforcer les mesures spécifiques afin de s’approcher de l’objectif de 35 % du budget d’Horizon 2020 consacrés aux activités de recherche liées au climat. Il est donc proposé d’allouer </w:t>
      </w:r>
      <w:r>
        <w:rPr>
          <w:b/>
          <w:noProof/>
        </w:rPr>
        <w:t>80 millions d’EUR</w:t>
      </w:r>
      <w:r>
        <w:rPr>
          <w:noProof/>
        </w:rPr>
        <w:t xml:space="preserve"> supplémentaires aux activités et projets dans ce domaine, plus particulièrement à la recherche liée aux transports ainsi qu’aux technologies futures et émergentes dans le cadre du projet pilote du Conseil européen de l’innovation (CEI):</w:t>
      </w:r>
    </w:p>
    <w:p>
      <w:pPr>
        <w:pStyle w:val="Text1"/>
        <w:numPr>
          <w:ilvl w:val="0"/>
          <w:numId w:val="43"/>
        </w:numPr>
        <w:rPr>
          <w:noProof/>
        </w:rPr>
      </w:pPr>
      <w:r>
        <w:rPr>
          <w:noProof/>
        </w:rPr>
        <w:t xml:space="preserve">La Commission propose d’allouer un montant supplémentaire de 34,6 millions d’EUR au poste </w:t>
      </w:r>
      <w:r>
        <w:rPr>
          <w:i/>
          <w:noProof/>
        </w:rPr>
        <w:t>08 02 03 04</w:t>
      </w:r>
      <w:r>
        <w:rPr>
          <w:noProof/>
        </w:rPr>
        <w:t xml:space="preserve"> d’Horizon 2020 </w:t>
      </w:r>
      <w:r>
        <w:rPr>
          <w:bCs/>
          <w:i/>
          <w:noProof/>
        </w:rPr>
        <w:sym w:font="Symbol" w:char="F0BE"/>
      </w:r>
      <w:r>
        <w:rPr>
          <w:noProof/>
        </w:rPr>
        <w:t xml:space="preserve"> </w:t>
      </w:r>
      <w:r>
        <w:rPr>
          <w:i/>
          <w:noProof/>
        </w:rPr>
        <w:t>Parvenir à un système de transport européen économe en ressources, respectueux de l’environnement, sûr et continu</w:t>
      </w:r>
      <w:r>
        <w:rPr>
          <w:noProof/>
        </w:rPr>
        <w:t xml:space="preserve">, afin de renforcer les actions menées en 2019 pour lutter contre le changement climatique, en particulier les batteries, les véhicules verts et l’écologisation de l’aviation; </w:t>
      </w:r>
    </w:p>
    <w:p>
      <w:pPr>
        <w:pStyle w:val="Text1"/>
        <w:numPr>
          <w:ilvl w:val="0"/>
          <w:numId w:val="43"/>
        </w:numPr>
        <w:rPr>
          <w:noProof/>
        </w:rPr>
      </w:pPr>
      <w:r>
        <w:rPr>
          <w:noProof/>
        </w:rPr>
        <w:t xml:space="preserve">La Commission propose d’allouer un montant supplémentaire de 45,4 millions d’EUR au poste </w:t>
      </w:r>
      <w:r>
        <w:rPr>
          <w:i/>
          <w:noProof/>
        </w:rPr>
        <w:t>08 02 01 02</w:t>
      </w:r>
      <w:r>
        <w:rPr>
          <w:noProof/>
        </w:rPr>
        <w:t xml:space="preserve"> d’Horizon 2020 </w:t>
      </w:r>
      <w:r>
        <w:rPr>
          <w:bCs/>
          <w:i/>
          <w:noProof/>
        </w:rPr>
        <w:sym w:font="Symbol" w:char="F0BE"/>
      </w:r>
      <w:r>
        <w:rPr>
          <w:noProof/>
        </w:rPr>
        <w:t xml:space="preserve"> </w:t>
      </w:r>
      <w:r>
        <w:rPr>
          <w:i/>
          <w:noProof/>
        </w:rPr>
        <w:t>Renforcement de la recherche dans le domaine des technologies émergentes et futures</w:t>
      </w:r>
      <w:r>
        <w:rPr>
          <w:noProof/>
        </w:rPr>
        <w:t>, afin d’augmenter les ressources en faveur des thèmes «Génération d’énergie à émissions nulles innovante pour une décarbonation complète» et «Technologies liées à l’énergie et au changement climatique». L’action soutiendra principalement l’exploration pluridisciplinaire de nouvelles voies pour la production d’énergie propre, compacte et peu coûteuse, en ciblant les utilisations autonomes, mobiles ou portables dans des contextes spécifiques. Elle sélectionnera les projets qui ouvrent la voie à des technologies entièrement nouvelles et totalement décarbonées permettant de limiter les effets du secteur de l’énergie sur le changement climatique.</w:t>
      </w:r>
    </w:p>
    <w:p>
      <w:pPr>
        <w:keepNext/>
        <w:tabs>
          <w:tab w:val="left" w:pos="850"/>
        </w:tabs>
        <w:spacing w:before="360" w:after="120"/>
        <w:ind w:left="850" w:hanging="850"/>
        <w:jc w:val="both"/>
        <w:outlineLvl w:val="1"/>
        <w:rPr>
          <w:rFonts w:eastAsia="Calibri"/>
          <w:b/>
          <w:noProof/>
        </w:rPr>
      </w:pPr>
      <w:bookmarkStart w:id="17" w:name="_Toc7167671"/>
      <w:bookmarkStart w:id="18" w:name="_Toc9416720"/>
      <w:r>
        <w:rPr>
          <w:b/>
          <w:noProof/>
        </w:rPr>
        <w:t>2.3.</w:t>
      </w:r>
      <w:r>
        <w:rPr>
          <w:noProof/>
        </w:rPr>
        <w:tab/>
      </w:r>
      <w:r>
        <w:rPr>
          <w:b/>
          <w:noProof/>
        </w:rPr>
        <w:t>Renforcement du programme Erasmus+</w:t>
      </w:r>
      <w:bookmarkEnd w:id="17"/>
      <w:bookmarkEnd w:id="18"/>
    </w:p>
    <w:p>
      <w:pPr>
        <w:pStyle w:val="Text1"/>
        <w:ind w:left="0"/>
        <w:rPr>
          <w:noProof/>
        </w:rPr>
      </w:pPr>
      <w:r>
        <w:rPr>
          <w:noProof/>
        </w:rPr>
        <w:t xml:space="preserve">Erasmus+ est le programme de l’UE qui soutient l’éducation, la formation, la jeunesse et le sport en Europe. Il offrira à plus de 4 millions d’Européens la possibilité d’étudier, de se former et d’acquérir une expérience à l’étranger sur la période 2014-2020.  </w:t>
      </w:r>
    </w:p>
    <w:p>
      <w:pPr>
        <w:pStyle w:val="Text1"/>
        <w:ind w:left="0"/>
        <w:rPr>
          <w:noProof/>
        </w:rPr>
      </w:pPr>
      <w:r>
        <w:rPr>
          <w:noProof/>
        </w:rPr>
        <w:t xml:space="preserve">La Commission propose d’allouer un montant supplémentaire de </w:t>
      </w:r>
      <w:r>
        <w:rPr>
          <w:b/>
          <w:noProof/>
        </w:rPr>
        <w:t>20 millions d’EUR</w:t>
      </w:r>
      <w:r>
        <w:rPr>
          <w:noProof/>
        </w:rPr>
        <w:t xml:space="preserve"> au poste </w:t>
      </w:r>
      <w:r>
        <w:rPr>
          <w:i/>
          <w:noProof/>
        </w:rPr>
        <w:t>15 02 01 01</w:t>
      </w:r>
      <w:r>
        <w:rPr>
          <w:noProof/>
        </w:rPr>
        <w:t xml:space="preserve"> d’Erasmus+ </w:t>
      </w:r>
      <w:r>
        <w:rPr>
          <w:bCs/>
          <w:i/>
          <w:noProof/>
        </w:rPr>
        <w:sym w:font="Symbol" w:char="F0BE"/>
      </w:r>
      <w:r>
        <w:rPr>
          <w:noProof/>
        </w:rPr>
        <w:t xml:space="preserve"> </w:t>
      </w:r>
      <w:r>
        <w:rPr>
          <w:i/>
          <w:noProof/>
        </w:rPr>
        <w:t>Promouvoir l’excellence et la coopération dans le domaine de l’éducation et de la formation en Europe ainsi que son adéquation par rapport au marché du travail</w:t>
      </w:r>
      <w:r>
        <w:rPr>
          <w:noProof/>
        </w:rPr>
        <w:t xml:space="preserve">. Cette dotation permettra de renforcer le soutien financier de l’UE aux principales activités de mobilité du programme, en particulier dans le domaine de l’enseignement supérieur et de l’enseignement et de la formation professionnels, ainsi qu’en faveur des centres d’excellence professionnelle. Elle renforcera également les </w:t>
      </w:r>
      <w:r>
        <w:rPr>
          <w:i/>
          <w:noProof/>
        </w:rPr>
        <w:t>universités européennes</w:t>
      </w:r>
      <w:r>
        <w:rPr>
          <w:noProof/>
        </w:rPr>
        <w:t>, une action récente mise en œuvre dans le cadre de la création de l’</w:t>
      </w:r>
      <w:r>
        <w:rPr>
          <w:i/>
          <w:noProof/>
        </w:rPr>
        <w:t>espace européen de l’éducation d’ici 2025</w:t>
      </w:r>
      <w:r>
        <w:rPr>
          <w:rStyle w:val="FootnoteReference"/>
          <w:i/>
          <w:noProof/>
        </w:rPr>
        <w:footnoteReference w:id="7"/>
      </w:r>
      <w:r>
        <w:rPr>
          <w:noProof/>
        </w:rPr>
        <w:t xml:space="preserve">. </w:t>
      </w:r>
    </w:p>
    <w:p>
      <w:pPr>
        <w:keepNext/>
        <w:tabs>
          <w:tab w:val="left" w:pos="850"/>
        </w:tabs>
        <w:spacing w:before="360" w:after="120"/>
        <w:ind w:left="850" w:hanging="850"/>
        <w:jc w:val="both"/>
        <w:outlineLvl w:val="1"/>
        <w:rPr>
          <w:rFonts w:eastAsia="Calibri"/>
          <w:b/>
          <w:noProof/>
        </w:rPr>
      </w:pPr>
      <w:bookmarkStart w:id="19" w:name="_Toc7167672"/>
      <w:bookmarkStart w:id="20" w:name="_Toc9416721"/>
      <w:r>
        <w:rPr>
          <w:b/>
          <w:noProof/>
        </w:rPr>
        <w:t>2.4.</w:t>
      </w:r>
      <w:r>
        <w:rPr>
          <w:noProof/>
        </w:rPr>
        <w:tab/>
      </w:r>
      <w:r>
        <w:rPr>
          <w:b/>
          <w:noProof/>
        </w:rPr>
        <w:t>Financement</w:t>
      </w:r>
      <w:bookmarkEnd w:id="19"/>
      <w:bookmarkEnd w:id="20"/>
    </w:p>
    <w:p>
      <w:pPr>
        <w:spacing w:before="120" w:after="120"/>
        <w:jc w:val="both"/>
        <w:rPr>
          <w:noProof/>
        </w:rPr>
      </w:pPr>
      <w:r>
        <w:rPr>
          <w:noProof/>
        </w:rPr>
        <w:t xml:space="preserve">Compte tenu de l’absence de marge sous le plafond des engagements de la rubrique 1a </w:t>
      </w:r>
      <w:r>
        <w:rPr>
          <w:i/>
          <w:noProof/>
        </w:rPr>
        <w:t>Compétitivité pour la croissance et l’emploi</w:t>
      </w:r>
      <w:r>
        <w:rPr>
          <w:noProof/>
        </w:rPr>
        <w:t xml:space="preserve"> dans le budget général 2019, le renforcement des crédits d’engagement d’Horizon 2020 et d’Erasmus+ sera financé à partir de la marge globale pour les engagements. </w:t>
      </w:r>
    </w:p>
    <w:p>
      <w:pPr>
        <w:spacing w:before="120" w:after="120"/>
        <w:jc w:val="both"/>
        <w:rPr>
          <w:noProof/>
        </w:rPr>
      </w:pPr>
      <w:r>
        <w:rPr>
          <w:noProof/>
        </w:rPr>
        <w:t xml:space="preserve">La Commission considère qu’il n’est pas nécessaire, à ce stade, d’augmenter les crédits de paiement pour ces deux programmes dans le budget 2019. </w:t>
      </w:r>
    </w:p>
    <w:p>
      <w:pPr>
        <w:rPr>
          <w:b/>
          <w:smallCaps/>
          <w:noProof/>
        </w:rPr>
      </w:pPr>
      <w:r>
        <w:rPr>
          <w:noProof/>
        </w:rPr>
        <w:br w:type="page"/>
      </w:r>
    </w:p>
    <w:p>
      <w:pPr>
        <w:pStyle w:val="ManualHeading1"/>
        <w:rPr>
          <w:noProof/>
        </w:rPr>
      </w:pPr>
      <w:bookmarkStart w:id="21" w:name="_Toc486952804"/>
      <w:bookmarkStart w:id="22" w:name="_Toc7167673"/>
      <w:bookmarkStart w:id="23" w:name="_Toc9416722"/>
      <w:r>
        <w:rPr>
          <w:noProof/>
        </w:rPr>
        <w:t>3.</w:t>
      </w:r>
      <w:r>
        <w:rPr>
          <w:noProof/>
        </w:rPr>
        <w:tab/>
        <w:t>Tableau récapitulatif par rubrique du CFP</w:t>
      </w:r>
      <w:bookmarkEnd w:id="21"/>
      <w:bookmarkEnd w:id="22"/>
      <w:bookmarkEnd w:id="23"/>
    </w:p>
    <w:tbl>
      <w:tblPr>
        <w:tblW w:w="10800" w:type="dxa"/>
        <w:jc w:val="center"/>
        <w:tblLook w:val="04A0" w:firstRow="1" w:lastRow="0" w:firstColumn="1" w:lastColumn="0" w:noHBand="0" w:noVBand="1"/>
      </w:tblPr>
      <w:tblGrid>
        <w:gridCol w:w="357"/>
        <w:gridCol w:w="2677"/>
        <w:gridCol w:w="1347"/>
        <w:gridCol w:w="1347"/>
        <w:gridCol w:w="1189"/>
        <w:gridCol w:w="1189"/>
        <w:gridCol w:w="1347"/>
        <w:gridCol w:w="1347"/>
      </w:tblGrid>
      <w:tr>
        <w:trPr>
          <w:trHeight w:val="210"/>
          <w:jc w:val="center"/>
        </w:trPr>
        <w:tc>
          <w:tcPr>
            <w:tcW w:w="29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3"/>
          <w:bookmarkEnd w:id="4"/>
          <w:p>
            <w:pPr>
              <w:jc w:val="center"/>
              <w:rPr>
                <w:b/>
                <w:bCs/>
                <w:noProof/>
                <w:color w:val="000000"/>
                <w:sz w:val="14"/>
                <w:szCs w:val="14"/>
              </w:rPr>
            </w:pPr>
            <w:r>
              <w:rPr>
                <w:b/>
                <w:noProof/>
                <w:color w:val="000000"/>
                <w:sz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2/2019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1-2/2018)</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80 527 449 848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67 556 947 173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178 715 475</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424 734 373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23 335 449 848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20 521 537 455</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 xml:space="preserve"> 178 715 475</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74 734 373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57 192 000 000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47 035 409 718</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350 000 000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57 399 857 331</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43 116 399 417</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Écart d’arrondis exclu du calcul de la marge</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3 786 629 138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3 527 434 894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985 629 138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9 358 295 603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1 051 265 627</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9 942 974 723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9 944 904 743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589 143 121</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7 749 215 823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165 218 397 322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100 000 000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147 787 439 744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961 862 659</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1 476 000 000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100 000 000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19 883 422 915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pPr>
              <w:rPr>
                <w:b/>
                <w:bCs/>
                <w:noProof/>
                <w:color w:val="000000"/>
                <w:sz w:val="14"/>
                <w:szCs w:val="14"/>
              </w:rPr>
            </w:pPr>
            <w:r>
              <w:rPr>
                <w:b/>
                <w:noProof/>
                <w:color w:val="000000"/>
                <w:sz w:val="14"/>
              </w:rPr>
              <w:t>Autres instruments spéciaux</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577 248 000</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411 500 000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411 500 000</w:t>
            </w:r>
          </w:p>
        </w:tc>
      </w:tr>
      <w:tr>
        <w:trPr>
          <w:trHeight w:val="225"/>
          <w:jc w:val="center"/>
        </w:trPr>
        <w:tc>
          <w:tcPr>
            <w:tcW w:w="29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165 795 645 322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148 198 939 744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100 000 000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165 895 645 322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148 198 939 744</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6</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r>
      <w:r>
        <w:rPr>
          <w:sz w:val="18"/>
        </w:rPr>
        <w:t>JO L 193 du 30.7.2018, p. 1.</w:t>
      </w:r>
    </w:p>
  </w:footnote>
  <w:footnote w:id="3">
    <w:p>
      <w:pPr>
        <w:pStyle w:val="FootnoteText"/>
      </w:pPr>
      <w:r>
        <w:rPr>
          <w:rStyle w:val="FootnoteReference"/>
        </w:rPr>
        <w:footnoteRef/>
      </w:r>
      <w:r>
        <w:tab/>
      </w:r>
      <w:r>
        <w:rPr>
          <w:sz w:val="18"/>
        </w:rPr>
        <w:t>JO L 67 du 7.3.2019.</w:t>
      </w:r>
    </w:p>
  </w:footnote>
  <w:footnote w:id="4">
    <w:p>
      <w:pPr>
        <w:pStyle w:val="FootnoteText"/>
      </w:pPr>
      <w:r>
        <w:rPr>
          <w:rStyle w:val="FootnoteReference"/>
        </w:rPr>
        <w:footnoteRef/>
      </w:r>
      <w:r>
        <w:t xml:space="preserve"> </w:t>
      </w:r>
      <w:r>
        <w:tab/>
      </w:r>
      <w:r>
        <w:rPr>
          <w:sz w:val="18"/>
        </w:rPr>
        <w:t>COM(2019) 300 du 15.4.2019.</w:t>
      </w:r>
    </w:p>
  </w:footnote>
  <w:footnote w:id="5">
    <w:p>
      <w:pPr>
        <w:pStyle w:val="FootnoteText"/>
        <w:rPr>
          <w:highlight w:val="yellow"/>
        </w:rPr>
      </w:pPr>
      <w:r>
        <w:rPr>
          <w:rStyle w:val="FootnoteReference"/>
        </w:rPr>
        <w:footnoteRef/>
      </w:r>
      <w:r>
        <w:t xml:space="preserve"> </w:t>
      </w:r>
      <w:r>
        <w:tab/>
        <w:t xml:space="preserve">Résolution du Parlement européen du 12 décembre 2018 sur le deuxième projet de budget général de l’Union européenne pour l’exercice 2019 [15205/2018 – C8-0499/2018 – </w:t>
      </w:r>
      <w:hyperlink r:id="rId1">
        <w:r>
          <w:rPr>
            <w:rStyle w:val="Hyperlink"/>
          </w:rPr>
          <w:t>2018/2275 (BUD)</w:t>
        </w:r>
      </w:hyperlink>
      <w:r>
        <w:t>].</w:t>
      </w:r>
    </w:p>
  </w:footnote>
  <w:footnote w:id="6">
    <w:p>
      <w:pPr>
        <w:pStyle w:val="FootnoteText"/>
      </w:pPr>
      <w:r>
        <w:rPr>
          <w:rStyle w:val="FootnoteReference"/>
        </w:rPr>
        <w:footnoteRef/>
      </w:r>
      <w:r>
        <w:t xml:space="preserve"> </w:t>
      </w:r>
      <w:r>
        <w:tab/>
        <w:t>COM(2019) 310 du [14.5.2019].</w:t>
      </w:r>
    </w:p>
  </w:footnote>
  <w:footnote w:id="7">
    <w:p>
      <w:pPr>
        <w:pStyle w:val="FootnoteText"/>
        <w:tabs>
          <w:tab w:val="left" w:pos="851"/>
        </w:tabs>
        <w:ind w:left="851" w:hanging="851"/>
      </w:pPr>
      <w:r>
        <w:rPr>
          <w:color w:val="000000" w:themeColor="text1"/>
        </w:rPr>
        <w:footnoteRef/>
      </w:r>
      <w:r>
        <w:rPr>
          <w:color w:val="000000" w:themeColor="text1"/>
        </w:rPr>
        <w:t xml:space="preserve"> </w:t>
      </w:r>
      <w:r>
        <w:tab/>
      </w:r>
      <w:r>
        <w:rPr>
          <w:color w:val="000000" w:themeColor="text1"/>
        </w:rPr>
        <w:t>Communication intitulée «Renforcer l’identité européenne par l’éducation et la culture» du 14 novembre 2017 [COM(2017) 673].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9847826"/>
    <w:multiLevelType w:val="hybridMultilevel"/>
    <w:tmpl w:val="42E8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B5D68CF"/>
    <w:multiLevelType w:val="hybridMultilevel"/>
    <w:tmpl w:val="4CE08654"/>
    <w:lvl w:ilvl="0" w:tplc="994220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4">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2"/>
  </w:num>
  <w:num w:numId="4">
    <w:abstractNumId w:val="17"/>
  </w:num>
  <w:num w:numId="5">
    <w:abstractNumId w:val="23"/>
  </w:num>
  <w:num w:numId="6">
    <w:abstractNumId w:val="17"/>
  </w:num>
  <w:num w:numId="7">
    <w:abstractNumId w:val="22"/>
  </w:num>
  <w:num w:numId="8">
    <w:abstractNumId w:val="15"/>
  </w:num>
  <w:num w:numId="9">
    <w:abstractNumId w:val="7"/>
  </w:num>
  <w:num w:numId="10">
    <w:abstractNumId w:val="13"/>
  </w:num>
  <w:num w:numId="11">
    <w:abstractNumId w:val="14"/>
  </w:num>
  <w:num w:numId="12">
    <w:abstractNumId w:val="5"/>
  </w:num>
  <w:num w:numId="13">
    <w:abstractNumId w:val="6"/>
  </w:num>
  <w:num w:numId="14">
    <w:abstractNumId w:val="9"/>
  </w:num>
  <w:num w:numId="15">
    <w:abstractNumId w:val="11"/>
  </w:num>
  <w:num w:numId="16">
    <w:abstractNumId w:val="19"/>
  </w:num>
  <w:num w:numId="17">
    <w:abstractNumId w:val="17"/>
  </w:num>
  <w:num w:numId="18">
    <w:abstractNumId w:val="21"/>
  </w:num>
  <w:num w:numId="19">
    <w:abstractNumId w:val="4"/>
  </w:num>
  <w:num w:numId="20">
    <w:abstractNumId w:val="10"/>
  </w:num>
  <w:num w:numId="21">
    <w:abstractNumId w:val="17"/>
  </w:num>
  <w:num w:numId="22">
    <w:abstractNumId w:val="17"/>
  </w:num>
  <w:num w:numId="23">
    <w:abstractNumId w:val="0"/>
  </w:num>
  <w:num w:numId="24">
    <w:abstractNumId w:val="18"/>
  </w:num>
  <w:num w:numId="25">
    <w:abstractNumId w:val="16"/>
  </w:num>
  <w:num w:numId="26">
    <w:abstractNumId w:val="3"/>
  </w:num>
  <w:num w:numId="27">
    <w:abstractNumId w:val="24"/>
  </w:num>
  <w:num w:numId="28">
    <w:abstractNumId w:val="2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7BC7C3F3-4690-4A1A-9BBB-12D012C1E0E1"/>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nforcement de programmes clés pour la compétitivité de l'UE: Horizon 2020 et Erasmus+"/>
    <w:docVar w:name="LW_TITRE.OBJ.CP_PREVIOUS" w:val="&lt;UNUSED&gt;"/>
    <w:docVar w:name="LW_TYPE.DOC.CP" w:val="PROJET DE BUDGET RECTIFICATIF N° 2_x000b_AU BUDGET GÉNÉRAL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fr.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oeil/popups/ficheprocedure.do?lang=fr&amp;reference=2016/2047(B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2.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7BA85-4E09-4A59-BEF7-0E1E6301EDDB}">
  <ds:schemaRef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d9606faa-45a1-44ba-9f56-4f4a8f4034dc"/>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E00B20A7-F0ED-4D6C-9284-37E23EC5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1733</Words>
  <Characters>8374</Characters>
  <Application>Microsoft Office Word</Application>
  <DocSecurity>0</DocSecurity>
  <Lines>492</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9827</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2019-04-26T13:48:00Z</cp:lastPrinted>
  <dcterms:created xsi:type="dcterms:W3CDTF">2019-05-06T16:05:00Z</dcterms:created>
  <dcterms:modified xsi:type="dcterms:W3CDTF">2019-05-27T13:43:00Z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