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08973885"/>
      <w:bookmarkStart w:id="1" w:name="_Toc508973599"/>
      <w:bookmarkStart w:id="2" w:name="_Toc508973545"/>
      <w:bookmarkStart w:id="3" w:name="_Toc477531487"/>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23D61BD1-7262-4636-BE56-8AA07BFB9BD2" style="width:450.4pt;height:367.55pt">
            <v:imagedata r:id="rId12" o:title=""/>
          </v:shape>
        </w:pict>
      </w:r>
    </w:p>
    <w:bookmarkEnd w:id="4"/>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TOCHeading"/>
        <w:rPr>
          <w:rFonts w:eastAsia="Times New Roman"/>
        </w:rPr>
      </w:pPr>
      <w:bookmarkStart w:id="5" w:name="_GoBack"/>
      <w:bookmarkEnd w:id="5"/>
    </w:p>
    <w:sdt>
      <w:sdtPr>
        <w:rPr>
          <w:rFonts w:ascii="Times New Roman" w:eastAsia="Times New Roman" w:hAnsi="Times New Roman" w:cs="Times New Roman"/>
          <w:b w:val="0"/>
          <w:bCs w:val="0"/>
          <w:smallCaps w:val="0"/>
          <w:color w:val="auto"/>
          <w:sz w:val="20"/>
          <w:szCs w:val="20"/>
          <w:lang w:val="en-GB" w:eastAsia="en-GB"/>
        </w:rPr>
        <w:id w:val="-1811482188"/>
        <w:docPartObj>
          <w:docPartGallery w:val="Table of Contents"/>
          <w:docPartUnique/>
        </w:docPartObj>
      </w:sdtPr>
      <w:sdtContent>
        <w:p>
          <w:pPr>
            <w:pStyle w:val="TOCHeading"/>
          </w:pPr>
          <w:r>
            <w:t>Table of Contents</w:t>
          </w:r>
        </w:p>
        <w:p>
          <w:pPr>
            <w:pStyle w:val="TOC1"/>
            <w:tabs>
              <w:tab w:val="left" w:pos="400"/>
              <w:tab w:val="right" w:leader="dot" w:pos="9062"/>
            </w:tabs>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7791282" w:history="1">
            <w:r>
              <w:rPr>
                <w:rStyle w:val="Hyperlink"/>
                <w:noProof/>
              </w:rPr>
              <w:t>1.</w:t>
            </w:r>
            <w:r>
              <w:rPr>
                <w:rFonts w:asciiTheme="minorHAnsi" w:eastAsiaTheme="minorEastAsia" w:hAnsiTheme="minorHAnsi" w:cstheme="minorBidi"/>
                <w:noProof/>
                <w:sz w:val="22"/>
                <w:szCs w:val="22"/>
              </w:rPr>
              <w:tab/>
            </w:r>
            <w:r>
              <w:rPr>
                <w:rStyle w:val="Hyperlink"/>
                <w:noProof/>
              </w:rPr>
              <w:t>INTRODUCTION</w:t>
            </w:r>
            <w:r>
              <w:rPr>
                <w:noProof/>
                <w:webHidden/>
              </w:rPr>
              <w:tab/>
            </w:r>
            <w:r>
              <w:rPr>
                <w:noProof/>
                <w:webHidden/>
              </w:rPr>
              <w:fldChar w:fldCharType="begin"/>
            </w:r>
            <w:r>
              <w:rPr>
                <w:noProof/>
                <w:webHidden/>
              </w:rPr>
              <w:instrText xml:space="preserve"> PAGEREF _Toc7791282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400"/>
              <w:tab w:val="right" w:leader="dot" w:pos="9062"/>
            </w:tabs>
            <w:rPr>
              <w:rFonts w:asciiTheme="minorHAnsi" w:eastAsiaTheme="minorEastAsia" w:hAnsiTheme="minorHAnsi" w:cstheme="minorBidi"/>
              <w:noProof/>
              <w:sz w:val="22"/>
              <w:szCs w:val="22"/>
            </w:rPr>
          </w:pPr>
          <w:hyperlink w:anchor="_Toc7791283" w:history="1">
            <w:r>
              <w:rPr>
                <w:rStyle w:val="Hyperlink"/>
                <w:noProof/>
              </w:rPr>
              <w:t>2.</w:t>
            </w:r>
            <w:r>
              <w:rPr>
                <w:rFonts w:asciiTheme="minorHAnsi" w:eastAsiaTheme="minorEastAsia" w:hAnsiTheme="minorHAnsi" w:cstheme="minorBidi"/>
                <w:noProof/>
                <w:sz w:val="22"/>
                <w:szCs w:val="22"/>
              </w:rPr>
              <w:tab/>
            </w:r>
            <w:r>
              <w:rPr>
                <w:rStyle w:val="Hyperlink"/>
                <w:noProof/>
              </w:rPr>
              <w:t>EFSI OPERATIONS SUPPORTED BY THE EU GUARANTEE</w:t>
            </w:r>
            <w:r>
              <w:rPr>
                <w:noProof/>
                <w:webHidden/>
              </w:rPr>
              <w:tab/>
            </w:r>
            <w:r>
              <w:rPr>
                <w:noProof/>
                <w:webHidden/>
              </w:rPr>
              <w:fldChar w:fldCharType="begin"/>
            </w:r>
            <w:r>
              <w:rPr>
                <w:noProof/>
                <w:webHidden/>
              </w:rPr>
              <w:instrText xml:space="preserve"> PAGEREF _Toc7791283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noProof/>
              <w:sz w:val="22"/>
              <w:szCs w:val="22"/>
            </w:rPr>
          </w:pPr>
          <w:hyperlink w:anchor="_Toc7791284" w:history="1">
            <w:r>
              <w:rPr>
                <w:rStyle w:val="Hyperlink"/>
                <w:noProof/>
              </w:rPr>
              <w:t>2.1</w:t>
            </w:r>
            <w:r>
              <w:rPr>
                <w:rFonts w:asciiTheme="minorHAnsi" w:eastAsiaTheme="minorEastAsia" w:hAnsiTheme="minorHAnsi" w:cstheme="minorBidi"/>
                <w:noProof/>
                <w:sz w:val="22"/>
                <w:szCs w:val="22"/>
              </w:rPr>
              <w:tab/>
            </w:r>
            <w:r>
              <w:rPr>
                <w:rStyle w:val="Hyperlink"/>
                <w:noProof/>
              </w:rPr>
              <w:t>IIW OPERATIONS</w:t>
            </w:r>
            <w:r>
              <w:rPr>
                <w:noProof/>
                <w:webHidden/>
              </w:rPr>
              <w:tab/>
            </w:r>
            <w:r>
              <w:rPr>
                <w:noProof/>
                <w:webHidden/>
              </w:rPr>
              <w:fldChar w:fldCharType="begin"/>
            </w:r>
            <w:r>
              <w:rPr>
                <w:noProof/>
                <w:webHidden/>
              </w:rPr>
              <w:instrText xml:space="preserve"> PAGEREF _Toc7791284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noProof/>
              <w:sz w:val="22"/>
              <w:szCs w:val="22"/>
            </w:rPr>
          </w:pPr>
          <w:hyperlink w:anchor="_Toc7791285" w:history="1">
            <w:r>
              <w:rPr>
                <w:rStyle w:val="Hyperlink"/>
                <w:noProof/>
              </w:rPr>
              <w:t>2.2</w:t>
            </w:r>
            <w:r>
              <w:rPr>
                <w:rFonts w:asciiTheme="minorHAnsi" w:eastAsiaTheme="minorEastAsia" w:hAnsiTheme="minorHAnsi" w:cstheme="minorBidi"/>
                <w:noProof/>
                <w:sz w:val="22"/>
                <w:szCs w:val="22"/>
              </w:rPr>
              <w:tab/>
            </w:r>
            <w:r>
              <w:rPr>
                <w:rStyle w:val="Hyperlink"/>
                <w:noProof/>
              </w:rPr>
              <w:t>SMEW OPERATIONS</w:t>
            </w:r>
            <w:r>
              <w:rPr>
                <w:noProof/>
                <w:webHidden/>
              </w:rPr>
              <w:tab/>
            </w:r>
            <w:r>
              <w:rPr>
                <w:noProof/>
                <w:webHidden/>
              </w:rPr>
              <w:fldChar w:fldCharType="begin"/>
            </w:r>
            <w:r>
              <w:rPr>
                <w:noProof/>
                <w:webHidden/>
              </w:rPr>
              <w:instrText xml:space="preserve"> PAGEREF _Toc7791285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noProof/>
              <w:sz w:val="22"/>
              <w:szCs w:val="22"/>
            </w:rPr>
          </w:pPr>
          <w:hyperlink w:anchor="_Toc7791286" w:history="1">
            <w:r>
              <w:rPr>
                <w:rStyle w:val="Hyperlink"/>
                <w:noProof/>
              </w:rPr>
              <w:t>2.3</w:t>
            </w:r>
            <w:r>
              <w:rPr>
                <w:rFonts w:asciiTheme="minorHAnsi" w:eastAsiaTheme="minorEastAsia" w:hAnsiTheme="minorHAnsi" w:cstheme="minorBidi"/>
                <w:noProof/>
                <w:sz w:val="22"/>
                <w:szCs w:val="22"/>
              </w:rPr>
              <w:tab/>
            </w:r>
            <w:r>
              <w:rPr>
                <w:rStyle w:val="Hyperlink"/>
                <w:noProof/>
              </w:rPr>
              <w:t>BREAKDOWN OF EFSI OPERATIONS BY SECTOR AND COUNTRY</w:t>
            </w:r>
            <w:r>
              <w:rPr>
                <w:noProof/>
                <w:webHidden/>
              </w:rPr>
              <w:tab/>
            </w:r>
            <w:r>
              <w:rPr>
                <w:noProof/>
                <w:webHidden/>
              </w:rPr>
              <w:fldChar w:fldCharType="begin"/>
            </w:r>
            <w:r>
              <w:rPr>
                <w:noProof/>
                <w:webHidden/>
              </w:rPr>
              <w:instrText xml:space="preserve"> PAGEREF _Toc7791286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00"/>
              <w:tab w:val="right" w:leader="dot" w:pos="9062"/>
            </w:tabs>
            <w:rPr>
              <w:rFonts w:asciiTheme="minorHAnsi" w:eastAsiaTheme="minorEastAsia" w:hAnsiTheme="minorHAnsi" w:cstheme="minorBidi"/>
              <w:noProof/>
              <w:sz w:val="22"/>
              <w:szCs w:val="22"/>
            </w:rPr>
          </w:pPr>
          <w:hyperlink w:anchor="_Toc7791287" w:history="1">
            <w:r>
              <w:rPr>
                <w:rStyle w:val="Hyperlink"/>
                <w:noProof/>
              </w:rPr>
              <w:t>3.</w:t>
            </w:r>
            <w:r>
              <w:rPr>
                <w:rFonts w:asciiTheme="minorHAnsi" w:eastAsiaTheme="minorEastAsia" w:hAnsiTheme="minorHAnsi" w:cstheme="minorBidi"/>
                <w:noProof/>
                <w:sz w:val="22"/>
                <w:szCs w:val="22"/>
              </w:rPr>
              <w:tab/>
            </w:r>
            <w:r>
              <w:rPr>
                <w:rStyle w:val="Hyperlink"/>
                <w:noProof/>
              </w:rPr>
              <w:t>EFSI GF FINANCIAL STATEMENTS</w:t>
            </w:r>
            <w:r>
              <w:rPr>
                <w:noProof/>
                <w:webHidden/>
              </w:rPr>
              <w:tab/>
            </w:r>
            <w:r>
              <w:rPr>
                <w:noProof/>
                <w:webHidden/>
              </w:rPr>
              <w:fldChar w:fldCharType="begin"/>
            </w:r>
            <w:r>
              <w:rPr>
                <w:noProof/>
                <w:webHidden/>
              </w:rPr>
              <w:instrText xml:space="preserve"> PAGEREF _Toc7791287 \h </w:instrText>
            </w:r>
            <w:r>
              <w:rPr>
                <w:noProof/>
                <w:webHidden/>
              </w:rPr>
            </w:r>
            <w:r>
              <w:rPr>
                <w:noProof/>
                <w:webHidden/>
              </w:rPr>
              <w:fldChar w:fldCharType="separate"/>
            </w:r>
            <w:r>
              <w:rPr>
                <w:noProof/>
                <w:webHidden/>
              </w:rPr>
              <w:t>5</w:t>
            </w:r>
            <w:r>
              <w:rPr>
                <w:noProof/>
                <w:webHidden/>
              </w:rPr>
              <w:fldChar w:fldCharType="end"/>
            </w:r>
          </w:hyperlink>
        </w:p>
        <w:p>
          <w:pPr>
            <w:pStyle w:val="TOC1"/>
            <w:tabs>
              <w:tab w:val="left" w:pos="400"/>
              <w:tab w:val="right" w:leader="dot" w:pos="9062"/>
            </w:tabs>
            <w:rPr>
              <w:rFonts w:asciiTheme="minorHAnsi" w:eastAsiaTheme="minorEastAsia" w:hAnsiTheme="minorHAnsi" w:cstheme="minorBidi"/>
              <w:noProof/>
              <w:sz w:val="22"/>
              <w:szCs w:val="22"/>
            </w:rPr>
          </w:pPr>
          <w:hyperlink w:anchor="_Toc7791288" w:history="1">
            <w:r>
              <w:rPr>
                <w:rStyle w:val="Hyperlink"/>
                <w:noProof/>
              </w:rPr>
              <w:t>4.</w:t>
            </w:r>
            <w:r>
              <w:rPr>
                <w:rFonts w:asciiTheme="minorHAnsi" w:eastAsiaTheme="minorEastAsia" w:hAnsiTheme="minorHAnsi" w:cstheme="minorBidi"/>
                <w:noProof/>
                <w:sz w:val="22"/>
                <w:szCs w:val="22"/>
              </w:rPr>
              <w:tab/>
            </w:r>
            <w:r>
              <w:rPr>
                <w:rStyle w:val="Hyperlink"/>
                <w:noProof/>
              </w:rPr>
              <w:t>PROVISIONING OF THE EFSI GF</w:t>
            </w:r>
            <w:r>
              <w:rPr>
                <w:noProof/>
                <w:webHidden/>
              </w:rPr>
              <w:tab/>
            </w:r>
            <w:r>
              <w:rPr>
                <w:noProof/>
                <w:webHidden/>
              </w:rPr>
              <w:fldChar w:fldCharType="begin"/>
            </w:r>
            <w:r>
              <w:rPr>
                <w:noProof/>
                <w:webHidden/>
              </w:rPr>
              <w:instrText xml:space="preserve"> PAGEREF _Toc7791288 \h </w:instrText>
            </w:r>
            <w:r>
              <w:rPr>
                <w:noProof/>
                <w:webHidden/>
              </w:rPr>
            </w:r>
            <w:r>
              <w:rPr>
                <w:noProof/>
                <w:webHidden/>
              </w:rPr>
              <w:fldChar w:fldCharType="separate"/>
            </w:r>
            <w:r>
              <w:rPr>
                <w:noProof/>
                <w:webHidden/>
              </w:rPr>
              <w:t>7</w:t>
            </w:r>
            <w:r>
              <w:rPr>
                <w:noProof/>
                <w:webHidden/>
              </w:rPr>
              <w:fldChar w:fldCharType="end"/>
            </w:r>
          </w:hyperlink>
        </w:p>
        <w:p>
          <w:pPr>
            <w:pStyle w:val="TOC1"/>
            <w:tabs>
              <w:tab w:val="left" w:pos="400"/>
              <w:tab w:val="right" w:leader="dot" w:pos="9062"/>
            </w:tabs>
            <w:rPr>
              <w:rFonts w:asciiTheme="minorHAnsi" w:eastAsiaTheme="minorEastAsia" w:hAnsiTheme="minorHAnsi" w:cstheme="minorBidi"/>
              <w:noProof/>
              <w:sz w:val="22"/>
              <w:szCs w:val="22"/>
            </w:rPr>
          </w:pPr>
          <w:hyperlink w:anchor="_Toc7791289" w:history="1">
            <w:r>
              <w:rPr>
                <w:rStyle w:val="Hyperlink"/>
                <w:noProof/>
              </w:rPr>
              <w:t>5.</w:t>
            </w:r>
            <w:r>
              <w:rPr>
                <w:rFonts w:asciiTheme="minorHAnsi" w:eastAsiaTheme="minorEastAsia" w:hAnsiTheme="minorHAnsi" w:cstheme="minorBidi"/>
                <w:noProof/>
                <w:sz w:val="22"/>
                <w:szCs w:val="22"/>
              </w:rPr>
              <w:tab/>
            </w:r>
            <w:r>
              <w:rPr>
                <w:rStyle w:val="Hyperlink"/>
                <w:noProof/>
              </w:rPr>
              <w:t>ASSET MANAGEMENT</w:t>
            </w:r>
            <w:r>
              <w:rPr>
                <w:noProof/>
                <w:webHidden/>
              </w:rPr>
              <w:tab/>
            </w:r>
            <w:r>
              <w:rPr>
                <w:noProof/>
                <w:webHidden/>
              </w:rPr>
              <w:fldChar w:fldCharType="begin"/>
            </w:r>
            <w:r>
              <w:rPr>
                <w:noProof/>
                <w:webHidden/>
              </w:rPr>
              <w:instrText xml:space="preserve"> PAGEREF _Toc7791289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rPr>
          </w:pPr>
          <w:hyperlink w:anchor="_Toc7791290" w:history="1">
            <w:r>
              <w:rPr>
                <w:rStyle w:val="Hyperlink"/>
                <w:noProof/>
              </w:rPr>
              <w:t>5.1</w:t>
            </w:r>
            <w:r>
              <w:rPr>
                <w:rFonts w:asciiTheme="minorHAnsi" w:eastAsiaTheme="minorEastAsia" w:hAnsiTheme="minorHAnsi" w:cstheme="minorBidi"/>
                <w:noProof/>
                <w:sz w:val="22"/>
                <w:szCs w:val="22"/>
              </w:rPr>
              <w:tab/>
            </w:r>
            <w:r>
              <w:rPr>
                <w:rStyle w:val="Hyperlink"/>
                <w:noProof/>
              </w:rPr>
              <w:t>COMPOSITION OF THE PORTFOLIO</w:t>
            </w:r>
            <w:r>
              <w:rPr>
                <w:noProof/>
                <w:webHidden/>
              </w:rPr>
              <w:tab/>
            </w:r>
            <w:r>
              <w:rPr>
                <w:noProof/>
                <w:webHidden/>
              </w:rPr>
              <w:fldChar w:fldCharType="begin"/>
            </w:r>
            <w:r>
              <w:rPr>
                <w:noProof/>
                <w:webHidden/>
              </w:rPr>
              <w:instrText xml:space="preserve"> PAGEREF _Toc7791290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rPr>
          </w:pPr>
          <w:hyperlink w:anchor="_Toc7791291" w:history="1">
            <w:r>
              <w:rPr>
                <w:rStyle w:val="Hyperlink"/>
                <w:noProof/>
              </w:rPr>
              <w:t>5.2</w:t>
            </w:r>
            <w:r>
              <w:rPr>
                <w:rFonts w:asciiTheme="minorHAnsi" w:eastAsiaTheme="minorEastAsia" w:hAnsiTheme="minorHAnsi" w:cstheme="minorBidi"/>
                <w:noProof/>
                <w:sz w:val="22"/>
                <w:szCs w:val="22"/>
              </w:rPr>
              <w:tab/>
            </w:r>
            <w:r>
              <w:rPr>
                <w:rStyle w:val="Hyperlink"/>
                <w:noProof/>
              </w:rPr>
              <w:t>KEY RISK CHARACTERISTICS OF THE PORTFOLIO</w:t>
            </w:r>
            <w:r>
              <w:rPr>
                <w:noProof/>
                <w:webHidden/>
              </w:rPr>
              <w:tab/>
            </w:r>
            <w:r>
              <w:rPr>
                <w:noProof/>
                <w:webHidden/>
              </w:rPr>
              <w:fldChar w:fldCharType="begin"/>
            </w:r>
            <w:r>
              <w:rPr>
                <w:noProof/>
                <w:webHidden/>
              </w:rPr>
              <w:instrText xml:space="preserve"> PAGEREF _Toc7791291 \h </w:instrText>
            </w:r>
            <w:r>
              <w:rPr>
                <w:noProof/>
                <w:webHidden/>
              </w:rPr>
            </w:r>
            <w:r>
              <w:rPr>
                <w:noProof/>
                <w:webHidden/>
              </w:rPr>
              <w:fldChar w:fldCharType="separate"/>
            </w:r>
            <w:r>
              <w:rPr>
                <w:noProof/>
                <w:webHidden/>
              </w:rPr>
              <w:t>9</w:t>
            </w:r>
            <w:r>
              <w:rPr>
                <w:noProof/>
                <w:webHidden/>
              </w:rPr>
              <w:fldChar w:fldCharType="end"/>
            </w:r>
          </w:hyperlink>
        </w:p>
        <w:p>
          <w:pPr>
            <w:rPr>
              <w:b/>
              <w:bCs/>
              <w:noProof/>
            </w:rPr>
          </w:pPr>
          <w:r>
            <w:rPr>
              <w:b/>
              <w:bCs/>
              <w:noProof/>
            </w:rPr>
            <w:fldChar w:fldCharType="end"/>
          </w:r>
        </w:p>
        <w:p>
          <w:pPr>
            <w:rPr>
              <w:noProof/>
            </w:rPr>
          </w:pPr>
        </w:p>
      </w:sdtContent>
    </w:sdt>
    <w:p>
      <w:pPr>
        <w:widowControl/>
        <w:autoSpaceDE/>
        <w:autoSpaceDN/>
        <w:adjustRightInd/>
        <w:spacing w:after="200" w:line="276" w:lineRule="auto"/>
        <w:rPr>
          <w:noProof/>
        </w:rPr>
        <w:sectPr>
          <w:headerReference w:type="even" r:id="rId19"/>
          <w:headerReference w:type="default" r:id="rId20"/>
          <w:footerReference w:type="even" r:id="rId21"/>
          <w:footerReference w:type="default" r:id="rId22"/>
          <w:headerReference w:type="first" r:id="rId23"/>
          <w:footerReference w:type="first" r:id="rId24"/>
          <w:pgSz w:w="11906" w:h="16838" w:code="9"/>
          <w:pgMar w:top="1134" w:right="1417" w:bottom="1134" w:left="1417" w:header="709" w:footer="709" w:gutter="0"/>
          <w:pgNumType w:start="1"/>
          <w:cols w:space="720"/>
          <w:docGrid w:linePitch="360"/>
        </w:sectPr>
      </w:pPr>
    </w:p>
    <w:p>
      <w:pPr>
        <w:pStyle w:val="Heading1"/>
      </w:pPr>
      <w:bookmarkStart w:id="6" w:name="_Toc7791282"/>
      <w:r>
        <w:lastRenderedPageBreak/>
        <w:t>INTRODUCTION</w:t>
      </w:r>
      <w:bookmarkEnd w:id="0"/>
      <w:bookmarkEnd w:id="1"/>
      <w:bookmarkEnd w:id="2"/>
      <w:bookmarkEnd w:id="3"/>
      <w:bookmarkEnd w:id="6"/>
    </w:p>
    <w:p>
      <w:pPr>
        <w:spacing w:before="240" w:after="240"/>
        <w:jc w:val="both"/>
        <w:rPr>
          <w:noProof/>
          <w:sz w:val="24"/>
          <w:szCs w:val="24"/>
        </w:rPr>
      </w:pPr>
      <w:r>
        <w:rPr>
          <w:noProof/>
          <w:sz w:val="24"/>
          <w:szCs w:val="24"/>
        </w:rPr>
        <w:t>This Staff Working Document (SWD) accompanies the Report on the Management of the European Fund for Strategic Investments Guarantee Fund (EFSI GF) in 2018. The SWD provides further information and tables on (2) operations under the IIW and SMEW (signatures and disbursed amounts, breakdown by sector and country), (3) financial statements, (4) provisioning of the EFSI GF and (5) asset management.</w:t>
      </w:r>
    </w:p>
    <w:p>
      <w:pPr>
        <w:pStyle w:val="Heading1"/>
      </w:pPr>
      <w:bookmarkStart w:id="7" w:name="_Toc477531488"/>
      <w:bookmarkStart w:id="8" w:name="_Toc508973546"/>
      <w:bookmarkStart w:id="9" w:name="_Toc508973600"/>
      <w:bookmarkStart w:id="10" w:name="_Toc508973886"/>
      <w:bookmarkStart w:id="11" w:name="_Toc7791283"/>
      <w:r>
        <w:t>EFSI OPERATIONS</w:t>
      </w:r>
      <w:bookmarkEnd w:id="7"/>
      <w:r>
        <w:t xml:space="preserve"> SUPPORTED BY THE EU GUARANTEE</w:t>
      </w:r>
      <w:bookmarkEnd w:id="8"/>
      <w:bookmarkEnd w:id="9"/>
      <w:bookmarkEnd w:id="10"/>
      <w:bookmarkEnd w:id="11"/>
    </w:p>
    <w:p>
      <w:pPr>
        <w:spacing w:before="240" w:after="240"/>
        <w:jc w:val="both"/>
        <w:rPr>
          <w:noProof/>
          <w:sz w:val="24"/>
          <w:szCs w:val="24"/>
        </w:rPr>
      </w:pPr>
      <w:r>
        <w:rPr>
          <w:noProof/>
          <w:sz w:val="24"/>
          <w:szCs w:val="24"/>
        </w:rPr>
        <w:t xml:space="preserve">This section provides a breakdown of the EFSI operations supported by the EU Guarantee in terms of number of operations, investment volume (signature and investment mobilised) as well sector and country breakdown. </w:t>
      </w:r>
    </w:p>
    <w:p>
      <w:pPr>
        <w:pStyle w:val="Heading2"/>
        <w:rPr>
          <w:noProof/>
        </w:rPr>
      </w:pPr>
      <w:bookmarkStart w:id="12" w:name="_Toc508973547"/>
      <w:bookmarkStart w:id="13" w:name="_Toc508973601"/>
      <w:bookmarkStart w:id="14" w:name="_Toc508973887"/>
      <w:bookmarkStart w:id="15" w:name="_Toc7791284"/>
      <w:r>
        <w:rPr>
          <w:noProof/>
        </w:rPr>
        <w:t>IIW OPERATIONS</w:t>
      </w:r>
      <w:bookmarkEnd w:id="12"/>
      <w:bookmarkEnd w:id="13"/>
      <w:bookmarkEnd w:id="14"/>
      <w:bookmarkEnd w:id="15"/>
      <w:r>
        <w:rPr>
          <w:noProof/>
        </w:rPr>
        <w:t xml:space="preserve"> </w:t>
      </w:r>
    </w:p>
    <w:p>
      <w:pPr>
        <w:spacing w:before="240" w:after="240"/>
        <w:jc w:val="both"/>
        <w:rPr>
          <w:noProof/>
          <w:sz w:val="24"/>
          <w:szCs w:val="24"/>
        </w:rPr>
      </w:pPr>
      <w:r>
        <w:rPr>
          <w:noProof/>
          <w:sz w:val="24"/>
          <w:szCs w:val="24"/>
        </w:rPr>
        <w:t>As at 31 December 2018, 407 operations in 28 Member States were signed under the IIW. The total signatures amount to EUR 39.1 billion which is expected to mobilise investments of EUR 196.3 billion. Half of the signed operations in terms of volume were in the energy (27%) and research sector (21%), followed by the provision of financial support to SMEs and small Mid-Cap companies (20%) and transport (13%).</w:t>
      </w:r>
    </w:p>
    <w:p>
      <w:pPr>
        <w:pStyle w:val="Heading2"/>
        <w:rPr>
          <w:noProof/>
        </w:rPr>
      </w:pPr>
      <w:bookmarkStart w:id="16" w:name="_Toc508973548"/>
      <w:bookmarkStart w:id="17" w:name="_Toc508973602"/>
      <w:bookmarkStart w:id="18" w:name="_Toc508973888"/>
      <w:bookmarkStart w:id="19" w:name="_Toc7791285"/>
      <w:r>
        <w:rPr>
          <w:noProof/>
        </w:rPr>
        <w:t>SMEW OPERATIONS</w:t>
      </w:r>
      <w:bookmarkEnd w:id="16"/>
      <w:bookmarkEnd w:id="17"/>
      <w:bookmarkEnd w:id="18"/>
      <w:bookmarkEnd w:id="19"/>
    </w:p>
    <w:p>
      <w:pPr>
        <w:spacing w:before="240" w:after="240"/>
        <w:jc w:val="both"/>
        <w:rPr>
          <w:noProof/>
          <w:sz w:val="24"/>
          <w:szCs w:val="24"/>
        </w:rPr>
      </w:pPr>
      <w:r>
        <w:rPr>
          <w:noProof/>
          <w:sz w:val="24"/>
          <w:szCs w:val="24"/>
        </w:rPr>
        <w:t>As at 31 December 2018, 470 operations in 28 Member States were signed under the SMEW. The total financing of EUR 14.5 billion is expected to mobilise investments of EUR 104.6 billion. The most important sectors in terms of volume were research and development (70%) and digital (15%).</w:t>
      </w:r>
    </w:p>
    <w:p>
      <w:pPr>
        <w:spacing w:before="240" w:after="240"/>
        <w:jc w:val="both"/>
        <w:rPr>
          <w:noProof/>
          <w:sz w:val="24"/>
          <w:szCs w:val="24"/>
        </w:rPr>
        <w:sectPr>
          <w:headerReference w:type="even" r:id="rId25"/>
          <w:headerReference w:type="default" r:id="rId26"/>
          <w:footerReference w:type="even" r:id="rId27"/>
          <w:footerReference w:type="default" r:id="rId28"/>
          <w:headerReference w:type="first" r:id="rId29"/>
          <w:footerReference w:type="first" r:id="rId30"/>
          <w:pgSz w:w="11906" w:h="16838" w:code="9"/>
          <w:pgMar w:top="1134" w:right="1417" w:bottom="1134" w:left="1417" w:header="709" w:footer="709" w:gutter="0"/>
          <w:pgNumType w:start="2"/>
          <w:cols w:space="720"/>
          <w:docGrid w:linePitch="360"/>
        </w:sectPr>
      </w:pPr>
    </w:p>
    <w:p>
      <w:pPr>
        <w:pStyle w:val="Heading2"/>
        <w:ind w:left="1440" w:hanging="720"/>
        <w:rPr>
          <w:noProof/>
        </w:rPr>
      </w:pPr>
      <w:bookmarkStart w:id="20" w:name="_Toc508973549"/>
      <w:bookmarkStart w:id="21" w:name="_Toc508973603"/>
      <w:bookmarkStart w:id="22" w:name="_Toc508973889"/>
      <w:bookmarkStart w:id="23" w:name="_Toc7791286"/>
      <w:r>
        <w:rPr>
          <w:noProof/>
        </w:rPr>
        <w:lastRenderedPageBreak/>
        <w:t>BREAKDOWN OF EFSI OPERATIONS BY SECTOR AND COUNTRY</w:t>
      </w:r>
      <w:bookmarkEnd w:id="20"/>
      <w:bookmarkEnd w:id="21"/>
      <w:bookmarkEnd w:id="22"/>
      <w:bookmarkEnd w:id="23"/>
    </w:p>
    <w:p>
      <w:pPr>
        <w:tabs>
          <w:tab w:val="left" w:pos="-1134"/>
          <w:tab w:val="left" w:pos="993"/>
        </w:tabs>
        <w:spacing w:before="240" w:after="240"/>
        <w:ind w:left="993" w:hanging="993"/>
        <w:jc w:val="both"/>
        <w:rPr>
          <w:noProof/>
          <w:sz w:val="24"/>
          <w:szCs w:val="24"/>
        </w:rPr>
      </w:pPr>
      <w:r>
        <w:rPr>
          <w:noProof/>
          <w:sz w:val="24"/>
          <w:szCs w:val="24"/>
        </w:rPr>
        <w:t>Table 1:</w:t>
      </w:r>
      <w:r>
        <w:rPr>
          <w:noProof/>
          <w:sz w:val="24"/>
          <w:szCs w:val="24"/>
        </w:rPr>
        <w:tab/>
        <w:t>Distribution of signed EFSI IIW and SMEW operations by sector as at 31 December 2018 (EUR million).</w:t>
      </w:r>
    </w:p>
    <w:p>
      <w:pPr>
        <w:tabs>
          <w:tab w:val="left" w:pos="-1134"/>
          <w:tab w:val="left" w:pos="993"/>
        </w:tabs>
        <w:spacing w:before="240" w:after="240"/>
        <w:ind w:left="993" w:hanging="993"/>
        <w:jc w:val="both"/>
        <w:rPr>
          <w:noProof/>
          <w:sz w:val="24"/>
          <w:szCs w:val="24"/>
        </w:rPr>
      </w:pPr>
      <w:r>
        <w:rPr>
          <w:noProof/>
        </w:rPr>
        <w:drawing>
          <wp:inline distT="0" distB="0" distL="0" distR="0">
            <wp:extent cx="5759450" cy="25917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591753"/>
                    </a:xfrm>
                    <a:prstGeom prst="rect">
                      <a:avLst/>
                    </a:prstGeom>
                    <a:noFill/>
                    <a:ln>
                      <a:noFill/>
                    </a:ln>
                  </pic:spPr>
                </pic:pic>
              </a:graphicData>
            </a:graphic>
          </wp:inline>
        </w:drawing>
      </w:r>
    </w:p>
    <w:p>
      <w:pPr>
        <w:tabs>
          <w:tab w:val="left" w:pos="-1134"/>
          <w:tab w:val="left" w:pos="0"/>
        </w:tabs>
        <w:spacing w:after="40"/>
        <w:jc w:val="both"/>
        <w:rPr>
          <w:i/>
          <w:noProof/>
          <w:sz w:val="18"/>
          <w:szCs w:val="18"/>
        </w:rPr>
      </w:pPr>
      <w:r>
        <w:rPr>
          <w:i/>
          <w:noProof/>
          <w:sz w:val="18"/>
          <w:szCs w:val="18"/>
        </w:rPr>
        <w:t>Source: EFSI Operational Report provided by the EIB</w:t>
      </w:r>
    </w:p>
    <w:p>
      <w:pPr>
        <w:tabs>
          <w:tab w:val="left" w:pos="-1134"/>
        </w:tabs>
        <w:spacing w:before="40"/>
        <w:ind w:left="567" w:hanging="567"/>
        <w:jc w:val="both"/>
        <w:rPr>
          <w:noProof/>
          <w:sz w:val="18"/>
          <w:szCs w:val="18"/>
        </w:rPr>
      </w:pPr>
      <w:r>
        <w:rPr>
          <w:noProof/>
          <w:sz w:val="18"/>
          <w:szCs w:val="18"/>
        </w:rPr>
        <w:t xml:space="preserve">Note: Objective and subcategory as defined in Art.9 of EFSI Regulation. Totals may not always add up exactly due to rounding. </w:t>
      </w:r>
    </w:p>
    <w:p>
      <w:pPr>
        <w:tabs>
          <w:tab w:val="left" w:pos="-1134"/>
          <w:tab w:val="left" w:pos="993"/>
        </w:tabs>
        <w:spacing w:before="240" w:after="240"/>
        <w:jc w:val="both"/>
        <w:rPr>
          <w:noProof/>
          <w:sz w:val="24"/>
          <w:szCs w:val="24"/>
        </w:rPr>
      </w:pPr>
    </w:p>
    <w:p>
      <w:pPr>
        <w:keepNext/>
        <w:keepLines/>
        <w:widowControl/>
        <w:autoSpaceDE/>
        <w:autoSpaceDN/>
        <w:adjustRightInd/>
        <w:spacing w:after="200" w:line="276" w:lineRule="auto"/>
        <w:ind w:left="826" w:hanging="826"/>
        <w:rPr>
          <w:noProof/>
          <w:sz w:val="24"/>
          <w:szCs w:val="24"/>
        </w:rPr>
      </w:pPr>
      <w:r>
        <w:rPr>
          <w:noProof/>
          <w:sz w:val="24"/>
          <w:szCs w:val="24"/>
        </w:rPr>
        <w:br w:type="page"/>
        <w:t>Table 2: Distribution of signed EFSI IIW and SMEW operations by country as at 31 December 2018 (EUR million)</w:t>
      </w:r>
    </w:p>
    <w:p>
      <w:pPr>
        <w:widowControl/>
        <w:autoSpaceDE/>
        <w:autoSpaceDN/>
        <w:adjustRightInd/>
        <w:spacing w:line="276" w:lineRule="auto"/>
        <w:rPr>
          <w:noProof/>
        </w:rPr>
      </w:pPr>
      <w:bookmarkStart w:id="24" w:name="_Toc477531489"/>
      <w:r>
        <w:rPr>
          <w:noProof/>
        </w:rPr>
        <w:drawing>
          <wp:inline distT="0" distB="0" distL="0" distR="0">
            <wp:extent cx="5759450" cy="60967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6096789"/>
                    </a:xfrm>
                    <a:prstGeom prst="rect">
                      <a:avLst/>
                    </a:prstGeom>
                    <a:noFill/>
                    <a:ln>
                      <a:noFill/>
                    </a:ln>
                  </pic:spPr>
                </pic:pic>
              </a:graphicData>
            </a:graphic>
          </wp:inline>
        </w:drawing>
      </w:r>
    </w:p>
    <w:p>
      <w:pPr>
        <w:tabs>
          <w:tab w:val="left" w:pos="-1134"/>
          <w:tab w:val="left" w:pos="0"/>
        </w:tabs>
        <w:spacing w:after="40"/>
        <w:jc w:val="both"/>
        <w:rPr>
          <w:i/>
          <w:noProof/>
          <w:sz w:val="18"/>
          <w:szCs w:val="18"/>
        </w:rPr>
      </w:pPr>
      <w:r>
        <w:rPr>
          <w:i/>
          <w:noProof/>
          <w:sz w:val="18"/>
          <w:szCs w:val="18"/>
        </w:rPr>
        <w:t>Source: EFSI Operational Report provided by the EIB</w:t>
      </w:r>
    </w:p>
    <w:p>
      <w:pPr>
        <w:tabs>
          <w:tab w:val="left" w:pos="-1134"/>
          <w:tab w:val="left" w:pos="993"/>
        </w:tabs>
        <w:spacing w:before="40" w:after="240"/>
        <w:ind w:left="992" w:hanging="992"/>
        <w:jc w:val="both"/>
        <w:rPr>
          <w:noProof/>
          <w:sz w:val="18"/>
          <w:szCs w:val="18"/>
        </w:rPr>
      </w:pPr>
      <w:r>
        <w:rPr>
          <w:noProof/>
          <w:sz w:val="18"/>
          <w:szCs w:val="18"/>
        </w:rPr>
        <w:t xml:space="preserve">Note: Totals may not always add up exactly due to rounding. </w:t>
      </w:r>
    </w:p>
    <w:p>
      <w:pPr>
        <w:widowControl/>
        <w:autoSpaceDE/>
        <w:autoSpaceDN/>
        <w:adjustRightInd/>
        <w:spacing w:after="200" w:line="276" w:lineRule="auto"/>
        <w:rPr>
          <w:rFonts w:asciiTheme="majorHAnsi" w:eastAsiaTheme="majorEastAsia" w:hAnsiTheme="majorHAnsi" w:cstheme="majorBidi"/>
          <w:b/>
          <w:bCs/>
          <w:noProof/>
          <w:color w:val="000000" w:themeColor="text1"/>
          <w:sz w:val="28"/>
          <w:szCs w:val="28"/>
        </w:rPr>
      </w:pPr>
      <w:r>
        <w:rPr>
          <w:noProof/>
        </w:rPr>
        <w:br w:type="page"/>
      </w:r>
    </w:p>
    <w:p>
      <w:pPr>
        <w:pStyle w:val="Heading1"/>
      </w:pPr>
      <w:bookmarkStart w:id="25" w:name="_Toc508973550"/>
      <w:bookmarkStart w:id="26" w:name="_Toc508973604"/>
      <w:bookmarkStart w:id="27" w:name="_Toc508973890"/>
      <w:bookmarkStart w:id="28" w:name="_Toc7791287"/>
      <w:r>
        <w:t>EFSI GF FINANCIAL STATEMENTS</w:t>
      </w:r>
      <w:bookmarkEnd w:id="24"/>
      <w:bookmarkEnd w:id="25"/>
      <w:bookmarkEnd w:id="26"/>
      <w:bookmarkEnd w:id="27"/>
      <w:bookmarkEnd w:id="28"/>
    </w:p>
    <w:p>
      <w:pPr>
        <w:spacing w:before="240" w:after="240"/>
        <w:rPr>
          <w:rStyle w:val="BookTitle"/>
          <w:noProof/>
          <w:sz w:val="24"/>
          <w:szCs w:val="24"/>
        </w:rPr>
      </w:pPr>
      <w:r>
        <w:rPr>
          <w:rStyle w:val="BookTitle"/>
          <w:noProof/>
          <w:sz w:val="24"/>
          <w:szCs w:val="24"/>
        </w:rPr>
        <w:t>Statement of Financial Position as at 31 December 2018</w:t>
      </w:r>
    </w:p>
    <w:tbl>
      <w:tblPr>
        <w:tblW w:w="9173" w:type="dxa"/>
        <w:tblLayout w:type="fixed"/>
        <w:tblCellMar>
          <w:left w:w="0" w:type="dxa"/>
          <w:right w:w="0" w:type="dxa"/>
        </w:tblCellMar>
        <w:tblLook w:val="0000" w:firstRow="0" w:lastRow="0" w:firstColumn="0" w:lastColumn="0" w:noHBand="0" w:noVBand="0"/>
      </w:tblPr>
      <w:tblGrid>
        <w:gridCol w:w="5812"/>
        <w:gridCol w:w="1701"/>
        <w:gridCol w:w="1660"/>
      </w:tblGrid>
      <w:tr>
        <w:trPr>
          <w:trHeight w:hRule="exact" w:val="518"/>
        </w:trPr>
        <w:tc>
          <w:tcPr>
            <w:tcW w:w="5812" w:type="dxa"/>
            <w:tcBorders>
              <w:top w:val="nil"/>
              <w:left w:val="nil"/>
              <w:bottom w:val="nil"/>
              <w:right w:val="nil"/>
            </w:tcBorders>
            <w:noWrap/>
            <w:vAlign w:val="bottom"/>
          </w:tcPr>
          <w:p>
            <w:pPr>
              <w:rPr>
                <w:rFonts w:eastAsia="Arial Unicode MS" w:cs="Arial"/>
                <w:b/>
                <w:noProof/>
                <w:u w:val="single"/>
              </w:rPr>
            </w:pPr>
            <w:r>
              <w:rPr>
                <w:rFonts w:eastAsia="Arial Unicode MS" w:cs="Arial"/>
                <w:b/>
                <w:noProof/>
                <w:u w:val="single"/>
              </w:rPr>
              <w:t>ASSETS</w:t>
            </w:r>
          </w:p>
          <w:p>
            <w:pPr>
              <w:rPr>
                <w:rFonts w:eastAsia="Arial Unicode MS" w:cs="Arial"/>
                <w:b/>
                <w:noProof/>
                <w:u w:val="single"/>
              </w:rPr>
            </w:pPr>
          </w:p>
          <w:p>
            <w:pPr>
              <w:rPr>
                <w:rFonts w:eastAsia="Arial Unicode MS" w:cs="Arial"/>
                <w:b/>
                <w:noProof/>
                <w:u w:val="single"/>
              </w:rPr>
            </w:pPr>
          </w:p>
          <w:p>
            <w:pPr>
              <w:rPr>
                <w:rFonts w:eastAsia="Arial Unicode MS" w:cs="Arial"/>
                <w:b/>
                <w:noProof/>
                <w:u w:val="single"/>
              </w:rPr>
            </w:pPr>
          </w:p>
        </w:tc>
        <w:tc>
          <w:tcPr>
            <w:tcW w:w="1701" w:type="dxa"/>
            <w:tcBorders>
              <w:top w:val="nil"/>
              <w:left w:val="nil"/>
              <w:bottom w:val="nil"/>
              <w:right w:val="nil"/>
            </w:tcBorders>
            <w:noWrap/>
            <w:vAlign w:val="bottom"/>
          </w:tcPr>
          <w:p>
            <w:pPr>
              <w:rPr>
                <w:rFonts w:eastAsia="Arial Unicode MS" w:cs="Arial"/>
                <w:noProof/>
              </w:rPr>
            </w:pPr>
          </w:p>
        </w:tc>
        <w:tc>
          <w:tcPr>
            <w:tcW w:w="1660" w:type="dxa"/>
            <w:tcBorders>
              <w:top w:val="nil"/>
              <w:left w:val="nil"/>
              <w:bottom w:val="nil"/>
              <w:right w:val="nil"/>
            </w:tcBorders>
            <w:noWrap/>
            <w:vAlign w:val="bottom"/>
          </w:tcPr>
          <w:p>
            <w:pPr>
              <w:rPr>
                <w:rFonts w:eastAsia="Arial Unicode MS" w:cs="Arial"/>
                <w:noProof/>
              </w:rPr>
            </w:pPr>
          </w:p>
        </w:tc>
      </w:tr>
      <w:tr>
        <w:trPr>
          <w:trHeight w:hRule="exact" w:val="285"/>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u w:val="single"/>
              </w:rPr>
            </w:pPr>
            <w:r>
              <w:rPr>
                <w:rFonts w:cs="Arial"/>
                <w:noProof/>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rPr>
            </w:pPr>
            <w:r>
              <w:rPr>
                <w:rFonts w:cs="Arial"/>
                <w:b/>
                <w:bCs/>
                <w:noProof/>
              </w:rPr>
              <w:t>31 December 2018</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rPr>
            </w:pPr>
            <w:r>
              <w:rPr>
                <w:rFonts w:cs="Arial"/>
                <w:b/>
                <w:bCs/>
                <w:noProof/>
              </w:rPr>
              <w:t>31 December 2017</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center"/>
              <w:rPr>
                <w:rFonts w:eastAsia="Arial Unicode MS" w:cs="Arial"/>
                <w:bCs/>
                <w:noProof/>
              </w:rPr>
            </w:pPr>
            <w:r>
              <w:rPr>
                <w:rFonts w:cs="Arial"/>
                <w:bCs/>
                <w:noProof/>
                <w:lang w:val="fr-FR"/>
              </w:rPr>
              <w:t>EUR</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center"/>
              <w:rPr>
                <w:rFonts w:eastAsia="Arial Unicode MS" w:cs="Arial"/>
                <w:bCs/>
                <w:noProof/>
              </w:rPr>
            </w:pPr>
            <w:r>
              <w:rPr>
                <w:rFonts w:cs="Arial"/>
                <w:bCs/>
                <w:noProof/>
                <w:lang w:val="fr-FR"/>
              </w:rPr>
              <w:t>EUR</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noProof/>
              </w:rPr>
            </w:pPr>
            <w:r>
              <w:rPr>
                <w:rFonts w:cs="Arial"/>
                <w:b/>
                <w:bCs/>
                <w:noProof/>
                <w:lang w:val="fr-FR"/>
              </w:rPr>
              <w:t>NON-CURRENT ASSETS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bCs/>
                <w:noProof/>
                <w:lang w:val="fr-FR"/>
              </w:rPr>
            </w:pPr>
            <w:r>
              <w:rPr>
                <w:rFonts w:cs="Arial"/>
                <w:b/>
                <w:noProof/>
                <w:lang w:eastAsia="ko-KR"/>
              </w:rPr>
              <w:t>4 233 866 211</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bCs/>
                <w:noProof/>
                <w:lang w:val="fr-FR"/>
              </w:rPr>
            </w:pPr>
            <w:r>
              <w:rPr>
                <w:rFonts w:cs="Arial"/>
                <w:b/>
                <w:noProof/>
                <w:lang w:eastAsia="ko-KR"/>
              </w:rPr>
              <w:t>3 070 600 996</w:t>
            </w:r>
          </w:p>
        </w:tc>
      </w:tr>
      <w:tr>
        <w:trPr>
          <w:trHeight w:hRule="exact" w:val="90"/>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
                <w:bCs/>
                <w:noProof/>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bCs/>
                <w:noProof/>
              </w:rPr>
            </w:pPr>
            <w:r>
              <w:rPr>
                <w:rFonts w:eastAsia="Arial Unicode MS" w:cs="Arial"/>
                <w:bCs/>
                <w:noProof/>
              </w:rPr>
              <w:t>Available for sale financial assets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r>
              <w:rPr>
                <w:rFonts w:cs="Arial"/>
                <w:noProof/>
                <w:lang w:eastAsia="ko-KR"/>
              </w:rPr>
              <w:t>4 233 866 211</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r>
              <w:rPr>
                <w:rFonts w:cs="Arial"/>
                <w:noProof/>
                <w:lang w:eastAsia="ko-KR"/>
              </w:rPr>
              <w:t>3 070 600 996</w:t>
            </w:r>
          </w:p>
        </w:tc>
      </w:tr>
      <w:tr>
        <w:trPr>
          <w:trHeight w:hRule="exact" w:val="279"/>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Cs/>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lang w:eastAsia="ko-KR"/>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lang w:eastAsia="ko-KR"/>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
                <w:bCs/>
                <w:noProof/>
                <w:lang w:val="fr-FR"/>
              </w:rPr>
            </w:pPr>
            <w:r>
              <w:rPr>
                <w:rFonts w:cs="Arial"/>
                <w:b/>
                <w:bCs/>
                <w:noProof/>
                <w:lang w:val="fr-FR"/>
              </w:rPr>
              <w:t>CURRENT ASSETS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r>
              <w:rPr>
                <w:rFonts w:cs="Arial"/>
                <w:b/>
                <w:noProof/>
                <w:lang w:eastAsia="ko-KR"/>
              </w:rPr>
              <w:t>1 217 907 446</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r>
              <w:rPr>
                <w:rFonts w:cs="Arial"/>
                <w:b/>
                <w:noProof/>
                <w:lang w:eastAsia="ko-KR"/>
              </w:rPr>
              <w:t>433 762 404</w:t>
            </w:r>
          </w:p>
        </w:tc>
      </w:tr>
      <w:tr>
        <w:trPr>
          <w:trHeight w:hRule="exact" w:val="78"/>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bCs/>
                <w:noProof/>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noProof/>
                <w:lang w:eastAsia="ko-KR"/>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bCs/>
                <w:noProof/>
              </w:rPr>
            </w:pPr>
            <w:r>
              <w:rPr>
                <w:rFonts w:eastAsia="Arial Unicode MS" w:cs="Arial"/>
                <w:bCs/>
                <w:noProof/>
              </w:rPr>
              <w:t>Available for sale financial assets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b/>
                <w:noProof/>
                <w:lang w:eastAsia="ko-KR"/>
              </w:rPr>
            </w:pPr>
            <w:r>
              <w:rPr>
                <w:rFonts w:eastAsia="Arial Unicode MS" w:cs="Arial"/>
                <w:noProof/>
              </w:rPr>
              <w:t>765 897 485</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b/>
                <w:noProof/>
                <w:lang w:eastAsia="ko-KR"/>
              </w:rPr>
            </w:pPr>
            <w:r>
              <w:rPr>
                <w:rFonts w:eastAsia="Arial Unicode MS" w:cs="Arial"/>
                <w:noProof/>
              </w:rPr>
              <w:t>343 757 854</w:t>
            </w:r>
          </w:p>
        </w:tc>
      </w:tr>
      <w:tr>
        <w:trPr>
          <w:trHeight w:hRule="exact" w:val="78"/>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Cs/>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cs="Arial"/>
                <w:bCs/>
                <w:noProof/>
              </w:rPr>
            </w:pPr>
            <w:r>
              <w:rPr>
                <w:rFonts w:cs="Arial"/>
                <w:bCs/>
                <w:noProof/>
              </w:rPr>
              <w:t>Financial assets at fair value through surplus or deficit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highlight w:val="yellow"/>
                <w:lang w:eastAsia="ko-KR"/>
              </w:rPr>
            </w:pPr>
            <w:r>
              <w:rPr>
                <w:rFonts w:eastAsia="Arial Unicode MS" w:cs="Arial"/>
                <w:noProof/>
              </w:rPr>
              <w:t>1 923 458</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highlight w:val="yellow"/>
                <w:lang w:eastAsia="ko-KR"/>
              </w:rPr>
            </w:pPr>
            <w:r>
              <w:rPr>
                <w:rFonts w:eastAsia="Arial Unicode MS" w:cs="Arial"/>
                <w:noProof/>
              </w:rPr>
              <w:t>6 307 288</w:t>
            </w:r>
          </w:p>
        </w:tc>
      </w:tr>
      <w:tr>
        <w:trPr>
          <w:trHeight w:hRule="exact" w:val="128"/>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cs="Arial"/>
                <w:bCs/>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cs="Arial"/>
                <w:bCs/>
                <w:noProof/>
              </w:rPr>
            </w:pPr>
            <w:r>
              <w:rPr>
                <w:rFonts w:cs="Arial"/>
                <w:bCs/>
                <w:noProof/>
              </w:rPr>
              <w:t>Short-term deposits (&gt;3 months and ≤ 1 year)</w:t>
            </w:r>
          </w:p>
          <w:p>
            <w:pPr>
              <w:rPr>
                <w:rFonts w:cs="Arial"/>
                <w:bCs/>
                <w:noProof/>
              </w:rPr>
            </w:pPr>
            <w:r>
              <w:rPr>
                <w:rFonts w:cs="Arial"/>
                <w:bCs/>
                <w:noProof/>
              </w:rPr>
              <w:t>incl. accrued negative interest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highlight w:val="yellow"/>
                <w:lang w:eastAsia="ko-KR"/>
              </w:rPr>
            </w:pPr>
            <w:r>
              <w:rPr>
                <w:rFonts w:eastAsia="Arial Unicode MS" w:cs="Arial"/>
                <w:noProof/>
              </w:rPr>
              <w:t>-</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highlight w:val="yellow"/>
                <w:lang w:eastAsia="ko-KR"/>
              </w:rPr>
            </w:pPr>
            <w:r>
              <w:rPr>
                <w:rFonts w:eastAsia="Arial Unicode MS" w:cs="Arial"/>
                <w:noProof/>
              </w:rPr>
              <w:t>39 991 422</w:t>
            </w:r>
          </w:p>
        </w:tc>
      </w:tr>
      <w:tr>
        <w:trPr>
          <w:trHeight w:hRule="exact" w:val="60"/>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cs="Arial"/>
                <w:bCs/>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Cs/>
                <w:noProof/>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Cs/>
                <w:noProof/>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cs="Arial"/>
                <w:bCs/>
                <w:noProof/>
              </w:rPr>
            </w:pPr>
            <w:r>
              <w:rPr>
                <w:rFonts w:cs="Arial"/>
                <w:bCs/>
                <w:noProof/>
              </w:rPr>
              <w:t>Receivables (i.e. bond lending fees)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noProof/>
              </w:rPr>
              <w:t>160 147</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noProof/>
              </w:rPr>
              <w:t>8 456</w:t>
            </w:r>
          </w:p>
        </w:tc>
      </w:tr>
      <w:tr>
        <w:trPr>
          <w:trHeight w:hRule="exact" w:val="81"/>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cs="Arial"/>
                <w:bCs/>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eastAsia="Arial Unicode MS" w:cs="Arial"/>
                <w:bCs/>
                <w:noProof/>
              </w:rPr>
            </w:pPr>
            <w:r>
              <w:rPr>
                <w:rFonts w:eastAsia="Arial Unicode MS" w:cs="Arial"/>
                <w:bCs/>
                <w:noProof/>
              </w:rPr>
              <w:t>Cash and cash equivalents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noProof/>
              </w:rPr>
              <w:t>449 926 356</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noProof/>
              </w:rPr>
              <w:t>43 697 384</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eastAsia="Arial Unicode MS" w:cs="Arial"/>
                <w:bCs/>
                <w:noProof/>
              </w:rPr>
            </w:pPr>
            <w:r>
              <w:rPr>
                <w:rFonts w:eastAsia="Arial Unicode MS" w:cs="Arial"/>
                <w:bCs/>
                <w:i/>
                <w:noProof/>
              </w:rPr>
              <w:t>Current accounts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i/>
                <w:noProof/>
              </w:rPr>
              <w:t>418 899 111</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i/>
                <w:noProof/>
              </w:rPr>
              <w:t>18 683 831</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ind w:firstLine="142"/>
              <w:rPr>
                <w:rFonts w:eastAsia="Arial Unicode MS" w:cs="Arial"/>
                <w:bCs/>
                <w:i/>
                <w:noProof/>
              </w:rPr>
            </w:pPr>
            <w:r>
              <w:rPr>
                <w:rFonts w:cs="Arial"/>
                <w:bCs/>
                <w:i/>
                <w:noProof/>
              </w:rPr>
              <w:t xml:space="preserve">  Cash equivalents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i/>
                <w:noProof/>
              </w:rPr>
            </w:pPr>
            <w:r>
              <w:rPr>
                <w:rFonts w:eastAsia="Arial Unicode MS" w:cs="Arial"/>
                <w:i/>
                <w:noProof/>
              </w:rPr>
              <w:t>31,139,540</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i/>
                <w:noProof/>
              </w:rPr>
            </w:pPr>
            <w:r>
              <w:rPr>
                <w:rFonts w:eastAsia="Arial Unicode MS" w:cs="Arial"/>
                <w:i/>
                <w:noProof/>
              </w:rPr>
              <w:t>25,013,519</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tcPr>
          <w:p>
            <w:pPr>
              <w:rPr>
                <w:rFonts w:cs="Arial"/>
                <w:bCs/>
                <w:i/>
                <w:noProof/>
              </w:rPr>
            </w:pPr>
            <w:r>
              <w:rPr>
                <w:rFonts w:cs="Arial"/>
                <w:bCs/>
                <w:i/>
                <w:noProof/>
              </w:rPr>
              <w:t xml:space="preserve">  Accrued interest on cash and cash equivalents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i/>
                <w:noProof/>
              </w:rPr>
            </w:pPr>
            <w:r>
              <w:rPr>
                <w:rFonts w:eastAsia="Arial Unicode MS" w:cs="Arial"/>
                <w:i/>
                <w:noProof/>
              </w:rPr>
              <w:t>(112,295)</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i/>
                <w:noProof/>
              </w:rPr>
            </w:pPr>
            <w:r>
              <w:rPr>
                <w:rFonts w:eastAsia="Arial Unicode MS" w:cs="Arial"/>
                <w:i/>
                <w:noProof/>
              </w:rPr>
              <w:t>35</w:t>
            </w:r>
          </w:p>
        </w:tc>
      </w:tr>
      <w:tr>
        <w:trPr>
          <w:trHeight w:hRule="exact" w:val="283"/>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Cs/>
                <w:i/>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i/>
                <w:noProof/>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i/>
                <w:noProof/>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bCs/>
                <w:noProof/>
              </w:rPr>
            </w:pPr>
            <w:r>
              <w:rPr>
                <w:rFonts w:cs="Arial"/>
                <w:b/>
                <w:bCs/>
                <w:noProof/>
              </w:rPr>
              <w:t xml:space="preserve">TOTAL ASSETS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b/>
                <w:bCs/>
                <w:noProof/>
              </w:rPr>
              <w:t>5 451 773 656</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b/>
                <w:bCs/>
                <w:noProof/>
              </w:rPr>
              <w:t>3 504 363 400</w:t>
            </w:r>
          </w:p>
        </w:tc>
      </w:tr>
      <w:tr>
        <w:trPr>
          <w:trHeight w:hRule="exact" w:val="284"/>
        </w:trPr>
        <w:tc>
          <w:tcPr>
            <w:tcW w:w="5812" w:type="dxa"/>
            <w:tcBorders>
              <w:top w:val="single" w:sz="4" w:space="0" w:color="auto"/>
              <w:left w:val="nil"/>
              <w:bottom w:val="nil"/>
              <w:right w:val="nil"/>
            </w:tcBorders>
            <w:noWrap/>
            <w:vAlign w:val="bottom"/>
          </w:tcPr>
          <w:p>
            <w:pPr>
              <w:rPr>
                <w:rFonts w:eastAsia="Arial Unicode MS" w:cs="Arial"/>
                <w:b/>
                <w:bCs/>
                <w:noProof/>
              </w:rPr>
            </w:pPr>
          </w:p>
        </w:tc>
        <w:tc>
          <w:tcPr>
            <w:tcW w:w="1701" w:type="dxa"/>
            <w:tcBorders>
              <w:top w:val="single" w:sz="4" w:space="0" w:color="auto"/>
              <w:left w:val="nil"/>
              <w:bottom w:val="nil"/>
              <w:right w:val="nil"/>
            </w:tcBorders>
            <w:noWrap/>
            <w:vAlign w:val="bottom"/>
          </w:tcPr>
          <w:p>
            <w:pPr>
              <w:ind w:right="142"/>
              <w:jc w:val="right"/>
              <w:rPr>
                <w:rFonts w:eastAsia="Arial Unicode MS" w:cs="Arial"/>
                <w:b/>
                <w:bCs/>
                <w:noProof/>
              </w:rPr>
            </w:pPr>
          </w:p>
        </w:tc>
        <w:tc>
          <w:tcPr>
            <w:tcW w:w="1660" w:type="dxa"/>
            <w:tcBorders>
              <w:top w:val="single" w:sz="4" w:space="0" w:color="auto"/>
              <w:left w:val="nil"/>
              <w:bottom w:val="nil"/>
              <w:right w:val="nil"/>
            </w:tcBorders>
            <w:noWrap/>
            <w:vAlign w:val="bottom"/>
          </w:tcPr>
          <w:p>
            <w:pPr>
              <w:ind w:right="142"/>
              <w:jc w:val="right"/>
              <w:rPr>
                <w:rFonts w:eastAsia="Arial Unicode MS" w:cs="Arial"/>
                <w:b/>
                <w:bCs/>
                <w:noProof/>
              </w:rPr>
            </w:pPr>
          </w:p>
        </w:tc>
      </w:tr>
      <w:tr>
        <w:trPr>
          <w:trHeight w:hRule="exact" w:val="285"/>
        </w:trPr>
        <w:tc>
          <w:tcPr>
            <w:tcW w:w="5812" w:type="dxa"/>
            <w:tcBorders>
              <w:top w:val="nil"/>
              <w:left w:val="nil"/>
              <w:bottom w:val="nil"/>
              <w:right w:val="nil"/>
            </w:tcBorders>
            <w:noWrap/>
            <w:vAlign w:val="bottom"/>
          </w:tcPr>
          <w:p>
            <w:pPr>
              <w:rPr>
                <w:rFonts w:eastAsia="Arial Unicode MS" w:cs="Arial"/>
                <w:noProof/>
                <w:u w:val="single"/>
              </w:rPr>
            </w:pPr>
            <w:r>
              <w:rPr>
                <w:rFonts w:eastAsia="Arial Unicode MS" w:cs="Arial"/>
                <w:b/>
                <w:noProof/>
                <w:u w:val="single"/>
              </w:rPr>
              <w:t>NET ASSETS AND LIABI</w:t>
            </w:r>
            <w:r>
              <w:rPr>
                <w:rFonts w:eastAsia="Arial Unicode MS" w:cs="Arial"/>
                <w:b/>
                <w:noProof/>
                <w:u w:val="single"/>
                <w:lang w:val="fr-FR"/>
              </w:rPr>
              <w:t>LITIES</w:t>
            </w:r>
          </w:p>
        </w:tc>
        <w:tc>
          <w:tcPr>
            <w:tcW w:w="1701" w:type="dxa"/>
            <w:tcBorders>
              <w:top w:val="nil"/>
              <w:left w:val="nil"/>
              <w:bottom w:val="nil"/>
              <w:right w:val="nil"/>
            </w:tcBorders>
            <w:noWrap/>
            <w:vAlign w:val="bottom"/>
          </w:tcPr>
          <w:p>
            <w:pPr>
              <w:rPr>
                <w:rFonts w:eastAsia="Arial Unicode MS" w:cs="Arial"/>
                <w:noProof/>
              </w:rPr>
            </w:pPr>
          </w:p>
        </w:tc>
        <w:tc>
          <w:tcPr>
            <w:tcW w:w="1660" w:type="dxa"/>
            <w:tcBorders>
              <w:top w:val="nil"/>
              <w:left w:val="nil"/>
              <w:bottom w:val="nil"/>
              <w:right w:val="nil"/>
            </w:tcBorders>
            <w:noWrap/>
            <w:vAlign w:val="bottom"/>
          </w:tcPr>
          <w:p>
            <w:pPr>
              <w:rPr>
                <w:rFonts w:eastAsia="Arial Unicode MS" w:cs="Arial"/>
                <w:noProof/>
              </w:rPr>
            </w:pPr>
          </w:p>
        </w:tc>
      </w:tr>
      <w:tr>
        <w:trPr>
          <w:trHeight w:hRule="exact" w:val="285"/>
        </w:trPr>
        <w:tc>
          <w:tcPr>
            <w:tcW w:w="5812" w:type="dxa"/>
            <w:tcBorders>
              <w:top w:val="nil"/>
              <w:left w:val="nil"/>
              <w:bottom w:val="single" w:sz="4" w:space="0" w:color="auto"/>
              <w:right w:val="nil"/>
            </w:tcBorders>
            <w:noWrap/>
            <w:vAlign w:val="bottom"/>
          </w:tcPr>
          <w:p>
            <w:pPr>
              <w:rPr>
                <w:rFonts w:eastAsia="Arial Unicode MS" w:cs="Arial"/>
                <w:noProof/>
                <w:u w:val="single"/>
              </w:rPr>
            </w:pPr>
          </w:p>
        </w:tc>
        <w:tc>
          <w:tcPr>
            <w:tcW w:w="1701" w:type="dxa"/>
            <w:tcBorders>
              <w:top w:val="nil"/>
              <w:left w:val="nil"/>
              <w:bottom w:val="single" w:sz="4" w:space="0" w:color="auto"/>
              <w:right w:val="nil"/>
            </w:tcBorders>
            <w:noWrap/>
            <w:vAlign w:val="bottom"/>
          </w:tcPr>
          <w:p>
            <w:pPr>
              <w:rPr>
                <w:rFonts w:eastAsia="Arial Unicode MS" w:cs="Arial"/>
                <w:noProof/>
              </w:rPr>
            </w:pPr>
          </w:p>
        </w:tc>
        <w:tc>
          <w:tcPr>
            <w:tcW w:w="1660" w:type="dxa"/>
            <w:tcBorders>
              <w:top w:val="nil"/>
              <w:left w:val="nil"/>
              <w:bottom w:val="single" w:sz="4" w:space="0" w:color="auto"/>
              <w:right w:val="nil"/>
            </w:tcBorders>
            <w:noWrap/>
            <w:vAlign w:val="bottom"/>
          </w:tcPr>
          <w:p>
            <w:pPr>
              <w:rPr>
                <w:rFonts w:eastAsia="Arial Unicode MS" w:cs="Arial"/>
                <w:noProof/>
              </w:rPr>
            </w:pPr>
          </w:p>
        </w:tc>
      </w:tr>
      <w:tr>
        <w:trPr>
          <w:trHeight w:hRule="exact" w:val="285"/>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noProof/>
                <w:u w:val="single"/>
                <w:lang w:val="fr-FR"/>
              </w:rPr>
            </w:pPr>
            <w:r>
              <w:rPr>
                <w:rFonts w:cs="Arial"/>
                <w:noProof/>
                <w:lang w:val="fr-FR"/>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lang w:val="fr-FR"/>
              </w:rPr>
            </w:pPr>
            <w:r>
              <w:rPr>
                <w:rFonts w:cs="Arial"/>
                <w:b/>
                <w:bCs/>
                <w:noProof/>
              </w:rPr>
              <w:t xml:space="preserve">31 December </w:t>
            </w:r>
            <w:r>
              <w:rPr>
                <w:rFonts w:cs="Arial"/>
                <w:b/>
                <w:bCs/>
                <w:noProof/>
                <w:lang w:val="fr-FR"/>
              </w:rPr>
              <w:t>2018</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lang w:val="fr-FR"/>
              </w:rPr>
            </w:pPr>
            <w:r>
              <w:rPr>
                <w:rFonts w:cs="Arial"/>
                <w:b/>
                <w:bCs/>
                <w:noProof/>
              </w:rPr>
              <w:t xml:space="preserve">31 December </w:t>
            </w:r>
            <w:r>
              <w:rPr>
                <w:rFonts w:cs="Arial"/>
                <w:b/>
                <w:bCs/>
                <w:noProof/>
                <w:lang w:val="fr-FR"/>
              </w:rPr>
              <w:t>2017</w:t>
            </w:r>
          </w:p>
        </w:tc>
      </w:tr>
      <w:tr>
        <w:trPr>
          <w:trHeight w:hRule="exact" w:val="285"/>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u w:val="single"/>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center"/>
              <w:rPr>
                <w:rFonts w:eastAsia="Arial Unicode MS" w:cs="Arial"/>
                <w:noProof/>
                <w:lang w:val="fr-FR"/>
              </w:rPr>
            </w:pPr>
            <w:r>
              <w:rPr>
                <w:rFonts w:cs="Arial"/>
                <w:bCs/>
                <w:noProof/>
                <w:lang w:val="fr-FR"/>
              </w:rPr>
              <w:t>EUR</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center"/>
              <w:rPr>
                <w:rFonts w:eastAsia="Arial Unicode MS" w:cs="Arial"/>
                <w:noProof/>
                <w:lang w:val="fr-FR"/>
              </w:rPr>
            </w:pPr>
            <w:r>
              <w:rPr>
                <w:rFonts w:cs="Arial"/>
                <w:bCs/>
                <w:noProof/>
                <w:lang w:val="fr-FR"/>
              </w:rPr>
              <w:t>EUR</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noProof/>
                <w:lang w:val="fr-FR"/>
              </w:rPr>
            </w:pPr>
            <w:r>
              <w:rPr>
                <w:rFonts w:cs="Arial"/>
                <w:b/>
                <w:bCs/>
                <w:noProof/>
                <w:lang w:val="fr-FR"/>
              </w:rPr>
              <w:t>NET ASSETS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b/>
                <w:bCs/>
                <w:noProof/>
                <w:lang w:val="fr-FR"/>
              </w:rPr>
            </w:pPr>
            <w:r>
              <w:rPr>
                <w:rFonts w:cs="Arial"/>
                <w:b/>
                <w:bCs/>
                <w:noProof/>
                <w:lang w:val="fr-FR"/>
              </w:rPr>
              <w:t xml:space="preserve">5 451 673 </w:t>
            </w:r>
            <w:r>
              <w:rPr>
                <w:rFonts w:cs="Arial"/>
                <w:b/>
                <w:noProof/>
              </w:rPr>
              <w:t>202</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b/>
                <w:bCs/>
                <w:noProof/>
                <w:lang w:val="fr-FR"/>
              </w:rPr>
            </w:pPr>
            <w:r>
              <w:rPr>
                <w:rFonts w:cs="Arial"/>
                <w:b/>
                <w:bCs/>
                <w:noProof/>
                <w:lang w:val="fr-FR"/>
              </w:rPr>
              <w:t>3 504 263 077</w:t>
            </w:r>
          </w:p>
        </w:tc>
      </w:tr>
      <w:tr>
        <w:trPr>
          <w:trHeight w:hRule="exact" w:val="60"/>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noProof/>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center"/>
              <w:rPr>
                <w:rFonts w:cs="Arial"/>
                <w:b/>
                <w:bCs/>
                <w:noProof/>
                <w:lang w:val="fr-FR"/>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center"/>
              <w:rPr>
                <w:rFonts w:cs="Arial"/>
                <w:b/>
                <w:bCs/>
                <w:noProof/>
                <w:lang w:val="fr-FR"/>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bCs/>
                <w:noProof/>
                <w:lang w:val="fr-FR"/>
              </w:rPr>
            </w:pPr>
            <w:r>
              <w:rPr>
                <w:rFonts w:cs="Arial"/>
                <w:bCs/>
                <w:noProof/>
              </w:rPr>
              <w:t>Contribution from EU Budget</w:t>
            </w:r>
            <w:r>
              <w:rPr>
                <w:rStyle w:val="FootnoteReference"/>
                <w:rFonts w:cs="Arial"/>
                <w:bCs/>
                <w:noProof/>
              </w:rPr>
              <w:footnoteReference w:id="2"/>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bCs/>
                <w:noProof/>
                <w:lang w:val="fr-FR"/>
              </w:rPr>
            </w:pPr>
            <w:r>
              <w:rPr>
                <w:rFonts w:cs="Arial"/>
                <w:bCs/>
                <w:noProof/>
              </w:rPr>
              <w:t>5 460 743 179</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
                <w:bCs/>
                <w:noProof/>
                <w:lang w:val="fr-FR"/>
              </w:rPr>
            </w:pPr>
            <w:r>
              <w:rPr>
                <w:rFonts w:cs="Arial"/>
                <w:bCs/>
                <w:noProof/>
              </w:rPr>
              <w:t>3 507 682 256</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
                <w:bCs/>
                <w:noProof/>
              </w:rPr>
            </w:pPr>
            <w:r>
              <w:rPr>
                <w:rFonts w:cs="Arial"/>
                <w:bCs/>
                <w:noProof/>
              </w:rPr>
              <w:t>Fair value reserve</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b/>
                <w:bCs/>
                <w:noProof/>
              </w:rPr>
            </w:pPr>
            <w:r>
              <w:rPr>
                <w:rFonts w:cs="Arial"/>
                <w:bCs/>
                <w:noProof/>
              </w:rPr>
              <w:t>1 442 436</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b/>
                <w:bCs/>
                <w:noProof/>
              </w:rPr>
            </w:pPr>
            <w:r>
              <w:rPr>
                <w:rFonts w:cs="Arial"/>
                <w:bCs/>
                <w:noProof/>
              </w:rPr>
              <w:t>(6 783 279)</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Cs/>
                <w:noProof/>
              </w:rPr>
            </w:pPr>
            <w:r>
              <w:rPr>
                <w:rFonts w:cs="Arial"/>
                <w:noProof/>
              </w:rPr>
              <w:t>Retained earnings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Cs/>
                <w:noProof/>
              </w:rPr>
            </w:pPr>
            <w:r>
              <w:rPr>
                <w:rFonts w:cs="Arial"/>
                <w:noProof/>
              </w:rPr>
              <w:t>3 364 100</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Cs/>
                <w:noProof/>
              </w:rPr>
            </w:pPr>
            <w:r>
              <w:rPr>
                <w:rFonts w:eastAsia="Arial Unicode MS" w:cs="Arial"/>
                <w:noProof/>
              </w:rPr>
              <w:t>933 894</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Cs/>
                <w:noProof/>
              </w:rPr>
            </w:pPr>
            <w:r>
              <w:rPr>
                <w:rFonts w:cs="Arial"/>
                <w:noProof/>
              </w:rPr>
              <w:t>Economic result of the year</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Cs/>
                <w:noProof/>
              </w:rPr>
            </w:pPr>
            <w:r>
              <w:rPr>
                <w:rFonts w:cs="Arial"/>
                <w:noProof/>
              </w:rPr>
              <w:t>(13 876 513)</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bCs/>
                <w:noProof/>
              </w:rPr>
            </w:pPr>
            <w:r>
              <w:rPr>
                <w:rFonts w:eastAsia="Arial Unicode MS" w:cs="Arial"/>
                <w:noProof/>
              </w:rPr>
              <w:t>2 430 206</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noProof/>
              </w:rPr>
            </w:pPr>
            <w:r>
              <w:rPr>
                <w:rFonts w:cs="Arial"/>
                <w:b/>
                <w:bCs/>
                <w:noProof/>
                <w:lang w:val="fr-FR"/>
              </w:rPr>
              <w:t>CURRENT LIABILITIES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rPr>
            </w:pPr>
            <w:r>
              <w:rPr>
                <w:rFonts w:cs="Arial"/>
                <w:b/>
                <w:noProof/>
              </w:rPr>
              <w:t>100 455</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rPr>
            </w:pPr>
            <w:r>
              <w:rPr>
                <w:rFonts w:eastAsia="Arial Unicode MS" w:cs="Arial"/>
                <w:b/>
                <w:noProof/>
              </w:rPr>
              <w:t>100 324</w:t>
            </w:r>
          </w:p>
        </w:tc>
      </w:tr>
      <w:tr>
        <w:trPr>
          <w:trHeight w:hRule="exact" w:val="60"/>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bCs/>
                <w:noProof/>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b/>
                <w:noProof/>
                <w:lang w:val="fr-FR"/>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b/>
                <w:noProof/>
                <w:lang w:val="fr-FR"/>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eastAsia="Arial Unicode MS" w:cs="Arial"/>
                <w:b/>
                <w:bCs/>
                <w:noProof/>
              </w:rPr>
            </w:pPr>
            <w:r>
              <w:rPr>
                <w:rFonts w:cs="Arial"/>
                <w:bCs/>
                <w:noProof/>
              </w:rPr>
              <w:t>Financial liabilities at fair value through surplus or deficit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tabs>
                <w:tab w:val="left" w:pos="1558"/>
              </w:tabs>
              <w:ind w:right="143"/>
              <w:jc w:val="right"/>
              <w:rPr>
                <w:rFonts w:eastAsia="Arial Unicode MS" w:cs="Arial"/>
                <w:b/>
                <w:noProof/>
              </w:rPr>
            </w:pPr>
            <w:r>
              <w:rPr>
                <w:rFonts w:eastAsia="Arial Unicode MS" w:cs="Arial"/>
                <w:noProof/>
              </w:rPr>
              <w:t>-</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tabs>
                <w:tab w:val="left" w:pos="1558"/>
              </w:tabs>
              <w:ind w:right="143"/>
              <w:jc w:val="right"/>
              <w:rPr>
                <w:rFonts w:eastAsia="Arial Unicode MS" w:cs="Arial"/>
                <w:b/>
                <w:noProof/>
              </w:rPr>
            </w:pPr>
            <w:r>
              <w:rPr>
                <w:rFonts w:eastAsia="Arial Unicode MS" w:cs="Arial"/>
                <w:noProof/>
              </w:rPr>
              <w:t>-</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
                <w:bCs/>
                <w:noProof/>
              </w:rPr>
            </w:pPr>
            <w:r>
              <w:rPr>
                <w:rFonts w:cs="Arial"/>
                <w:bCs/>
                <w:noProof/>
              </w:rPr>
              <w:t>Other payables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noProof/>
              </w:rPr>
            </w:pPr>
            <w:r>
              <w:rPr>
                <w:rFonts w:cs="Arial"/>
                <w:noProof/>
              </w:rPr>
              <w:t>100 455</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jc w:val="right"/>
              <w:rPr>
                <w:rFonts w:cs="Arial"/>
                <w:noProof/>
              </w:rPr>
            </w:pPr>
            <w:r>
              <w:rPr>
                <w:rFonts w:cs="Arial"/>
                <w:noProof/>
              </w:rPr>
              <w:t>54 145</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Cs/>
                <w:noProof/>
              </w:rPr>
            </w:pPr>
            <w:r>
              <w:rPr>
                <w:rFonts w:cs="Arial"/>
                <w:bCs/>
                <w:noProof/>
              </w:rPr>
              <w:t>Accrued charges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tabs>
                <w:tab w:val="left" w:pos="1558"/>
              </w:tabs>
              <w:ind w:right="143"/>
              <w:jc w:val="right"/>
              <w:rPr>
                <w:rFonts w:eastAsia="Arial Unicode MS" w:cs="Arial"/>
                <w:noProof/>
              </w:rPr>
            </w:pPr>
            <w:r>
              <w:rPr>
                <w:rFonts w:cs="Arial"/>
                <w:noProof/>
              </w:rPr>
              <w:t>-</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tabs>
                <w:tab w:val="left" w:pos="1558"/>
              </w:tabs>
              <w:ind w:right="143"/>
              <w:jc w:val="right"/>
              <w:rPr>
                <w:rFonts w:eastAsia="Arial Unicode MS" w:cs="Arial"/>
                <w:noProof/>
              </w:rPr>
            </w:pPr>
            <w:r>
              <w:rPr>
                <w:rFonts w:cs="Arial"/>
                <w:noProof/>
              </w:rPr>
              <w:t>46 179</w:t>
            </w: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Cs/>
                <w:noProof/>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rPr>
            </w:pP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rPr>
            </w:pPr>
          </w:p>
        </w:tc>
      </w:tr>
      <w:tr>
        <w:trPr>
          <w:trHeight w:hRule="exact" w:val="284"/>
        </w:trPr>
        <w:tc>
          <w:tcPr>
            <w:tcW w:w="5812" w:type="dxa"/>
            <w:tcBorders>
              <w:top w:val="single" w:sz="4" w:space="0" w:color="auto"/>
              <w:left w:val="single" w:sz="4" w:space="0" w:color="auto"/>
              <w:bottom w:val="single" w:sz="4" w:space="0" w:color="auto"/>
              <w:right w:val="single" w:sz="4" w:space="0" w:color="auto"/>
            </w:tcBorders>
            <w:shd w:val="clear" w:color="auto" w:fill="FFFFFF"/>
            <w:noWrap/>
            <w:vAlign w:val="bottom"/>
          </w:tcPr>
          <w:p>
            <w:pPr>
              <w:rPr>
                <w:rFonts w:cs="Arial"/>
                <w:bCs/>
                <w:noProof/>
              </w:rPr>
            </w:pPr>
            <w:r>
              <w:rPr>
                <w:rFonts w:cs="Arial"/>
                <w:b/>
                <w:bCs/>
                <w:noProof/>
              </w:rPr>
              <w:t>TOTAL NET ASSETS AND LIABILITIES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cs="Arial"/>
                <w:noProof/>
              </w:rPr>
            </w:pPr>
            <w:r>
              <w:rPr>
                <w:rFonts w:eastAsia="Arial Unicode MS" w:cs="Arial"/>
                <w:b/>
                <w:bCs/>
                <w:noProof/>
              </w:rPr>
              <w:t xml:space="preserve">5 451 773 </w:t>
            </w:r>
            <w:r>
              <w:rPr>
                <w:rFonts w:cs="Arial"/>
                <w:b/>
                <w:noProof/>
              </w:rPr>
              <w:t>656</w:t>
            </w:r>
          </w:p>
        </w:tc>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pPr>
              <w:ind w:right="142"/>
              <w:jc w:val="right"/>
              <w:rPr>
                <w:rFonts w:eastAsia="Arial Unicode MS" w:cs="Arial"/>
                <w:noProof/>
              </w:rPr>
            </w:pPr>
            <w:r>
              <w:rPr>
                <w:rFonts w:eastAsia="Arial Unicode MS" w:cs="Arial"/>
                <w:b/>
                <w:bCs/>
                <w:noProof/>
              </w:rPr>
              <w:t>3 504 363 400</w:t>
            </w:r>
          </w:p>
        </w:tc>
      </w:tr>
    </w:tbl>
    <w:p>
      <w:pPr>
        <w:widowControl/>
        <w:autoSpaceDE/>
        <w:autoSpaceDN/>
        <w:adjustRightInd/>
        <w:spacing w:after="200" w:line="276" w:lineRule="auto"/>
        <w:rPr>
          <w:noProof/>
          <w:sz w:val="18"/>
          <w:szCs w:val="18"/>
        </w:rPr>
      </w:pPr>
    </w:p>
    <w:p>
      <w:pPr>
        <w:widowControl/>
        <w:autoSpaceDE/>
        <w:autoSpaceDN/>
        <w:adjustRightInd/>
        <w:spacing w:after="200" w:line="276" w:lineRule="auto"/>
        <w:rPr>
          <w:noProof/>
          <w:sz w:val="18"/>
          <w:szCs w:val="18"/>
        </w:rPr>
      </w:pPr>
    </w:p>
    <w:p>
      <w:pPr>
        <w:spacing w:after="240"/>
        <w:rPr>
          <w:rStyle w:val="BookTitle"/>
          <w:noProof/>
          <w:sz w:val="24"/>
          <w:szCs w:val="24"/>
        </w:rPr>
      </w:pPr>
      <w:r>
        <w:rPr>
          <w:rStyle w:val="BookTitle"/>
          <w:noProof/>
          <w:sz w:val="24"/>
          <w:szCs w:val="24"/>
        </w:rPr>
        <w:t>Statement of financial performance for the year ended 31 December 2018</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3"/>
        <w:gridCol w:w="1701"/>
        <w:gridCol w:w="1701"/>
      </w:tblGrid>
      <w:tr>
        <w:trPr>
          <w:trHeight w:hRule="exact" w:val="284"/>
        </w:trPr>
        <w:tc>
          <w:tcPr>
            <w:tcW w:w="5813" w:type="dxa"/>
            <w:shd w:val="clear" w:color="auto" w:fill="FFFFFF"/>
            <w:noWrap/>
            <w:vAlign w:val="center"/>
          </w:tcPr>
          <w:p>
            <w:pPr>
              <w:rPr>
                <w:rFonts w:eastAsia="Arial Unicode MS" w:cs="Arial"/>
                <w:noProof/>
              </w:rPr>
            </w:pPr>
            <w:r>
              <w:rPr>
                <w:rFonts w:cs="Arial"/>
                <w:noProof/>
              </w:rPr>
              <w:t> </w:t>
            </w:r>
          </w:p>
        </w:tc>
        <w:tc>
          <w:tcPr>
            <w:tcW w:w="1701" w:type="dxa"/>
            <w:shd w:val="clear" w:color="auto" w:fill="FFFFFF"/>
            <w:noWrap/>
            <w:vAlign w:val="center"/>
          </w:tcPr>
          <w:p>
            <w:pPr>
              <w:jc w:val="center"/>
              <w:rPr>
                <w:rFonts w:eastAsia="Arial Unicode MS" w:cs="Arial"/>
                <w:b/>
                <w:bCs/>
                <w:noProof/>
              </w:rPr>
            </w:pPr>
            <w:r>
              <w:rPr>
                <w:rFonts w:cs="Arial"/>
                <w:b/>
                <w:bCs/>
                <w:noProof/>
              </w:rPr>
              <w:t>2018</w:t>
            </w:r>
          </w:p>
        </w:tc>
        <w:tc>
          <w:tcPr>
            <w:tcW w:w="1701" w:type="dxa"/>
            <w:shd w:val="clear" w:color="auto" w:fill="FFFFFF"/>
            <w:vAlign w:val="center"/>
          </w:tcPr>
          <w:p>
            <w:pPr>
              <w:jc w:val="center"/>
              <w:rPr>
                <w:rFonts w:eastAsia="Arial Unicode MS" w:cs="Arial"/>
                <w:b/>
                <w:bCs/>
                <w:noProof/>
              </w:rPr>
            </w:pPr>
            <w:r>
              <w:rPr>
                <w:rFonts w:cs="Arial"/>
                <w:b/>
                <w:bCs/>
                <w:noProof/>
              </w:rPr>
              <w:t>2017</w:t>
            </w:r>
          </w:p>
        </w:tc>
      </w:tr>
      <w:tr>
        <w:trPr>
          <w:trHeight w:hRule="exact" w:val="284"/>
        </w:trPr>
        <w:tc>
          <w:tcPr>
            <w:tcW w:w="5813" w:type="dxa"/>
            <w:shd w:val="clear" w:color="auto" w:fill="FFFFFF"/>
            <w:noWrap/>
            <w:vAlign w:val="center"/>
          </w:tcPr>
          <w:p>
            <w:pPr>
              <w:rPr>
                <w:rFonts w:cs="Arial"/>
                <w:noProof/>
              </w:rPr>
            </w:pPr>
          </w:p>
        </w:tc>
        <w:tc>
          <w:tcPr>
            <w:tcW w:w="1701" w:type="dxa"/>
            <w:shd w:val="clear" w:color="auto" w:fill="FFFFFF"/>
            <w:noWrap/>
            <w:vAlign w:val="center"/>
          </w:tcPr>
          <w:p>
            <w:pPr>
              <w:jc w:val="center"/>
              <w:rPr>
                <w:rFonts w:cs="Arial"/>
                <w:bCs/>
                <w:noProof/>
              </w:rPr>
            </w:pPr>
            <w:r>
              <w:rPr>
                <w:rFonts w:cs="Arial"/>
                <w:bCs/>
                <w:noProof/>
              </w:rPr>
              <w:t>EUR</w:t>
            </w:r>
          </w:p>
        </w:tc>
        <w:tc>
          <w:tcPr>
            <w:tcW w:w="1701" w:type="dxa"/>
            <w:shd w:val="clear" w:color="auto" w:fill="FFFFFF"/>
            <w:vAlign w:val="center"/>
          </w:tcPr>
          <w:p>
            <w:pPr>
              <w:jc w:val="center"/>
              <w:rPr>
                <w:rFonts w:cs="Arial"/>
                <w:bCs/>
                <w:noProof/>
              </w:rPr>
            </w:pPr>
            <w:r>
              <w:rPr>
                <w:rFonts w:cs="Arial"/>
                <w:bCs/>
                <w:noProof/>
              </w:rPr>
              <w:t>EUR</w:t>
            </w:r>
          </w:p>
        </w:tc>
      </w:tr>
      <w:tr>
        <w:trPr>
          <w:trHeight w:hRule="exact" w:val="284"/>
        </w:trPr>
        <w:tc>
          <w:tcPr>
            <w:tcW w:w="5813" w:type="dxa"/>
            <w:shd w:val="clear" w:color="auto" w:fill="FFFFFF"/>
            <w:noWrap/>
            <w:vAlign w:val="center"/>
          </w:tcPr>
          <w:p>
            <w:pPr>
              <w:rPr>
                <w:rFonts w:cs="Arial"/>
                <w:noProof/>
              </w:rPr>
            </w:pPr>
            <w:r>
              <w:rPr>
                <w:rFonts w:cs="Arial"/>
                <w:b/>
                <w:noProof/>
              </w:rPr>
              <w:t>Revenue from operating activities</w:t>
            </w:r>
          </w:p>
        </w:tc>
        <w:tc>
          <w:tcPr>
            <w:tcW w:w="1701" w:type="dxa"/>
            <w:shd w:val="clear" w:color="auto" w:fill="FFFFFF"/>
            <w:noWrap/>
            <w:vAlign w:val="bottom"/>
          </w:tcPr>
          <w:p>
            <w:pPr>
              <w:tabs>
                <w:tab w:val="left" w:pos="1558"/>
              </w:tabs>
              <w:ind w:right="143"/>
              <w:jc w:val="right"/>
              <w:rPr>
                <w:rFonts w:cs="Arial"/>
                <w:b/>
                <w:noProof/>
                <w:lang w:eastAsia="ko-KR"/>
              </w:rPr>
            </w:pPr>
            <w:r>
              <w:rPr>
                <w:rFonts w:cs="Arial"/>
                <w:b/>
                <w:noProof/>
                <w:lang w:eastAsia="ko-KR"/>
              </w:rPr>
              <w:t>103 725 359</w:t>
            </w:r>
          </w:p>
        </w:tc>
        <w:tc>
          <w:tcPr>
            <w:tcW w:w="1701" w:type="dxa"/>
            <w:shd w:val="clear" w:color="auto" w:fill="FFFFFF"/>
            <w:vAlign w:val="bottom"/>
          </w:tcPr>
          <w:p>
            <w:pPr>
              <w:tabs>
                <w:tab w:val="left" w:pos="1558"/>
              </w:tabs>
              <w:ind w:right="143"/>
              <w:jc w:val="right"/>
              <w:rPr>
                <w:rFonts w:cs="Arial"/>
                <w:b/>
                <w:noProof/>
                <w:lang w:eastAsia="ko-KR"/>
              </w:rPr>
            </w:pPr>
            <w:r>
              <w:rPr>
                <w:rFonts w:cs="Arial"/>
                <w:b/>
                <w:noProof/>
              </w:rPr>
              <w:t>22 721 597</w:t>
            </w:r>
          </w:p>
        </w:tc>
      </w:tr>
      <w:tr>
        <w:trPr>
          <w:trHeight w:hRule="exact" w:val="284"/>
        </w:trPr>
        <w:tc>
          <w:tcPr>
            <w:tcW w:w="5813" w:type="dxa"/>
            <w:shd w:val="clear" w:color="auto" w:fill="FFFFFF"/>
            <w:noWrap/>
            <w:vAlign w:val="center"/>
          </w:tcPr>
          <w:p>
            <w:pPr>
              <w:rPr>
                <w:rFonts w:cs="Arial"/>
                <w:noProof/>
              </w:rPr>
            </w:pPr>
            <w:r>
              <w:rPr>
                <w:rFonts w:cs="Arial"/>
                <w:noProof/>
              </w:rPr>
              <w:t>Foreign exchange gains</w:t>
            </w:r>
          </w:p>
        </w:tc>
        <w:tc>
          <w:tcPr>
            <w:tcW w:w="1701" w:type="dxa"/>
            <w:shd w:val="clear" w:color="auto" w:fill="FFFFFF"/>
            <w:noWrap/>
            <w:vAlign w:val="bottom"/>
          </w:tcPr>
          <w:p>
            <w:pPr>
              <w:tabs>
                <w:tab w:val="left" w:pos="1558"/>
              </w:tabs>
              <w:ind w:right="143"/>
              <w:jc w:val="right"/>
              <w:rPr>
                <w:rFonts w:cs="Arial"/>
                <w:noProof/>
              </w:rPr>
            </w:pPr>
            <w:r>
              <w:rPr>
                <w:rFonts w:cs="Arial"/>
                <w:noProof/>
              </w:rPr>
              <w:t>103 679 180</w:t>
            </w:r>
          </w:p>
        </w:tc>
        <w:tc>
          <w:tcPr>
            <w:tcW w:w="1701" w:type="dxa"/>
            <w:shd w:val="clear" w:color="auto" w:fill="FFFFFF"/>
            <w:vAlign w:val="bottom"/>
          </w:tcPr>
          <w:p>
            <w:pPr>
              <w:tabs>
                <w:tab w:val="left" w:pos="1558"/>
              </w:tabs>
              <w:ind w:right="143"/>
              <w:jc w:val="right"/>
              <w:rPr>
                <w:rFonts w:cs="Arial"/>
                <w:noProof/>
              </w:rPr>
            </w:pPr>
            <w:r>
              <w:rPr>
                <w:rFonts w:cs="Arial"/>
                <w:noProof/>
              </w:rPr>
              <w:t>22 721 597</w:t>
            </w:r>
          </w:p>
        </w:tc>
      </w:tr>
      <w:tr>
        <w:trPr>
          <w:trHeight w:hRule="exact" w:val="284"/>
        </w:trPr>
        <w:tc>
          <w:tcPr>
            <w:tcW w:w="5813" w:type="dxa"/>
            <w:shd w:val="clear" w:color="auto" w:fill="FFFFFF"/>
            <w:noWrap/>
            <w:vAlign w:val="center"/>
          </w:tcPr>
          <w:p>
            <w:pPr>
              <w:rPr>
                <w:rFonts w:cs="Arial"/>
                <w:noProof/>
              </w:rPr>
            </w:pPr>
            <w:r>
              <w:rPr>
                <w:rFonts w:cs="Arial"/>
                <w:noProof/>
              </w:rPr>
              <w:t>Other revenue from operating activities</w:t>
            </w:r>
          </w:p>
        </w:tc>
        <w:tc>
          <w:tcPr>
            <w:tcW w:w="1701" w:type="dxa"/>
            <w:shd w:val="clear" w:color="auto" w:fill="FFFFFF"/>
            <w:noWrap/>
            <w:vAlign w:val="bottom"/>
          </w:tcPr>
          <w:p>
            <w:pPr>
              <w:tabs>
                <w:tab w:val="left" w:pos="1558"/>
              </w:tabs>
              <w:ind w:right="143"/>
              <w:jc w:val="right"/>
              <w:rPr>
                <w:rFonts w:cs="Arial"/>
                <w:noProof/>
              </w:rPr>
            </w:pPr>
            <w:r>
              <w:rPr>
                <w:rFonts w:cs="Arial"/>
                <w:noProof/>
              </w:rPr>
              <w:t>46 179</w:t>
            </w:r>
          </w:p>
        </w:tc>
        <w:tc>
          <w:tcPr>
            <w:tcW w:w="1701" w:type="dxa"/>
            <w:shd w:val="clear" w:color="auto" w:fill="FFFFFF"/>
            <w:vAlign w:val="bottom"/>
          </w:tcPr>
          <w:p>
            <w:pPr>
              <w:tabs>
                <w:tab w:val="left" w:pos="1558"/>
              </w:tabs>
              <w:ind w:right="143"/>
              <w:jc w:val="right"/>
              <w:rPr>
                <w:rFonts w:cs="Arial"/>
                <w:noProof/>
              </w:rPr>
            </w:pPr>
            <w:r>
              <w:rPr>
                <w:rFonts w:cs="Arial"/>
                <w:noProof/>
              </w:rPr>
              <w:t>-</w:t>
            </w:r>
          </w:p>
        </w:tc>
      </w:tr>
      <w:tr>
        <w:trPr>
          <w:trHeight w:hRule="exact" w:val="284"/>
        </w:trPr>
        <w:tc>
          <w:tcPr>
            <w:tcW w:w="5813" w:type="dxa"/>
            <w:shd w:val="clear" w:color="auto" w:fill="FFFFFF"/>
            <w:noWrap/>
            <w:vAlign w:val="center"/>
          </w:tcPr>
          <w:p>
            <w:pPr>
              <w:rPr>
                <w:rFonts w:cs="Arial"/>
                <w:b/>
                <w:noProof/>
              </w:rPr>
            </w:pPr>
          </w:p>
        </w:tc>
        <w:tc>
          <w:tcPr>
            <w:tcW w:w="1701" w:type="dxa"/>
            <w:shd w:val="clear" w:color="auto" w:fill="FFFFFF"/>
            <w:noWrap/>
            <w:vAlign w:val="center"/>
          </w:tcPr>
          <w:p>
            <w:pPr>
              <w:tabs>
                <w:tab w:val="left" w:pos="1558"/>
              </w:tabs>
              <w:ind w:right="143"/>
              <w:jc w:val="right"/>
              <w:rPr>
                <w:rFonts w:cs="Arial"/>
                <w:b/>
                <w:noProof/>
              </w:rPr>
            </w:pPr>
          </w:p>
        </w:tc>
        <w:tc>
          <w:tcPr>
            <w:tcW w:w="1701" w:type="dxa"/>
            <w:shd w:val="clear" w:color="auto" w:fill="FFFFFF"/>
            <w:vAlign w:val="center"/>
          </w:tcPr>
          <w:p>
            <w:pPr>
              <w:tabs>
                <w:tab w:val="left" w:pos="1558"/>
              </w:tabs>
              <w:ind w:right="143"/>
              <w:jc w:val="right"/>
              <w:rPr>
                <w:rFonts w:cs="Arial"/>
                <w:b/>
                <w:noProof/>
              </w:rPr>
            </w:pPr>
          </w:p>
        </w:tc>
      </w:tr>
      <w:tr>
        <w:trPr>
          <w:trHeight w:hRule="exact" w:val="284"/>
        </w:trPr>
        <w:tc>
          <w:tcPr>
            <w:tcW w:w="5813" w:type="dxa"/>
            <w:shd w:val="clear" w:color="auto" w:fill="FFFFFF"/>
            <w:noWrap/>
            <w:vAlign w:val="center"/>
          </w:tcPr>
          <w:p>
            <w:pPr>
              <w:rPr>
                <w:rFonts w:cs="Arial"/>
                <w:noProof/>
              </w:rPr>
            </w:pPr>
            <w:r>
              <w:rPr>
                <w:rFonts w:cs="Arial"/>
                <w:b/>
                <w:noProof/>
              </w:rPr>
              <w:t>Expenses from operating activities</w:t>
            </w:r>
          </w:p>
        </w:tc>
        <w:tc>
          <w:tcPr>
            <w:tcW w:w="1701" w:type="dxa"/>
            <w:shd w:val="clear" w:color="auto" w:fill="FFFFFF"/>
            <w:noWrap/>
            <w:vAlign w:val="center"/>
          </w:tcPr>
          <w:p>
            <w:pPr>
              <w:tabs>
                <w:tab w:val="left" w:pos="1558"/>
              </w:tabs>
              <w:ind w:right="143"/>
              <w:jc w:val="right"/>
              <w:rPr>
                <w:rFonts w:cs="Arial"/>
                <w:b/>
                <w:noProof/>
              </w:rPr>
            </w:pPr>
            <w:r>
              <w:rPr>
                <w:rFonts w:cs="Arial"/>
                <w:b/>
                <w:noProof/>
              </w:rPr>
              <w:t>(86 684 186)</w:t>
            </w:r>
          </w:p>
        </w:tc>
        <w:tc>
          <w:tcPr>
            <w:tcW w:w="1701" w:type="dxa"/>
            <w:shd w:val="clear" w:color="auto" w:fill="FFFFFF"/>
            <w:vAlign w:val="center"/>
          </w:tcPr>
          <w:p>
            <w:pPr>
              <w:tabs>
                <w:tab w:val="left" w:pos="1558"/>
              </w:tabs>
              <w:ind w:right="143"/>
              <w:jc w:val="right"/>
              <w:rPr>
                <w:rFonts w:cs="Arial"/>
                <w:b/>
                <w:noProof/>
              </w:rPr>
            </w:pPr>
            <w:r>
              <w:rPr>
                <w:rFonts w:cs="Arial"/>
                <w:b/>
                <w:noProof/>
              </w:rPr>
              <w:t>(60 846 316)</w:t>
            </w:r>
          </w:p>
        </w:tc>
      </w:tr>
      <w:tr>
        <w:trPr>
          <w:trHeight w:hRule="exact" w:val="284"/>
        </w:trPr>
        <w:tc>
          <w:tcPr>
            <w:tcW w:w="5813" w:type="dxa"/>
            <w:shd w:val="clear" w:color="auto" w:fill="FFFFFF"/>
            <w:noWrap/>
            <w:vAlign w:val="center"/>
          </w:tcPr>
          <w:p>
            <w:pPr>
              <w:rPr>
                <w:rFonts w:cs="Arial"/>
                <w:noProof/>
              </w:rPr>
            </w:pPr>
            <w:r>
              <w:rPr>
                <w:rFonts w:cs="Arial"/>
                <w:noProof/>
              </w:rPr>
              <w:t>Foreign exchange losses</w:t>
            </w:r>
          </w:p>
        </w:tc>
        <w:tc>
          <w:tcPr>
            <w:tcW w:w="1701" w:type="dxa"/>
            <w:shd w:val="clear" w:color="auto" w:fill="FFFFFF"/>
            <w:noWrap/>
            <w:vAlign w:val="bottom"/>
          </w:tcPr>
          <w:p>
            <w:pPr>
              <w:tabs>
                <w:tab w:val="left" w:pos="1558"/>
              </w:tabs>
              <w:ind w:right="143"/>
              <w:jc w:val="right"/>
              <w:rPr>
                <w:rFonts w:cs="Arial"/>
                <w:noProof/>
              </w:rPr>
            </w:pPr>
            <w:r>
              <w:rPr>
                <w:rFonts w:cs="Arial"/>
                <w:noProof/>
              </w:rPr>
              <w:t>(86 669 186)</w:t>
            </w:r>
          </w:p>
        </w:tc>
        <w:tc>
          <w:tcPr>
            <w:tcW w:w="1701" w:type="dxa"/>
            <w:shd w:val="clear" w:color="auto" w:fill="FFFFFF"/>
            <w:vAlign w:val="bottom"/>
          </w:tcPr>
          <w:p>
            <w:pPr>
              <w:tabs>
                <w:tab w:val="left" w:pos="1558"/>
              </w:tabs>
              <w:ind w:right="143"/>
              <w:jc w:val="right"/>
              <w:rPr>
                <w:rFonts w:cs="Arial"/>
                <w:noProof/>
              </w:rPr>
            </w:pPr>
            <w:r>
              <w:rPr>
                <w:rFonts w:cs="Arial"/>
                <w:noProof/>
              </w:rPr>
              <w:t>(60 742 759)</w:t>
            </w:r>
          </w:p>
        </w:tc>
      </w:tr>
      <w:tr>
        <w:trPr>
          <w:trHeight w:hRule="exact" w:val="284"/>
        </w:trPr>
        <w:tc>
          <w:tcPr>
            <w:tcW w:w="5813" w:type="dxa"/>
            <w:shd w:val="clear" w:color="auto" w:fill="FFFFFF"/>
            <w:noWrap/>
            <w:vAlign w:val="center"/>
          </w:tcPr>
          <w:p>
            <w:pPr>
              <w:rPr>
                <w:rFonts w:cs="Arial"/>
                <w:noProof/>
              </w:rPr>
            </w:pPr>
          </w:p>
        </w:tc>
        <w:tc>
          <w:tcPr>
            <w:tcW w:w="1701" w:type="dxa"/>
            <w:shd w:val="clear" w:color="auto" w:fill="FFFFFF"/>
            <w:noWrap/>
            <w:vAlign w:val="bottom"/>
          </w:tcPr>
          <w:p>
            <w:pPr>
              <w:tabs>
                <w:tab w:val="left" w:pos="1558"/>
              </w:tabs>
              <w:ind w:right="143"/>
              <w:jc w:val="right"/>
              <w:rPr>
                <w:rFonts w:cs="Arial"/>
                <w:noProof/>
              </w:rPr>
            </w:pPr>
          </w:p>
        </w:tc>
        <w:tc>
          <w:tcPr>
            <w:tcW w:w="1701" w:type="dxa"/>
            <w:shd w:val="clear" w:color="auto" w:fill="FFFFFF"/>
            <w:vAlign w:val="bottom"/>
          </w:tcPr>
          <w:p>
            <w:pPr>
              <w:tabs>
                <w:tab w:val="left" w:pos="1558"/>
              </w:tabs>
              <w:ind w:right="143"/>
              <w:jc w:val="right"/>
              <w:rPr>
                <w:rFonts w:cs="Arial"/>
                <w:noProof/>
              </w:rPr>
            </w:pPr>
          </w:p>
        </w:tc>
      </w:tr>
      <w:tr>
        <w:trPr>
          <w:trHeight w:hRule="exact" w:val="284"/>
        </w:trPr>
        <w:tc>
          <w:tcPr>
            <w:tcW w:w="5813" w:type="dxa"/>
            <w:shd w:val="clear" w:color="auto" w:fill="FFFFFF"/>
            <w:noWrap/>
            <w:vAlign w:val="center"/>
          </w:tcPr>
          <w:p>
            <w:pPr>
              <w:rPr>
                <w:rFonts w:cs="Arial"/>
                <w:noProof/>
              </w:rPr>
            </w:pPr>
            <w:r>
              <w:rPr>
                <w:rFonts w:cs="Arial"/>
                <w:bCs/>
                <w:noProof/>
              </w:rPr>
              <w:t>Other expenses from operating activities</w:t>
            </w:r>
          </w:p>
        </w:tc>
        <w:tc>
          <w:tcPr>
            <w:tcW w:w="1701" w:type="dxa"/>
            <w:shd w:val="clear" w:color="auto" w:fill="FFFFFF"/>
            <w:noWrap/>
            <w:vAlign w:val="center"/>
          </w:tcPr>
          <w:p>
            <w:pPr>
              <w:tabs>
                <w:tab w:val="left" w:pos="1558"/>
              </w:tabs>
              <w:ind w:right="143"/>
              <w:jc w:val="right"/>
              <w:rPr>
                <w:rFonts w:eastAsia="Arial Unicode MS" w:cs="Arial"/>
                <w:noProof/>
              </w:rPr>
            </w:pPr>
            <w:r>
              <w:rPr>
                <w:rFonts w:eastAsia="Arial Unicode MS" w:cs="Arial"/>
                <w:noProof/>
              </w:rPr>
              <w:t>(15 000)</w:t>
            </w:r>
          </w:p>
        </w:tc>
        <w:tc>
          <w:tcPr>
            <w:tcW w:w="1701" w:type="dxa"/>
            <w:shd w:val="clear" w:color="auto" w:fill="FFFFFF"/>
            <w:vAlign w:val="center"/>
          </w:tcPr>
          <w:p>
            <w:pPr>
              <w:tabs>
                <w:tab w:val="left" w:pos="1558"/>
              </w:tabs>
              <w:ind w:right="143"/>
              <w:jc w:val="right"/>
              <w:rPr>
                <w:rFonts w:eastAsia="Arial Unicode MS" w:cs="Arial"/>
                <w:b/>
                <w:noProof/>
              </w:rPr>
            </w:pPr>
            <w:r>
              <w:rPr>
                <w:rFonts w:eastAsia="Arial Unicode MS" w:cs="Arial"/>
                <w:noProof/>
              </w:rPr>
              <w:t>(103 557)</w:t>
            </w:r>
          </w:p>
        </w:tc>
      </w:tr>
      <w:tr>
        <w:trPr>
          <w:trHeight w:hRule="exact" w:val="284"/>
        </w:trPr>
        <w:tc>
          <w:tcPr>
            <w:tcW w:w="5813" w:type="dxa"/>
            <w:shd w:val="clear" w:color="auto" w:fill="FFFFFF"/>
            <w:noWrap/>
            <w:vAlign w:val="center"/>
          </w:tcPr>
          <w:p>
            <w:pPr>
              <w:rPr>
                <w:rFonts w:eastAsia="Arial Unicode MS" w:cs="Arial"/>
                <w:i/>
                <w:noProof/>
              </w:rPr>
            </w:pPr>
            <w:r>
              <w:rPr>
                <w:rFonts w:cs="Arial"/>
                <w:i/>
                <w:noProof/>
              </w:rPr>
              <w:t xml:space="preserve">     Audit fees</w:t>
            </w:r>
          </w:p>
        </w:tc>
        <w:tc>
          <w:tcPr>
            <w:tcW w:w="1701" w:type="dxa"/>
            <w:shd w:val="clear" w:color="auto" w:fill="FFFFFF"/>
            <w:noWrap/>
            <w:vAlign w:val="center"/>
          </w:tcPr>
          <w:p>
            <w:pPr>
              <w:tabs>
                <w:tab w:val="left" w:pos="1558"/>
              </w:tabs>
              <w:ind w:right="143"/>
              <w:jc w:val="right"/>
              <w:rPr>
                <w:rFonts w:cs="Arial"/>
                <w:i/>
                <w:noProof/>
                <w:lang w:eastAsia="ko-KR"/>
              </w:rPr>
            </w:pPr>
            <w:r>
              <w:rPr>
                <w:rFonts w:cs="Arial"/>
                <w:i/>
                <w:noProof/>
                <w:lang w:eastAsia="ko-KR"/>
              </w:rPr>
              <w:t>(15 000)</w:t>
            </w:r>
          </w:p>
        </w:tc>
        <w:tc>
          <w:tcPr>
            <w:tcW w:w="1701" w:type="dxa"/>
            <w:shd w:val="clear" w:color="auto" w:fill="FFFFFF"/>
            <w:vAlign w:val="center"/>
          </w:tcPr>
          <w:p>
            <w:pPr>
              <w:tabs>
                <w:tab w:val="left" w:pos="1558"/>
              </w:tabs>
              <w:ind w:right="143"/>
              <w:jc w:val="right"/>
              <w:rPr>
                <w:rFonts w:cs="Arial"/>
                <w:i/>
                <w:noProof/>
                <w:lang w:eastAsia="ko-KR"/>
              </w:rPr>
            </w:pPr>
            <w:r>
              <w:rPr>
                <w:rFonts w:cs="Arial"/>
                <w:i/>
                <w:noProof/>
                <w:lang w:eastAsia="ko-KR"/>
              </w:rPr>
              <w:t>(15 000)</w:t>
            </w:r>
          </w:p>
        </w:tc>
      </w:tr>
      <w:tr>
        <w:trPr>
          <w:trHeight w:hRule="exact" w:val="284"/>
        </w:trPr>
        <w:tc>
          <w:tcPr>
            <w:tcW w:w="5813" w:type="dxa"/>
            <w:shd w:val="clear" w:color="auto" w:fill="FFFFFF"/>
            <w:noWrap/>
            <w:vAlign w:val="center"/>
          </w:tcPr>
          <w:p>
            <w:pPr>
              <w:rPr>
                <w:rFonts w:cs="Arial"/>
                <w:noProof/>
              </w:rPr>
            </w:pPr>
            <w:r>
              <w:rPr>
                <w:rFonts w:cs="Arial"/>
                <w:i/>
                <w:noProof/>
              </w:rPr>
              <w:t xml:space="preserve">     IT cost</w:t>
            </w:r>
          </w:p>
        </w:tc>
        <w:tc>
          <w:tcPr>
            <w:tcW w:w="1701" w:type="dxa"/>
            <w:shd w:val="clear" w:color="auto" w:fill="FFFFFF"/>
            <w:noWrap/>
            <w:vAlign w:val="center"/>
          </w:tcPr>
          <w:p>
            <w:pPr>
              <w:tabs>
                <w:tab w:val="left" w:pos="1558"/>
              </w:tabs>
              <w:ind w:right="143"/>
              <w:jc w:val="right"/>
              <w:rPr>
                <w:rFonts w:cs="Arial"/>
                <w:i/>
                <w:noProof/>
                <w:lang w:eastAsia="ko-KR"/>
              </w:rPr>
            </w:pPr>
            <w:r>
              <w:rPr>
                <w:rFonts w:cs="Arial"/>
                <w:i/>
                <w:noProof/>
                <w:lang w:eastAsia="ko-KR"/>
              </w:rPr>
              <w:t>-</w:t>
            </w:r>
          </w:p>
        </w:tc>
        <w:tc>
          <w:tcPr>
            <w:tcW w:w="1701" w:type="dxa"/>
            <w:shd w:val="clear" w:color="auto" w:fill="FFFFFF"/>
            <w:vAlign w:val="center"/>
          </w:tcPr>
          <w:p>
            <w:pPr>
              <w:tabs>
                <w:tab w:val="left" w:pos="1558"/>
              </w:tabs>
              <w:ind w:right="143"/>
              <w:jc w:val="right"/>
              <w:rPr>
                <w:rFonts w:cs="Arial"/>
                <w:i/>
                <w:noProof/>
                <w:lang w:eastAsia="ko-KR"/>
              </w:rPr>
            </w:pPr>
            <w:r>
              <w:rPr>
                <w:rFonts w:cs="Arial"/>
                <w:i/>
                <w:noProof/>
                <w:lang w:eastAsia="ko-KR"/>
              </w:rPr>
              <w:t>(88 557)</w:t>
            </w:r>
          </w:p>
        </w:tc>
      </w:tr>
      <w:tr>
        <w:trPr>
          <w:trHeight w:hRule="exact" w:val="284"/>
        </w:trPr>
        <w:tc>
          <w:tcPr>
            <w:tcW w:w="5813" w:type="dxa"/>
            <w:shd w:val="clear" w:color="auto" w:fill="FFFFFF"/>
            <w:noWrap/>
            <w:vAlign w:val="center"/>
          </w:tcPr>
          <w:p>
            <w:pPr>
              <w:rPr>
                <w:rFonts w:cs="Arial"/>
                <w:noProof/>
              </w:rPr>
            </w:pPr>
          </w:p>
        </w:tc>
        <w:tc>
          <w:tcPr>
            <w:tcW w:w="1701" w:type="dxa"/>
            <w:shd w:val="clear" w:color="auto" w:fill="FFFFFF"/>
            <w:noWrap/>
            <w:vAlign w:val="center"/>
          </w:tcPr>
          <w:p>
            <w:pPr>
              <w:tabs>
                <w:tab w:val="left" w:pos="1558"/>
              </w:tabs>
              <w:ind w:right="143"/>
              <w:jc w:val="right"/>
              <w:rPr>
                <w:rFonts w:cs="Arial"/>
                <w:i/>
                <w:noProof/>
                <w:lang w:eastAsia="ko-KR"/>
              </w:rPr>
            </w:pPr>
          </w:p>
        </w:tc>
        <w:tc>
          <w:tcPr>
            <w:tcW w:w="1701" w:type="dxa"/>
            <w:shd w:val="clear" w:color="auto" w:fill="FFFFFF"/>
            <w:vAlign w:val="center"/>
          </w:tcPr>
          <w:p>
            <w:pPr>
              <w:tabs>
                <w:tab w:val="left" w:pos="1558"/>
              </w:tabs>
              <w:ind w:right="143"/>
              <w:jc w:val="right"/>
              <w:rPr>
                <w:rFonts w:cs="Arial"/>
                <w:i/>
                <w:noProof/>
                <w:lang w:eastAsia="ko-KR"/>
              </w:rPr>
            </w:pPr>
          </w:p>
        </w:tc>
      </w:tr>
      <w:tr>
        <w:trPr>
          <w:trHeight w:hRule="exact" w:val="284"/>
        </w:trPr>
        <w:tc>
          <w:tcPr>
            <w:tcW w:w="5813" w:type="dxa"/>
            <w:shd w:val="clear" w:color="auto" w:fill="FFFFFF"/>
            <w:noWrap/>
            <w:vAlign w:val="center"/>
          </w:tcPr>
          <w:p>
            <w:pPr>
              <w:rPr>
                <w:rFonts w:cs="Arial"/>
                <w:noProof/>
              </w:rPr>
            </w:pPr>
            <w:r>
              <w:rPr>
                <w:rFonts w:cs="Arial"/>
                <w:b/>
                <w:bCs/>
                <w:noProof/>
              </w:rPr>
              <w:t>RESULT FROM OPERATING ACTIVITIES</w:t>
            </w:r>
          </w:p>
        </w:tc>
        <w:tc>
          <w:tcPr>
            <w:tcW w:w="1701" w:type="dxa"/>
            <w:shd w:val="clear" w:color="auto" w:fill="FFFFFF"/>
            <w:noWrap/>
            <w:vAlign w:val="center"/>
          </w:tcPr>
          <w:p>
            <w:pPr>
              <w:tabs>
                <w:tab w:val="left" w:pos="1558"/>
              </w:tabs>
              <w:ind w:right="143"/>
              <w:jc w:val="right"/>
              <w:rPr>
                <w:rFonts w:cs="Arial"/>
                <w:b/>
                <w:noProof/>
              </w:rPr>
            </w:pPr>
            <w:r>
              <w:rPr>
                <w:rFonts w:cs="Arial"/>
                <w:b/>
                <w:noProof/>
              </w:rPr>
              <w:t>17 041 173</w:t>
            </w:r>
          </w:p>
        </w:tc>
        <w:tc>
          <w:tcPr>
            <w:tcW w:w="1701" w:type="dxa"/>
            <w:shd w:val="clear" w:color="auto" w:fill="FFFFFF"/>
            <w:vAlign w:val="center"/>
          </w:tcPr>
          <w:p>
            <w:pPr>
              <w:tabs>
                <w:tab w:val="left" w:pos="1558"/>
              </w:tabs>
              <w:ind w:right="143"/>
              <w:jc w:val="right"/>
              <w:rPr>
                <w:rFonts w:cs="Arial"/>
                <w:b/>
                <w:noProof/>
              </w:rPr>
            </w:pPr>
            <w:r>
              <w:rPr>
                <w:rFonts w:cs="Arial"/>
                <w:b/>
                <w:noProof/>
              </w:rPr>
              <w:t>(38 124 719)</w:t>
            </w:r>
          </w:p>
        </w:tc>
      </w:tr>
      <w:tr>
        <w:trPr>
          <w:trHeight w:hRule="exact" w:val="284"/>
        </w:trPr>
        <w:tc>
          <w:tcPr>
            <w:tcW w:w="5813" w:type="dxa"/>
            <w:shd w:val="clear" w:color="auto" w:fill="FFFFFF"/>
            <w:noWrap/>
            <w:vAlign w:val="center"/>
          </w:tcPr>
          <w:p>
            <w:pPr>
              <w:rPr>
                <w:rFonts w:cs="Arial"/>
                <w:noProof/>
              </w:rPr>
            </w:pPr>
          </w:p>
        </w:tc>
        <w:tc>
          <w:tcPr>
            <w:tcW w:w="1701" w:type="dxa"/>
            <w:shd w:val="clear" w:color="auto" w:fill="FFFFFF"/>
            <w:noWrap/>
            <w:vAlign w:val="center"/>
          </w:tcPr>
          <w:p>
            <w:pPr>
              <w:tabs>
                <w:tab w:val="left" w:pos="1558"/>
              </w:tabs>
              <w:ind w:right="143"/>
              <w:jc w:val="right"/>
              <w:rPr>
                <w:rFonts w:cs="Arial"/>
                <w:i/>
                <w:noProof/>
                <w:lang w:eastAsia="ko-KR"/>
              </w:rPr>
            </w:pPr>
          </w:p>
        </w:tc>
        <w:tc>
          <w:tcPr>
            <w:tcW w:w="1701" w:type="dxa"/>
            <w:shd w:val="clear" w:color="auto" w:fill="FFFFFF"/>
            <w:vAlign w:val="center"/>
          </w:tcPr>
          <w:p>
            <w:pPr>
              <w:tabs>
                <w:tab w:val="left" w:pos="1558"/>
              </w:tabs>
              <w:ind w:right="143"/>
              <w:jc w:val="right"/>
              <w:rPr>
                <w:rFonts w:cs="Arial"/>
                <w:i/>
                <w:noProof/>
                <w:lang w:eastAsia="ko-KR"/>
              </w:rPr>
            </w:pPr>
          </w:p>
        </w:tc>
      </w:tr>
      <w:tr>
        <w:trPr>
          <w:trHeight w:hRule="exact" w:val="284"/>
        </w:trPr>
        <w:tc>
          <w:tcPr>
            <w:tcW w:w="5813" w:type="dxa"/>
            <w:shd w:val="clear" w:color="auto" w:fill="FFFFFF"/>
            <w:noWrap/>
            <w:vAlign w:val="center"/>
          </w:tcPr>
          <w:p>
            <w:pPr>
              <w:rPr>
                <w:rFonts w:eastAsia="Arial Unicode MS" w:cs="Arial"/>
                <w:b/>
                <w:bCs/>
                <w:noProof/>
              </w:rPr>
            </w:pPr>
            <w:r>
              <w:rPr>
                <w:rFonts w:cs="Arial"/>
                <w:b/>
                <w:bCs/>
                <w:noProof/>
              </w:rPr>
              <w:t xml:space="preserve">Financial  revenue </w:t>
            </w:r>
          </w:p>
        </w:tc>
        <w:tc>
          <w:tcPr>
            <w:tcW w:w="1701" w:type="dxa"/>
            <w:shd w:val="clear" w:color="auto" w:fill="FFFFFF"/>
            <w:noWrap/>
            <w:vAlign w:val="center"/>
          </w:tcPr>
          <w:p>
            <w:pPr>
              <w:tabs>
                <w:tab w:val="left" w:pos="1558"/>
              </w:tabs>
              <w:ind w:right="143"/>
              <w:jc w:val="right"/>
              <w:rPr>
                <w:rFonts w:eastAsia="Arial Unicode MS" w:cs="Arial"/>
                <w:b/>
                <w:noProof/>
              </w:rPr>
            </w:pPr>
            <w:r>
              <w:rPr>
                <w:rFonts w:eastAsia="Arial Unicode MS" w:cs="Arial"/>
                <w:b/>
                <w:noProof/>
              </w:rPr>
              <w:t>50 409 147</w:t>
            </w:r>
          </w:p>
        </w:tc>
        <w:tc>
          <w:tcPr>
            <w:tcW w:w="1701" w:type="dxa"/>
            <w:shd w:val="clear" w:color="auto" w:fill="FFFFFF"/>
            <w:vAlign w:val="center"/>
          </w:tcPr>
          <w:p>
            <w:pPr>
              <w:tabs>
                <w:tab w:val="left" w:pos="1558"/>
              </w:tabs>
              <w:ind w:right="143"/>
              <w:jc w:val="right"/>
              <w:rPr>
                <w:rFonts w:eastAsia="Arial Unicode MS" w:cs="Arial"/>
                <w:b/>
                <w:noProof/>
              </w:rPr>
            </w:pPr>
            <w:r>
              <w:rPr>
                <w:rFonts w:eastAsia="Arial Unicode MS" w:cs="Arial"/>
                <w:b/>
                <w:noProof/>
              </w:rPr>
              <w:t>51 393 189</w:t>
            </w:r>
          </w:p>
        </w:tc>
      </w:tr>
      <w:tr>
        <w:trPr>
          <w:trHeight w:hRule="exact" w:val="284"/>
        </w:trPr>
        <w:tc>
          <w:tcPr>
            <w:tcW w:w="5813" w:type="dxa"/>
            <w:shd w:val="clear" w:color="auto" w:fill="FFFFFF"/>
            <w:noWrap/>
            <w:vAlign w:val="center"/>
          </w:tcPr>
          <w:p>
            <w:pPr>
              <w:rPr>
                <w:rFonts w:eastAsia="Arial Unicode MS" w:cs="Arial"/>
                <w:noProof/>
              </w:rPr>
            </w:pPr>
            <w:r>
              <w:rPr>
                <w:rFonts w:cs="Arial"/>
                <w:noProof/>
              </w:rPr>
              <w:t>Interest revenue on:</w:t>
            </w:r>
          </w:p>
        </w:tc>
        <w:tc>
          <w:tcPr>
            <w:tcW w:w="1701" w:type="dxa"/>
            <w:shd w:val="clear" w:color="auto" w:fill="FFFFFF"/>
            <w:noWrap/>
            <w:vAlign w:val="center"/>
          </w:tcPr>
          <w:p>
            <w:pPr>
              <w:tabs>
                <w:tab w:val="left" w:pos="1558"/>
              </w:tabs>
              <w:ind w:right="143"/>
              <w:jc w:val="right"/>
              <w:rPr>
                <w:rFonts w:eastAsia="Arial Unicode MS" w:cs="Arial"/>
                <w:noProof/>
              </w:rPr>
            </w:pPr>
            <w:r>
              <w:rPr>
                <w:rFonts w:eastAsia="Arial Unicode MS" w:cs="Arial"/>
                <w:noProof/>
              </w:rPr>
              <w:t>17 548 278</w:t>
            </w:r>
          </w:p>
        </w:tc>
        <w:tc>
          <w:tcPr>
            <w:tcW w:w="1701" w:type="dxa"/>
            <w:shd w:val="clear" w:color="auto" w:fill="FFFFFF"/>
            <w:vAlign w:val="center"/>
          </w:tcPr>
          <w:p>
            <w:pPr>
              <w:tabs>
                <w:tab w:val="left" w:pos="1558"/>
              </w:tabs>
              <w:ind w:right="143"/>
              <w:jc w:val="right"/>
              <w:rPr>
                <w:rFonts w:eastAsia="Arial Unicode MS" w:cs="Arial"/>
                <w:noProof/>
              </w:rPr>
            </w:pPr>
            <w:r>
              <w:rPr>
                <w:rFonts w:eastAsia="Arial Unicode MS" w:cs="Arial"/>
                <w:noProof/>
              </w:rPr>
              <w:t>6 435 843</w:t>
            </w:r>
          </w:p>
        </w:tc>
      </w:tr>
      <w:tr>
        <w:trPr>
          <w:trHeight w:hRule="exact" w:val="284"/>
        </w:trPr>
        <w:tc>
          <w:tcPr>
            <w:tcW w:w="5813" w:type="dxa"/>
            <w:shd w:val="clear" w:color="auto" w:fill="FFFFFF"/>
            <w:noWrap/>
            <w:vAlign w:val="center"/>
          </w:tcPr>
          <w:p>
            <w:pPr>
              <w:rPr>
                <w:rFonts w:eastAsia="Arial Unicode MS" w:cs="Arial"/>
                <w:i/>
                <w:noProof/>
              </w:rPr>
            </w:pPr>
            <w:r>
              <w:rPr>
                <w:rFonts w:cs="Arial"/>
                <w:i/>
                <w:noProof/>
              </w:rPr>
              <w:t xml:space="preserve">     Cash and cash equivalents</w:t>
            </w:r>
          </w:p>
        </w:tc>
        <w:tc>
          <w:tcPr>
            <w:tcW w:w="1701" w:type="dxa"/>
            <w:shd w:val="clear" w:color="auto" w:fill="FFFFFF"/>
            <w:noWrap/>
            <w:vAlign w:val="center"/>
          </w:tcPr>
          <w:p>
            <w:pPr>
              <w:tabs>
                <w:tab w:val="left" w:pos="1558"/>
              </w:tabs>
              <w:ind w:right="143"/>
              <w:jc w:val="right"/>
              <w:rPr>
                <w:rFonts w:cs="Arial"/>
                <w:i/>
                <w:noProof/>
                <w:lang w:eastAsia="ko-KR"/>
              </w:rPr>
            </w:pPr>
            <w:r>
              <w:rPr>
                <w:rFonts w:cs="Arial"/>
                <w:i/>
                <w:noProof/>
                <w:lang w:eastAsia="ko-KR"/>
              </w:rPr>
              <w:t>134 210</w:t>
            </w:r>
          </w:p>
        </w:tc>
        <w:tc>
          <w:tcPr>
            <w:tcW w:w="1701" w:type="dxa"/>
            <w:shd w:val="clear" w:color="auto" w:fill="FFFFFF"/>
            <w:vAlign w:val="center"/>
          </w:tcPr>
          <w:p>
            <w:pPr>
              <w:tabs>
                <w:tab w:val="left" w:pos="1558"/>
              </w:tabs>
              <w:ind w:right="143"/>
              <w:jc w:val="right"/>
              <w:rPr>
                <w:rFonts w:cs="Arial"/>
                <w:i/>
                <w:noProof/>
                <w:lang w:eastAsia="ko-KR"/>
              </w:rPr>
            </w:pPr>
            <w:r>
              <w:rPr>
                <w:rFonts w:cs="Arial"/>
                <w:i/>
                <w:noProof/>
                <w:lang w:eastAsia="ko-KR"/>
              </w:rPr>
              <w:t>53 004</w:t>
            </w:r>
          </w:p>
        </w:tc>
      </w:tr>
      <w:tr>
        <w:trPr>
          <w:trHeight w:hRule="exact" w:val="284"/>
        </w:trPr>
        <w:tc>
          <w:tcPr>
            <w:tcW w:w="5813" w:type="dxa"/>
            <w:shd w:val="clear" w:color="auto" w:fill="FFFFFF"/>
            <w:noWrap/>
            <w:vAlign w:val="center"/>
          </w:tcPr>
          <w:p>
            <w:pPr>
              <w:rPr>
                <w:rFonts w:cs="Arial"/>
                <w:i/>
                <w:noProof/>
              </w:rPr>
            </w:pPr>
            <w:r>
              <w:rPr>
                <w:rFonts w:cs="Arial"/>
                <w:i/>
                <w:noProof/>
              </w:rPr>
              <w:t xml:space="preserve">     Available for sale assets</w:t>
            </w:r>
          </w:p>
        </w:tc>
        <w:tc>
          <w:tcPr>
            <w:tcW w:w="1701" w:type="dxa"/>
            <w:shd w:val="clear" w:color="auto" w:fill="FFFFFF"/>
            <w:noWrap/>
            <w:vAlign w:val="center"/>
          </w:tcPr>
          <w:p>
            <w:pPr>
              <w:tabs>
                <w:tab w:val="left" w:pos="1558"/>
              </w:tabs>
              <w:ind w:right="143"/>
              <w:jc w:val="right"/>
              <w:rPr>
                <w:rFonts w:cs="Arial"/>
                <w:i/>
                <w:noProof/>
                <w:lang w:eastAsia="ko-KR"/>
              </w:rPr>
            </w:pPr>
            <w:r>
              <w:rPr>
                <w:rFonts w:cs="Arial"/>
                <w:i/>
                <w:noProof/>
                <w:lang w:eastAsia="ko-KR"/>
              </w:rPr>
              <w:t>17 412 590</w:t>
            </w:r>
          </w:p>
        </w:tc>
        <w:tc>
          <w:tcPr>
            <w:tcW w:w="1701" w:type="dxa"/>
            <w:shd w:val="clear" w:color="auto" w:fill="FFFFFF"/>
            <w:vAlign w:val="center"/>
          </w:tcPr>
          <w:p>
            <w:pPr>
              <w:tabs>
                <w:tab w:val="left" w:pos="1558"/>
              </w:tabs>
              <w:ind w:right="143"/>
              <w:jc w:val="right"/>
              <w:rPr>
                <w:rFonts w:cs="Arial"/>
                <w:i/>
                <w:noProof/>
                <w:lang w:eastAsia="ko-KR"/>
              </w:rPr>
            </w:pPr>
            <w:r>
              <w:rPr>
                <w:rFonts w:cs="Arial"/>
                <w:i/>
                <w:noProof/>
                <w:lang w:eastAsia="ko-KR"/>
              </w:rPr>
              <w:t>6 382 100</w:t>
            </w:r>
          </w:p>
        </w:tc>
      </w:tr>
      <w:tr>
        <w:trPr>
          <w:trHeight w:hRule="exact" w:val="284"/>
        </w:trPr>
        <w:tc>
          <w:tcPr>
            <w:tcW w:w="5813" w:type="dxa"/>
            <w:shd w:val="clear" w:color="auto" w:fill="FFFFFF"/>
            <w:noWrap/>
            <w:vAlign w:val="center"/>
          </w:tcPr>
          <w:p>
            <w:pPr>
              <w:ind w:firstLine="284"/>
              <w:rPr>
                <w:rFonts w:cs="Arial"/>
                <w:i/>
                <w:noProof/>
              </w:rPr>
            </w:pPr>
            <w:r>
              <w:rPr>
                <w:rFonts w:cs="Arial"/>
                <w:i/>
                <w:noProof/>
              </w:rPr>
              <w:t>Other interest revenue</w:t>
            </w:r>
          </w:p>
        </w:tc>
        <w:tc>
          <w:tcPr>
            <w:tcW w:w="1701" w:type="dxa"/>
            <w:shd w:val="clear" w:color="auto" w:fill="FFFFFF"/>
            <w:noWrap/>
            <w:vAlign w:val="center"/>
          </w:tcPr>
          <w:p>
            <w:pPr>
              <w:tabs>
                <w:tab w:val="left" w:pos="1558"/>
              </w:tabs>
              <w:ind w:right="143"/>
              <w:jc w:val="right"/>
              <w:rPr>
                <w:rFonts w:cs="Arial"/>
                <w:i/>
                <w:noProof/>
                <w:lang w:eastAsia="ko-KR"/>
              </w:rPr>
            </w:pPr>
            <w:r>
              <w:rPr>
                <w:rFonts w:cs="Arial"/>
                <w:i/>
                <w:noProof/>
                <w:lang w:eastAsia="ko-KR"/>
              </w:rPr>
              <w:t>1 478</w:t>
            </w:r>
          </w:p>
        </w:tc>
        <w:tc>
          <w:tcPr>
            <w:tcW w:w="1701" w:type="dxa"/>
            <w:shd w:val="clear" w:color="auto" w:fill="FFFFFF"/>
            <w:vAlign w:val="center"/>
          </w:tcPr>
          <w:p>
            <w:pPr>
              <w:tabs>
                <w:tab w:val="left" w:pos="1558"/>
              </w:tabs>
              <w:ind w:right="143"/>
              <w:jc w:val="right"/>
              <w:rPr>
                <w:rFonts w:cs="Arial"/>
                <w:i/>
                <w:noProof/>
                <w:lang w:eastAsia="ko-KR"/>
              </w:rPr>
            </w:pPr>
            <w:r>
              <w:rPr>
                <w:rFonts w:cs="Arial"/>
                <w:i/>
                <w:noProof/>
                <w:lang w:eastAsia="ko-KR"/>
              </w:rPr>
              <w:t>739</w:t>
            </w:r>
          </w:p>
        </w:tc>
      </w:tr>
      <w:tr>
        <w:trPr>
          <w:trHeight w:hRule="exact" w:val="284"/>
        </w:trPr>
        <w:tc>
          <w:tcPr>
            <w:tcW w:w="5813" w:type="dxa"/>
            <w:shd w:val="clear" w:color="auto" w:fill="FFFFFF"/>
            <w:noWrap/>
            <w:vAlign w:val="center"/>
          </w:tcPr>
          <w:p>
            <w:pPr>
              <w:rPr>
                <w:rFonts w:cs="Arial"/>
                <w:i/>
                <w:noProof/>
              </w:rPr>
            </w:pPr>
          </w:p>
        </w:tc>
        <w:tc>
          <w:tcPr>
            <w:tcW w:w="1701" w:type="dxa"/>
            <w:shd w:val="clear" w:color="auto" w:fill="FFFFFF"/>
            <w:noWrap/>
            <w:vAlign w:val="center"/>
          </w:tcPr>
          <w:p>
            <w:pPr>
              <w:tabs>
                <w:tab w:val="left" w:pos="1558"/>
              </w:tabs>
              <w:ind w:right="143"/>
              <w:jc w:val="right"/>
              <w:rPr>
                <w:rFonts w:cs="Arial"/>
                <w:i/>
                <w:noProof/>
                <w:lang w:eastAsia="ko-KR"/>
              </w:rPr>
            </w:pPr>
          </w:p>
        </w:tc>
        <w:tc>
          <w:tcPr>
            <w:tcW w:w="1701" w:type="dxa"/>
            <w:shd w:val="clear" w:color="auto" w:fill="FFFFFF"/>
            <w:vAlign w:val="center"/>
          </w:tcPr>
          <w:p>
            <w:pPr>
              <w:tabs>
                <w:tab w:val="left" w:pos="1558"/>
              </w:tabs>
              <w:ind w:right="143"/>
              <w:jc w:val="right"/>
              <w:rPr>
                <w:rFonts w:cs="Arial"/>
                <w:i/>
                <w:noProof/>
                <w:lang w:eastAsia="ko-KR"/>
              </w:rPr>
            </w:pPr>
          </w:p>
        </w:tc>
      </w:tr>
      <w:tr>
        <w:trPr>
          <w:trHeight w:hRule="exact" w:val="284"/>
        </w:trPr>
        <w:tc>
          <w:tcPr>
            <w:tcW w:w="5813" w:type="dxa"/>
            <w:shd w:val="clear" w:color="auto" w:fill="FFFFFF"/>
            <w:noWrap/>
            <w:vAlign w:val="center"/>
          </w:tcPr>
          <w:p>
            <w:pPr>
              <w:rPr>
                <w:rFonts w:cs="Arial"/>
                <w:noProof/>
              </w:rPr>
            </w:pPr>
            <w:r>
              <w:rPr>
                <w:rFonts w:cs="Arial"/>
                <w:noProof/>
              </w:rPr>
              <w:t>Realised gains on sale of AFS assets</w:t>
            </w:r>
          </w:p>
        </w:tc>
        <w:tc>
          <w:tcPr>
            <w:tcW w:w="1701" w:type="dxa"/>
            <w:shd w:val="clear" w:color="auto" w:fill="FFFFFF"/>
            <w:noWrap/>
            <w:vAlign w:val="center"/>
          </w:tcPr>
          <w:p>
            <w:pPr>
              <w:tabs>
                <w:tab w:val="left" w:pos="1558"/>
              </w:tabs>
              <w:ind w:right="143"/>
              <w:jc w:val="right"/>
              <w:rPr>
                <w:rFonts w:cs="Arial"/>
                <w:noProof/>
                <w:lang w:eastAsia="ko-KR"/>
              </w:rPr>
            </w:pPr>
            <w:r>
              <w:rPr>
                <w:rFonts w:cs="Arial"/>
                <w:noProof/>
                <w:lang w:eastAsia="ko-KR"/>
              </w:rPr>
              <w:t>4 275 489</w:t>
            </w:r>
          </w:p>
        </w:tc>
        <w:tc>
          <w:tcPr>
            <w:tcW w:w="1701" w:type="dxa"/>
            <w:shd w:val="clear" w:color="auto" w:fill="FFFFFF"/>
            <w:vAlign w:val="center"/>
          </w:tcPr>
          <w:p>
            <w:pPr>
              <w:tabs>
                <w:tab w:val="left" w:pos="1558"/>
              </w:tabs>
              <w:ind w:right="143"/>
              <w:jc w:val="right"/>
              <w:rPr>
                <w:rFonts w:cs="Arial"/>
                <w:noProof/>
                <w:lang w:eastAsia="ko-KR"/>
              </w:rPr>
            </w:pPr>
            <w:r>
              <w:rPr>
                <w:rFonts w:cs="Arial"/>
                <w:noProof/>
                <w:lang w:eastAsia="ko-KR"/>
              </w:rPr>
              <w:t>4 135 733</w:t>
            </w:r>
          </w:p>
        </w:tc>
      </w:tr>
      <w:tr>
        <w:trPr>
          <w:trHeight w:hRule="exact" w:val="284"/>
        </w:trPr>
        <w:tc>
          <w:tcPr>
            <w:tcW w:w="5813" w:type="dxa"/>
            <w:shd w:val="clear" w:color="auto" w:fill="FFFFFF"/>
            <w:noWrap/>
            <w:vAlign w:val="center"/>
          </w:tcPr>
          <w:p>
            <w:pPr>
              <w:rPr>
                <w:rFonts w:cs="Arial"/>
                <w:bCs/>
                <w:noProof/>
              </w:rPr>
            </w:pPr>
          </w:p>
        </w:tc>
        <w:tc>
          <w:tcPr>
            <w:tcW w:w="1701" w:type="dxa"/>
            <w:shd w:val="clear" w:color="auto" w:fill="FFFFFF"/>
            <w:noWrap/>
            <w:vAlign w:val="center"/>
          </w:tcPr>
          <w:p>
            <w:pPr>
              <w:tabs>
                <w:tab w:val="left" w:pos="1558"/>
              </w:tabs>
              <w:ind w:right="143"/>
              <w:jc w:val="right"/>
              <w:rPr>
                <w:rFonts w:cs="Arial"/>
                <w:noProof/>
                <w:lang w:eastAsia="ko-KR"/>
              </w:rPr>
            </w:pPr>
          </w:p>
        </w:tc>
        <w:tc>
          <w:tcPr>
            <w:tcW w:w="1701" w:type="dxa"/>
            <w:shd w:val="clear" w:color="auto" w:fill="FFFFFF"/>
            <w:vAlign w:val="center"/>
          </w:tcPr>
          <w:p>
            <w:pPr>
              <w:tabs>
                <w:tab w:val="left" w:pos="1558"/>
              </w:tabs>
              <w:ind w:right="143"/>
              <w:jc w:val="right"/>
              <w:rPr>
                <w:rFonts w:cs="Arial"/>
                <w:noProof/>
                <w:lang w:eastAsia="ko-KR"/>
              </w:rPr>
            </w:pPr>
          </w:p>
        </w:tc>
      </w:tr>
      <w:tr>
        <w:trPr>
          <w:trHeight w:hRule="exact" w:val="284"/>
        </w:trPr>
        <w:tc>
          <w:tcPr>
            <w:tcW w:w="5813" w:type="dxa"/>
            <w:shd w:val="clear" w:color="auto" w:fill="FFFFFF"/>
            <w:noWrap/>
            <w:vAlign w:val="center"/>
          </w:tcPr>
          <w:p>
            <w:pPr>
              <w:rPr>
                <w:rFonts w:cs="Arial"/>
                <w:bCs/>
                <w:noProof/>
              </w:rPr>
            </w:pPr>
            <w:r>
              <w:rPr>
                <w:rFonts w:cs="Arial"/>
                <w:bCs/>
                <w:noProof/>
              </w:rPr>
              <w:t>Other financial income - fair value changes of derivatives</w:t>
            </w:r>
          </w:p>
        </w:tc>
        <w:tc>
          <w:tcPr>
            <w:tcW w:w="1701" w:type="dxa"/>
            <w:shd w:val="clear" w:color="auto" w:fill="FFFFFF"/>
            <w:noWrap/>
            <w:vAlign w:val="center"/>
          </w:tcPr>
          <w:p>
            <w:pPr>
              <w:tabs>
                <w:tab w:val="left" w:pos="1558"/>
              </w:tabs>
              <w:ind w:right="143"/>
              <w:jc w:val="right"/>
              <w:rPr>
                <w:rFonts w:cs="Arial"/>
                <w:noProof/>
                <w:lang w:eastAsia="ko-KR"/>
              </w:rPr>
            </w:pPr>
            <w:r>
              <w:rPr>
                <w:rFonts w:cs="Arial"/>
                <w:noProof/>
                <w:lang w:eastAsia="ko-KR"/>
              </w:rPr>
              <w:t>28 389 730</w:t>
            </w:r>
          </w:p>
        </w:tc>
        <w:tc>
          <w:tcPr>
            <w:tcW w:w="1701" w:type="dxa"/>
            <w:shd w:val="clear" w:color="auto" w:fill="FFFFFF"/>
            <w:vAlign w:val="center"/>
          </w:tcPr>
          <w:p>
            <w:pPr>
              <w:tabs>
                <w:tab w:val="left" w:pos="1558"/>
              </w:tabs>
              <w:ind w:right="143"/>
              <w:jc w:val="right"/>
              <w:rPr>
                <w:rFonts w:cs="Arial"/>
                <w:noProof/>
                <w:lang w:eastAsia="ko-KR"/>
              </w:rPr>
            </w:pPr>
            <w:r>
              <w:rPr>
                <w:rFonts w:cs="Arial"/>
                <w:noProof/>
                <w:lang w:eastAsia="ko-KR"/>
              </w:rPr>
              <w:t>40 754 819</w:t>
            </w:r>
          </w:p>
        </w:tc>
      </w:tr>
      <w:tr>
        <w:trPr>
          <w:trHeight w:hRule="exact" w:val="284"/>
        </w:trPr>
        <w:tc>
          <w:tcPr>
            <w:tcW w:w="5813" w:type="dxa"/>
            <w:shd w:val="clear" w:color="auto" w:fill="FFFFFF"/>
            <w:noWrap/>
            <w:vAlign w:val="center"/>
          </w:tcPr>
          <w:p>
            <w:pPr>
              <w:rPr>
                <w:rFonts w:cs="Arial"/>
                <w:bCs/>
                <w:noProof/>
              </w:rPr>
            </w:pPr>
          </w:p>
        </w:tc>
        <w:tc>
          <w:tcPr>
            <w:tcW w:w="1701" w:type="dxa"/>
            <w:shd w:val="clear" w:color="auto" w:fill="FFFFFF"/>
            <w:noWrap/>
            <w:vAlign w:val="center"/>
          </w:tcPr>
          <w:p>
            <w:pPr>
              <w:tabs>
                <w:tab w:val="left" w:pos="1558"/>
              </w:tabs>
              <w:ind w:right="143"/>
              <w:jc w:val="right"/>
              <w:rPr>
                <w:rFonts w:cs="Arial"/>
                <w:noProof/>
                <w:lang w:eastAsia="ko-KR"/>
              </w:rPr>
            </w:pPr>
          </w:p>
        </w:tc>
        <w:tc>
          <w:tcPr>
            <w:tcW w:w="1701" w:type="dxa"/>
            <w:shd w:val="clear" w:color="auto" w:fill="FFFFFF"/>
            <w:vAlign w:val="center"/>
          </w:tcPr>
          <w:p>
            <w:pPr>
              <w:tabs>
                <w:tab w:val="left" w:pos="1558"/>
              </w:tabs>
              <w:ind w:right="143"/>
              <w:jc w:val="right"/>
              <w:rPr>
                <w:rFonts w:cs="Arial"/>
                <w:noProof/>
                <w:lang w:eastAsia="ko-KR"/>
              </w:rPr>
            </w:pPr>
          </w:p>
        </w:tc>
      </w:tr>
      <w:tr>
        <w:trPr>
          <w:trHeight w:hRule="exact" w:val="284"/>
        </w:trPr>
        <w:tc>
          <w:tcPr>
            <w:tcW w:w="5813" w:type="dxa"/>
            <w:shd w:val="clear" w:color="auto" w:fill="FFFFFF"/>
            <w:noWrap/>
            <w:vAlign w:val="center"/>
          </w:tcPr>
          <w:p>
            <w:pPr>
              <w:rPr>
                <w:rFonts w:cs="Arial"/>
                <w:bCs/>
                <w:noProof/>
              </w:rPr>
            </w:pPr>
            <w:r>
              <w:rPr>
                <w:rFonts w:cs="Arial"/>
                <w:bCs/>
                <w:noProof/>
              </w:rPr>
              <w:t>Bond lending income</w:t>
            </w:r>
          </w:p>
        </w:tc>
        <w:tc>
          <w:tcPr>
            <w:tcW w:w="1701" w:type="dxa"/>
            <w:shd w:val="clear" w:color="auto" w:fill="FFFFFF"/>
            <w:noWrap/>
            <w:vAlign w:val="center"/>
          </w:tcPr>
          <w:p>
            <w:pPr>
              <w:tabs>
                <w:tab w:val="left" w:pos="1558"/>
              </w:tabs>
              <w:ind w:right="143"/>
              <w:jc w:val="right"/>
              <w:rPr>
                <w:rFonts w:cs="Arial"/>
                <w:noProof/>
                <w:lang w:eastAsia="ko-KR"/>
              </w:rPr>
            </w:pPr>
            <w:r>
              <w:rPr>
                <w:rFonts w:cs="Arial"/>
                <w:noProof/>
                <w:lang w:eastAsia="ko-KR"/>
              </w:rPr>
              <w:t>195 651</w:t>
            </w:r>
          </w:p>
        </w:tc>
        <w:tc>
          <w:tcPr>
            <w:tcW w:w="1701" w:type="dxa"/>
            <w:shd w:val="clear" w:color="auto" w:fill="FFFFFF"/>
            <w:vAlign w:val="center"/>
          </w:tcPr>
          <w:p>
            <w:pPr>
              <w:tabs>
                <w:tab w:val="left" w:pos="1558"/>
              </w:tabs>
              <w:ind w:right="143"/>
              <w:jc w:val="right"/>
              <w:rPr>
                <w:rFonts w:cs="Arial"/>
                <w:noProof/>
                <w:lang w:eastAsia="ko-KR"/>
              </w:rPr>
            </w:pPr>
            <w:r>
              <w:rPr>
                <w:rFonts w:cs="Arial"/>
                <w:noProof/>
                <w:lang w:eastAsia="ko-KR"/>
              </w:rPr>
              <w:t>66 794</w:t>
            </w:r>
          </w:p>
        </w:tc>
      </w:tr>
      <w:tr>
        <w:trPr>
          <w:trHeight w:hRule="exact" w:val="284"/>
        </w:trPr>
        <w:tc>
          <w:tcPr>
            <w:tcW w:w="5813" w:type="dxa"/>
            <w:shd w:val="clear" w:color="auto" w:fill="FFFFFF"/>
            <w:noWrap/>
            <w:vAlign w:val="center"/>
          </w:tcPr>
          <w:p>
            <w:pPr>
              <w:rPr>
                <w:rFonts w:cs="Arial"/>
                <w:bCs/>
                <w:noProof/>
              </w:rPr>
            </w:pPr>
          </w:p>
        </w:tc>
        <w:tc>
          <w:tcPr>
            <w:tcW w:w="1701" w:type="dxa"/>
            <w:shd w:val="clear" w:color="auto" w:fill="FFFFFF"/>
            <w:noWrap/>
            <w:vAlign w:val="center"/>
          </w:tcPr>
          <w:p>
            <w:pPr>
              <w:tabs>
                <w:tab w:val="left" w:pos="1558"/>
              </w:tabs>
              <w:ind w:right="143"/>
              <w:jc w:val="right"/>
              <w:rPr>
                <w:rFonts w:cs="Arial"/>
                <w:noProof/>
                <w:lang w:eastAsia="ko-KR"/>
              </w:rPr>
            </w:pPr>
          </w:p>
        </w:tc>
        <w:tc>
          <w:tcPr>
            <w:tcW w:w="1701" w:type="dxa"/>
            <w:shd w:val="clear" w:color="auto" w:fill="FFFFFF"/>
            <w:vAlign w:val="center"/>
          </w:tcPr>
          <w:p>
            <w:pPr>
              <w:tabs>
                <w:tab w:val="left" w:pos="1558"/>
              </w:tabs>
              <w:ind w:right="143"/>
              <w:jc w:val="right"/>
              <w:rPr>
                <w:rFonts w:cs="Arial"/>
                <w:noProof/>
                <w:lang w:eastAsia="ko-KR"/>
              </w:rPr>
            </w:pPr>
          </w:p>
        </w:tc>
      </w:tr>
      <w:tr>
        <w:trPr>
          <w:trHeight w:hRule="exact" w:val="284"/>
        </w:trPr>
        <w:tc>
          <w:tcPr>
            <w:tcW w:w="5813" w:type="dxa"/>
            <w:shd w:val="clear" w:color="auto" w:fill="FFFFFF"/>
            <w:noWrap/>
            <w:vAlign w:val="center"/>
          </w:tcPr>
          <w:p>
            <w:pPr>
              <w:rPr>
                <w:rFonts w:cs="Arial"/>
                <w:bCs/>
                <w:noProof/>
              </w:rPr>
            </w:pPr>
            <w:r>
              <w:rPr>
                <w:rFonts w:cs="Arial"/>
                <w:b/>
                <w:bCs/>
                <w:noProof/>
              </w:rPr>
              <w:t xml:space="preserve">Financial expenses </w:t>
            </w:r>
          </w:p>
        </w:tc>
        <w:tc>
          <w:tcPr>
            <w:tcW w:w="1701" w:type="dxa"/>
            <w:shd w:val="clear" w:color="auto" w:fill="FFFFFF"/>
            <w:noWrap/>
            <w:vAlign w:val="center"/>
          </w:tcPr>
          <w:p>
            <w:pPr>
              <w:tabs>
                <w:tab w:val="left" w:pos="1558"/>
              </w:tabs>
              <w:ind w:right="143"/>
              <w:jc w:val="right"/>
              <w:rPr>
                <w:rFonts w:cs="Arial"/>
                <w:b/>
                <w:noProof/>
                <w:lang w:eastAsia="ko-KR"/>
              </w:rPr>
            </w:pPr>
            <w:r>
              <w:rPr>
                <w:rFonts w:cs="Arial"/>
                <w:b/>
                <w:noProof/>
                <w:lang w:eastAsia="ko-KR"/>
              </w:rPr>
              <w:t>(81 326 833)</w:t>
            </w:r>
          </w:p>
        </w:tc>
        <w:tc>
          <w:tcPr>
            <w:tcW w:w="1701" w:type="dxa"/>
            <w:shd w:val="clear" w:color="auto" w:fill="FFFFFF"/>
            <w:vAlign w:val="center"/>
          </w:tcPr>
          <w:p>
            <w:pPr>
              <w:tabs>
                <w:tab w:val="left" w:pos="1558"/>
              </w:tabs>
              <w:ind w:right="143"/>
              <w:jc w:val="right"/>
              <w:rPr>
                <w:rFonts w:cs="Arial"/>
                <w:noProof/>
                <w:lang w:eastAsia="ko-KR"/>
              </w:rPr>
            </w:pPr>
            <w:r>
              <w:rPr>
                <w:rFonts w:eastAsia="Arial Unicode MS" w:cs="Arial"/>
                <w:b/>
                <w:noProof/>
              </w:rPr>
              <w:t>(10 838 265)</w:t>
            </w:r>
          </w:p>
        </w:tc>
      </w:tr>
      <w:tr>
        <w:trPr>
          <w:trHeight w:hRule="exact" w:val="284"/>
        </w:trPr>
        <w:tc>
          <w:tcPr>
            <w:tcW w:w="5813" w:type="dxa"/>
            <w:shd w:val="clear" w:color="auto" w:fill="FFFFFF"/>
            <w:noWrap/>
            <w:vAlign w:val="center"/>
          </w:tcPr>
          <w:p>
            <w:pPr>
              <w:rPr>
                <w:rFonts w:cs="Arial"/>
                <w:b/>
                <w:bCs/>
                <w:noProof/>
              </w:rPr>
            </w:pPr>
            <w:r>
              <w:rPr>
                <w:rFonts w:cs="Arial"/>
                <w:bCs/>
                <w:noProof/>
              </w:rPr>
              <w:t xml:space="preserve">Interest expenses on </w:t>
            </w:r>
            <w:r>
              <w:rPr>
                <w:rFonts w:cs="Arial"/>
                <w:noProof/>
              </w:rPr>
              <w:t>cash and cash equivalents</w:t>
            </w:r>
          </w:p>
        </w:tc>
        <w:tc>
          <w:tcPr>
            <w:tcW w:w="1701" w:type="dxa"/>
            <w:shd w:val="clear" w:color="auto" w:fill="FFFFFF"/>
            <w:noWrap/>
            <w:vAlign w:val="center"/>
          </w:tcPr>
          <w:p>
            <w:pPr>
              <w:tabs>
                <w:tab w:val="left" w:pos="1558"/>
              </w:tabs>
              <w:ind w:right="143"/>
              <w:jc w:val="right"/>
              <w:rPr>
                <w:rFonts w:cs="Arial"/>
                <w:noProof/>
                <w:lang w:eastAsia="ko-KR"/>
              </w:rPr>
            </w:pPr>
            <w:r>
              <w:rPr>
                <w:rFonts w:cs="Arial"/>
                <w:noProof/>
                <w:lang w:eastAsia="ko-KR"/>
              </w:rPr>
              <w:t>(247 367)</w:t>
            </w:r>
          </w:p>
        </w:tc>
        <w:tc>
          <w:tcPr>
            <w:tcW w:w="1701" w:type="dxa"/>
            <w:shd w:val="clear" w:color="auto" w:fill="FFFFFF"/>
            <w:vAlign w:val="center"/>
          </w:tcPr>
          <w:p>
            <w:pPr>
              <w:tabs>
                <w:tab w:val="left" w:pos="1558"/>
              </w:tabs>
              <w:ind w:right="143"/>
              <w:jc w:val="right"/>
              <w:rPr>
                <w:rFonts w:cs="Arial"/>
                <w:b/>
                <w:noProof/>
                <w:lang w:eastAsia="ko-KR"/>
              </w:rPr>
            </w:pPr>
            <w:r>
              <w:rPr>
                <w:rFonts w:cs="Arial"/>
                <w:noProof/>
                <w:lang w:eastAsia="ko-KR"/>
              </w:rPr>
              <w:t>(63 603)</w:t>
            </w:r>
          </w:p>
        </w:tc>
      </w:tr>
      <w:tr>
        <w:trPr>
          <w:trHeight w:hRule="exact" w:val="284"/>
        </w:trPr>
        <w:tc>
          <w:tcPr>
            <w:tcW w:w="5813" w:type="dxa"/>
            <w:shd w:val="clear" w:color="auto" w:fill="FFFFFF"/>
            <w:noWrap/>
            <w:vAlign w:val="center"/>
          </w:tcPr>
          <w:p>
            <w:pPr>
              <w:rPr>
                <w:rFonts w:eastAsia="Arial Unicode MS" w:cs="Arial"/>
                <w:b/>
                <w:bCs/>
                <w:noProof/>
              </w:rPr>
            </w:pPr>
          </w:p>
        </w:tc>
        <w:tc>
          <w:tcPr>
            <w:tcW w:w="1701" w:type="dxa"/>
            <w:shd w:val="clear" w:color="auto" w:fill="FFFFFF"/>
            <w:noWrap/>
            <w:vAlign w:val="center"/>
          </w:tcPr>
          <w:p>
            <w:pPr>
              <w:tabs>
                <w:tab w:val="left" w:pos="1558"/>
              </w:tabs>
              <w:ind w:right="143"/>
              <w:jc w:val="right"/>
              <w:rPr>
                <w:rFonts w:eastAsia="Arial Unicode MS" w:cs="Arial"/>
                <w:b/>
                <w:noProof/>
              </w:rPr>
            </w:pPr>
          </w:p>
        </w:tc>
        <w:tc>
          <w:tcPr>
            <w:tcW w:w="1701" w:type="dxa"/>
            <w:shd w:val="clear" w:color="auto" w:fill="FFFFFF"/>
            <w:vAlign w:val="center"/>
          </w:tcPr>
          <w:p>
            <w:pPr>
              <w:tabs>
                <w:tab w:val="left" w:pos="1558"/>
              </w:tabs>
              <w:ind w:right="143"/>
              <w:jc w:val="right"/>
              <w:rPr>
                <w:rFonts w:eastAsia="Arial Unicode MS" w:cs="Arial"/>
                <w:b/>
                <w:noProof/>
              </w:rPr>
            </w:pPr>
          </w:p>
        </w:tc>
      </w:tr>
      <w:tr>
        <w:trPr>
          <w:trHeight w:hRule="exact" w:val="284"/>
        </w:trPr>
        <w:tc>
          <w:tcPr>
            <w:tcW w:w="5813" w:type="dxa"/>
            <w:shd w:val="clear" w:color="auto" w:fill="FFFFFF"/>
            <w:noWrap/>
            <w:vAlign w:val="center"/>
          </w:tcPr>
          <w:p>
            <w:pPr>
              <w:rPr>
                <w:rFonts w:cs="Arial"/>
                <w:bCs/>
                <w:noProof/>
              </w:rPr>
            </w:pPr>
            <w:r>
              <w:rPr>
                <w:rFonts w:cs="Arial"/>
                <w:bCs/>
                <w:noProof/>
              </w:rPr>
              <w:t>Realised losses on sale of AFS assets</w:t>
            </w:r>
          </w:p>
        </w:tc>
        <w:tc>
          <w:tcPr>
            <w:tcW w:w="1701" w:type="dxa"/>
            <w:shd w:val="clear" w:color="auto" w:fill="FFFFFF"/>
            <w:noWrap/>
            <w:vAlign w:val="center"/>
          </w:tcPr>
          <w:p>
            <w:pPr>
              <w:tabs>
                <w:tab w:val="left" w:pos="1558"/>
              </w:tabs>
              <w:ind w:right="143"/>
              <w:jc w:val="right"/>
              <w:rPr>
                <w:rFonts w:cs="Arial"/>
                <w:noProof/>
                <w:lang w:eastAsia="ko-KR"/>
              </w:rPr>
            </w:pPr>
            <w:r>
              <w:rPr>
                <w:rFonts w:cs="Arial"/>
                <w:noProof/>
                <w:lang w:eastAsia="ko-KR"/>
              </w:rPr>
              <w:t>(17 550 692)</w:t>
            </w:r>
          </w:p>
        </w:tc>
        <w:tc>
          <w:tcPr>
            <w:tcW w:w="1701" w:type="dxa"/>
            <w:shd w:val="clear" w:color="auto" w:fill="FFFFFF"/>
            <w:vAlign w:val="center"/>
          </w:tcPr>
          <w:p>
            <w:pPr>
              <w:tabs>
                <w:tab w:val="left" w:pos="1558"/>
              </w:tabs>
              <w:ind w:right="143"/>
              <w:jc w:val="right"/>
              <w:rPr>
                <w:rFonts w:cs="Arial"/>
                <w:b/>
                <w:noProof/>
                <w:lang w:eastAsia="ko-KR"/>
              </w:rPr>
            </w:pPr>
            <w:r>
              <w:rPr>
                <w:rFonts w:cs="Arial"/>
                <w:noProof/>
                <w:lang w:eastAsia="ko-KR"/>
              </w:rPr>
              <w:t>(386 120)</w:t>
            </w:r>
          </w:p>
        </w:tc>
      </w:tr>
      <w:tr>
        <w:trPr>
          <w:trHeight w:hRule="exact" w:val="284"/>
        </w:trPr>
        <w:tc>
          <w:tcPr>
            <w:tcW w:w="5813" w:type="dxa"/>
            <w:shd w:val="clear" w:color="auto" w:fill="FFFFFF"/>
            <w:noWrap/>
            <w:vAlign w:val="center"/>
          </w:tcPr>
          <w:p>
            <w:pPr>
              <w:rPr>
                <w:rFonts w:cs="Arial"/>
                <w:b/>
                <w:bCs/>
                <w:noProof/>
              </w:rPr>
            </w:pPr>
          </w:p>
        </w:tc>
        <w:tc>
          <w:tcPr>
            <w:tcW w:w="1701" w:type="dxa"/>
            <w:shd w:val="clear" w:color="auto" w:fill="FFFFFF"/>
            <w:noWrap/>
            <w:vAlign w:val="center"/>
          </w:tcPr>
          <w:p>
            <w:pPr>
              <w:tabs>
                <w:tab w:val="left" w:pos="1558"/>
              </w:tabs>
              <w:ind w:right="143"/>
              <w:jc w:val="right"/>
              <w:rPr>
                <w:rFonts w:cs="Arial"/>
                <w:b/>
                <w:noProof/>
                <w:lang w:eastAsia="ko-KR"/>
              </w:rPr>
            </w:pPr>
          </w:p>
        </w:tc>
        <w:tc>
          <w:tcPr>
            <w:tcW w:w="1701" w:type="dxa"/>
            <w:shd w:val="clear" w:color="auto" w:fill="FFFFFF"/>
            <w:vAlign w:val="center"/>
          </w:tcPr>
          <w:p>
            <w:pPr>
              <w:tabs>
                <w:tab w:val="left" w:pos="1558"/>
              </w:tabs>
              <w:ind w:right="143"/>
              <w:jc w:val="right"/>
              <w:rPr>
                <w:rFonts w:cs="Arial"/>
                <w:b/>
                <w:noProof/>
                <w:lang w:eastAsia="ko-KR"/>
              </w:rPr>
            </w:pPr>
          </w:p>
        </w:tc>
      </w:tr>
      <w:tr>
        <w:trPr>
          <w:trHeight w:hRule="exact" w:val="284"/>
        </w:trPr>
        <w:tc>
          <w:tcPr>
            <w:tcW w:w="5813" w:type="dxa"/>
            <w:shd w:val="clear" w:color="auto" w:fill="FFFFFF"/>
            <w:noWrap/>
            <w:vAlign w:val="center"/>
          </w:tcPr>
          <w:p>
            <w:pPr>
              <w:rPr>
                <w:rFonts w:cs="Arial"/>
                <w:bCs/>
                <w:noProof/>
              </w:rPr>
            </w:pPr>
            <w:r>
              <w:rPr>
                <w:rFonts w:cs="Arial"/>
                <w:bCs/>
                <w:noProof/>
              </w:rPr>
              <w:t>Other financial expenses - fair value changes of derivatives</w:t>
            </w:r>
          </w:p>
        </w:tc>
        <w:tc>
          <w:tcPr>
            <w:tcW w:w="1701" w:type="dxa"/>
            <w:shd w:val="clear" w:color="auto" w:fill="FFFFFF"/>
            <w:noWrap/>
            <w:vAlign w:val="center"/>
          </w:tcPr>
          <w:p>
            <w:pPr>
              <w:tabs>
                <w:tab w:val="left" w:pos="1558"/>
              </w:tabs>
              <w:ind w:right="143"/>
              <w:jc w:val="right"/>
              <w:rPr>
                <w:rFonts w:cs="Arial"/>
                <w:noProof/>
                <w:lang w:eastAsia="ko-KR"/>
              </w:rPr>
            </w:pPr>
            <w:r>
              <w:rPr>
                <w:rFonts w:cs="Arial"/>
                <w:noProof/>
                <w:lang w:eastAsia="ko-KR"/>
              </w:rPr>
              <w:t>(62 913 181)</w:t>
            </w:r>
          </w:p>
        </w:tc>
        <w:tc>
          <w:tcPr>
            <w:tcW w:w="1701" w:type="dxa"/>
            <w:shd w:val="clear" w:color="auto" w:fill="FFFFFF"/>
            <w:vAlign w:val="center"/>
          </w:tcPr>
          <w:p>
            <w:pPr>
              <w:tabs>
                <w:tab w:val="left" w:pos="1558"/>
              </w:tabs>
              <w:ind w:right="143"/>
              <w:jc w:val="right"/>
              <w:rPr>
                <w:rFonts w:cs="Arial"/>
                <w:noProof/>
                <w:lang w:eastAsia="ko-KR"/>
              </w:rPr>
            </w:pPr>
            <w:r>
              <w:rPr>
                <w:rFonts w:cs="Arial"/>
                <w:noProof/>
                <w:lang w:eastAsia="ko-KR"/>
              </w:rPr>
              <w:t>(10 139 884)</w:t>
            </w:r>
          </w:p>
        </w:tc>
      </w:tr>
      <w:tr>
        <w:trPr>
          <w:trHeight w:hRule="exact" w:val="284"/>
        </w:trPr>
        <w:tc>
          <w:tcPr>
            <w:tcW w:w="5813" w:type="dxa"/>
            <w:shd w:val="clear" w:color="auto" w:fill="FFFFFF"/>
            <w:noWrap/>
            <w:vAlign w:val="center"/>
          </w:tcPr>
          <w:p>
            <w:pPr>
              <w:rPr>
                <w:rFonts w:cs="Arial"/>
                <w:bCs/>
                <w:noProof/>
              </w:rPr>
            </w:pPr>
          </w:p>
        </w:tc>
        <w:tc>
          <w:tcPr>
            <w:tcW w:w="1701" w:type="dxa"/>
            <w:shd w:val="clear" w:color="auto" w:fill="FFFFFF"/>
            <w:noWrap/>
            <w:vAlign w:val="center"/>
          </w:tcPr>
          <w:p>
            <w:pPr>
              <w:tabs>
                <w:tab w:val="left" w:pos="1558"/>
              </w:tabs>
              <w:ind w:right="143"/>
              <w:jc w:val="right"/>
              <w:rPr>
                <w:rFonts w:cs="Arial"/>
                <w:noProof/>
                <w:lang w:eastAsia="ko-KR"/>
              </w:rPr>
            </w:pPr>
          </w:p>
        </w:tc>
        <w:tc>
          <w:tcPr>
            <w:tcW w:w="1701" w:type="dxa"/>
            <w:shd w:val="clear" w:color="auto" w:fill="FFFFFF"/>
            <w:vAlign w:val="center"/>
          </w:tcPr>
          <w:p>
            <w:pPr>
              <w:tabs>
                <w:tab w:val="left" w:pos="1558"/>
              </w:tabs>
              <w:ind w:right="143"/>
              <w:jc w:val="right"/>
              <w:rPr>
                <w:rFonts w:cs="Arial"/>
                <w:noProof/>
                <w:lang w:eastAsia="ko-KR"/>
              </w:rPr>
            </w:pPr>
          </w:p>
        </w:tc>
      </w:tr>
      <w:tr>
        <w:trPr>
          <w:trHeight w:hRule="exact" w:val="284"/>
        </w:trPr>
        <w:tc>
          <w:tcPr>
            <w:tcW w:w="5813" w:type="dxa"/>
            <w:shd w:val="clear" w:color="auto" w:fill="FFFFFF"/>
            <w:noWrap/>
            <w:vAlign w:val="center"/>
          </w:tcPr>
          <w:p>
            <w:pPr>
              <w:rPr>
                <w:rFonts w:cs="Arial"/>
                <w:bCs/>
                <w:noProof/>
              </w:rPr>
            </w:pPr>
            <w:r>
              <w:rPr>
                <w:rFonts w:cs="Arial"/>
                <w:bCs/>
                <w:noProof/>
              </w:rPr>
              <w:t>Custody fees and other financial expenses</w:t>
            </w:r>
          </w:p>
        </w:tc>
        <w:tc>
          <w:tcPr>
            <w:tcW w:w="1701" w:type="dxa"/>
            <w:shd w:val="clear" w:color="auto" w:fill="FFFFFF"/>
            <w:noWrap/>
            <w:vAlign w:val="center"/>
          </w:tcPr>
          <w:p>
            <w:pPr>
              <w:tabs>
                <w:tab w:val="left" w:pos="1558"/>
              </w:tabs>
              <w:ind w:right="143"/>
              <w:jc w:val="right"/>
              <w:rPr>
                <w:rFonts w:cs="Arial"/>
                <w:noProof/>
                <w:lang w:eastAsia="ko-KR"/>
              </w:rPr>
            </w:pPr>
            <w:r>
              <w:rPr>
                <w:rFonts w:cs="Arial"/>
                <w:noProof/>
                <w:lang w:eastAsia="ko-KR"/>
              </w:rPr>
              <w:t>(615 593)</w:t>
            </w:r>
          </w:p>
        </w:tc>
        <w:tc>
          <w:tcPr>
            <w:tcW w:w="1701" w:type="dxa"/>
            <w:shd w:val="clear" w:color="auto" w:fill="FFFFFF"/>
            <w:vAlign w:val="center"/>
          </w:tcPr>
          <w:p>
            <w:pPr>
              <w:tabs>
                <w:tab w:val="left" w:pos="1558"/>
              </w:tabs>
              <w:ind w:right="143"/>
              <w:jc w:val="right"/>
              <w:rPr>
                <w:rFonts w:cs="Arial"/>
                <w:noProof/>
                <w:lang w:eastAsia="ko-KR"/>
              </w:rPr>
            </w:pPr>
            <w:r>
              <w:rPr>
                <w:rFonts w:cs="Arial"/>
                <w:noProof/>
                <w:lang w:eastAsia="ko-KR"/>
              </w:rPr>
              <w:t>(248 658)</w:t>
            </w:r>
          </w:p>
        </w:tc>
      </w:tr>
      <w:tr>
        <w:trPr>
          <w:trHeight w:hRule="exact" w:val="284"/>
        </w:trPr>
        <w:tc>
          <w:tcPr>
            <w:tcW w:w="5813" w:type="dxa"/>
            <w:shd w:val="clear" w:color="auto" w:fill="FFFFFF"/>
            <w:noWrap/>
            <w:vAlign w:val="center"/>
          </w:tcPr>
          <w:p>
            <w:pPr>
              <w:rPr>
                <w:rFonts w:cs="Arial"/>
                <w:bCs/>
                <w:noProof/>
              </w:rPr>
            </w:pPr>
          </w:p>
        </w:tc>
        <w:tc>
          <w:tcPr>
            <w:tcW w:w="1701" w:type="dxa"/>
            <w:shd w:val="clear" w:color="auto" w:fill="FFFFFF"/>
            <w:noWrap/>
            <w:vAlign w:val="center"/>
          </w:tcPr>
          <w:p>
            <w:pPr>
              <w:tabs>
                <w:tab w:val="left" w:pos="1558"/>
              </w:tabs>
              <w:ind w:right="143"/>
              <w:jc w:val="right"/>
              <w:rPr>
                <w:rFonts w:cs="Arial"/>
                <w:noProof/>
                <w:lang w:eastAsia="ko-KR"/>
              </w:rPr>
            </w:pPr>
          </w:p>
        </w:tc>
        <w:tc>
          <w:tcPr>
            <w:tcW w:w="1701" w:type="dxa"/>
            <w:shd w:val="clear" w:color="auto" w:fill="FFFFFF"/>
            <w:vAlign w:val="center"/>
          </w:tcPr>
          <w:p>
            <w:pPr>
              <w:tabs>
                <w:tab w:val="left" w:pos="1558"/>
              </w:tabs>
              <w:ind w:right="143"/>
              <w:jc w:val="right"/>
              <w:rPr>
                <w:rFonts w:cs="Arial"/>
                <w:noProof/>
                <w:lang w:eastAsia="ko-KR"/>
              </w:rPr>
            </w:pPr>
          </w:p>
        </w:tc>
      </w:tr>
      <w:tr>
        <w:trPr>
          <w:trHeight w:hRule="exact" w:val="284"/>
        </w:trPr>
        <w:tc>
          <w:tcPr>
            <w:tcW w:w="5813" w:type="dxa"/>
            <w:shd w:val="clear" w:color="auto" w:fill="FFFFFF"/>
            <w:noWrap/>
            <w:vAlign w:val="center"/>
          </w:tcPr>
          <w:p>
            <w:pPr>
              <w:rPr>
                <w:rFonts w:cs="Arial"/>
                <w:bCs/>
                <w:noProof/>
              </w:rPr>
            </w:pPr>
            <w:r>
              <w:rPr>
                <w:rFonts w:cs="Arial"/>
                <w:b/>
                <w:bCs/>
                <w:noProof/>
              </w:rPr>
              <w:t>FINANCIAL RESULT</w:t>
            </w:r>
          </w:p>
        </w:tc>
        <w:tc>
          <w:tcPr>
            <w:tcW w:w="1701" w:type="dxa"/>
            <w:shd w:val="clear" w:color="auto" w:fill="FFFFFF"/>
            <w:noWrap/>
            <w:vAlign w:val="center"/>
          </w:tcPr>
          <w:p>
            <w:pPr>
              <w:tabs>
                <w:tab w:val="left" w:pos="1558"/>
              </w:tabs>
              <w:ind w:right="143"/>
              <w:jc w:val="right"/>
              <w:rPr>
                <w:rFonts w:cs="Arial"/>
                <w:b/>
                <w:noProof/>
                <w:lang w:eastAsia="ko-KR"/>
              </w:rPr>
            </w:pPr>
            <w:r>
              <w:rPr>
                <w:rFonts w:cs="Arial"/>
                <w:b/>
                <w:noProof/>
                <w:lang w:eastAsia="ko-KR"/>
              </w:rPr>
              <w:t>(30 917 686)</w:t>
            </w:r>
          </w:p>
        </w:tc>
        <w:tc>
          <w:tcPr>
            <w:tcW w:w="1701" w:type="dxa"/>
            <w:shd w:val="clear" w:color="auto" w:fill="FFFFFF"/>
            <w:vAlign w:val="center"/>
          </w:tcPr>
          <w:p>
            <w:pPr>
              <w:tabs>
                <w:tab w:val="left" w:pos="1558"/>
              </w:tabs>
              <w:ind w:right="143"/>
              <w:jc w:val="right"/>
              <w:rPr>
                <w:rFonts w:cs="Arial"/>
                <w:noProof/>
                <w:lang w:eastAsia="ko-KR"/>
              </w:rPr>
            </w:pPr>
            <w:r>
              <w:rPr>
                <w:rFonts w:eastAsia="Arial Unicode MS" w:cs="Arial"/>
                <w:b/>
                <w:noProof/>
              </w:rPr>
              <w:t>40 554 924</w:t>
            </w:r>
          </w:p>
        </w:tc>
      </w:tr>
      <w:tr>
        <w:trPr>
          <w:trHeight w:hRule="exact" w:val="284"/>
        </w:trPr>
        <w:tc>
          <w:tcPr>
            <w:tcW w:w="5813" w:type="dxa"/>
            <w:shd w:val="clear" w:color="auto" w:fill="FFFFFF"/>
            <w:noWrap/>
            <w:vAlign w:val="center"/>
          </w:tcPr>
          <w:p>
            <w:pPr>
              <w:rPr>
                <w:rFonts w:cs="Arial"/>
                <w:bCs/>
                <w:noProof/>
              </w:rPr>
            </w:pPr>
          </w:p>
        </w:tc>
        <w:tc>
          <w:tcPr>
            <w:tcW w:w="1701" w:type="dxa"/>
            <w:shd w:val="clear" w:color="auto" w:fill="FFFFFF"/>
            <w:noWrap/>
            <w:vAlign w:val="center"/>
          </w:tcPr>
          <w:p>
            <w:pPr>
              <w:tabs>
                <w:tab w:val="left" w:pos="1558"/>
              </w:tabs>
              <w:ind w:right="143"/>
              <w:jc w:val="right"/>
              <w:rPr>
                <w:rFonts w:cs="Arial"/>
                <w:noProof/>
                <w:lang w:eastAsia="ko-KR"/>
              </w:rPr>
            </w:pPr>
          </w:p>
        </w:tc>
        <w:tc>
          <w:tcPr>
            <w:tcW w:w="1701" w:type="dxa"/>
            <w:shd w:val="clear" w:color="auto" w:fill="FFFFFF"/>
            <w:vAlign w:val="center"/>
          </w:tcPr>
          <w:p>
            <w:pPr>
              <w:tabs>
                <w:tab w:val="left" w:pos="1558"/>
              </w:tabs>
              <w:ind w:right="143"/>
              <w:jc w:val="right"/>
              <w:rPr>
                <w:rFonts w:cs="Arial"/>
                <w:noProof/>
                <w:lang w:eastAsia="ko-KR"/>
              </w:rPr>
            </w:pPr>
          </w:p>
        </w:tc>
      </w:tr>
      <w:tr>
        <w:trPr>
          <w:trHeight w:hRule="exact" w:val="284"/>
        </w:trPr>
        <w:tc>
          <w:tcPr>
            <w:tcW w:w="5813" w:type="dxa"/>
            <w:shd w:val="clear" w:color="auto" w:fill="FFFFFF"/>
            <w:noWrap/>
            <w:vAlign w:val="center"/>
          </w:tcPr>
          <w:p>
            <w:pPr>
              <w:rPr>
                <w:rFonts w:cs="Arial"/>
                <w:b/>
                <w:bCs/>
                <w:noProof/>
              </w:rPr>
            </w:pPr>
            <w:r>
              <w:rPr>
                <w:rFonts w:cs="Arial"/>
                <w:b/>
                <w:bCs/>
                <w:noProof/>
              </w:rPr>
              <w:t>ECONOMIC RESULT OF THE YEAR</w:t>
            </w:r>
          </w:p>
        </w:tc>
        <w:tc>
          <w:tcPr>
            <w:tcW w:w="1701" w:type="dxa"/>
            <w:shd w:val="clear" w:color="auto" w:fill="FFFFFF"/>
            <w:noWrap/>
            <w:vAlign w:val="center"/>
          </w:tcPr>
          <w:p>
            <w:pPr>
              <w:tabs>
                <w:tab w:val="left" w:pos="1558"/>
              </w:tabs>
              <w:ind w:right="143"/>
              <w:jc w:val="right"/>
              <w:rPr>
                <w:rFonts w:eastAsia="Arial Unicode MS" w:cs="Arial"/>
                <w:b/>
                <w:noProof/>
              </w:rPr>
            </w:pPr>
            <w:r>
              <w:rPr>
                <w:rFonts w:eastAsia="Arial Unicode MS" w:cs="Arial"/>
                <w:b/>
                <w:noProof/>
              </w:rPr>
              <w:t>(13 876 513)</w:t>
            </w:r>
          </w:p>
        </w:tc>
        <w:tc>
          <w:tcPr>
            <w:tcW w:w="1701" w:type="dxa"/>
            <w:shd w:val="clear" w:color="auto" w:fill="FFFFFF"/>
            <w:vAlign w:val="center"/>
          </w:tcPr>
          <w:p>
            <w:pPr>
              <w:tabs>
                <w:tab w:val="left" w:pos="1558"/>
              </w:tabs>
              <w:ind w:right="143"/>
              <w:jc w:val="right"/>
              <w:rPr>
                <w:rFonts w:eastAsia="Arial Unicode MS" w:cs="Arial"/>
                <w:b/>
                <w:noProof/>
              </w:rPr>
            </w:pPr>
            <w:r>
              <w:rPr>
                <w:rFonts w:cs="Arial"/>
                <w:b/>
                <w:noProof/>
                <w:lang w:eastAsia="ko-KR"/>
              </w:rPr>
              <w:t>2 430 206</w:t>
            </w:r>
          </w:p>
        </w:tc>
      </w:tr>
      <w:tr>
        <w:trPr>
          <w:trHeight w:hRule="exact" w:val="284"/>
        </w:trPr>
        <w:tc>
          <w:tcPr>
            <w:tcW w:w="5813" w:type="dxa"/>
            <w:shd w:val="clear" w:color="auto" w:fill="FFFFFF"/>
            <w:noWrap/>
            <w:vAlign w:val="center"/>
          </w:tcPr>
          <w:p>
            <w:pPr>
              <w:rPr>
                <w:rFonts w:cs="Arial"/>
                <w:b/>
                <w:bCs/>
                <w:noProof/>
              </w:rPr>
            </w:pPr>
          </w:p>
          <w:p>
            <w:pPr>
              <w:rPr>
                <w:rFonts w:cs="Arial"/>
                <w:b/>
                <w:bCs/>
                <w:noProof/>
              </w:rPr>
            </w:pPr>
          </w:p>
          <w:p>
            <w:pPr>
              <w:rPr>
                <w:rFonts w:cs="Arial"/>
                <w:b/>
                <w:bCs/>
                <w:noProof/>
              </w:rPr>
            </w:pPr>
          </w:p>
          <w:p>
            <w:pPr>
              <w:rPr>
                <w:rFonts w:cs="Arial"/>
                <w:b/>
                <w:bCs/>
                <w:noProof/>
              </w:rPr>
            </w:pPr>
          </w:p>
        </w:tc>
        <w:tc>
          <w:tcPr>
            <w:tcW w:w="1701" w:type="dxa"/>
            <w:shd w:val="clear" w:color="auto" w:fill="FFFFFF"/>
            <w:noWrap/>
            <w:vAlign w:val="center"/>
          </w:tcPr>
          <w:p>
            <w:pPr>
              <w:tabs>
                <w:tab w:val="left" w:pos="1558"/>
              </w:tabs>
              <w:ind w:right="143"/>
              <w:jc w:val="right"/>
              <w:rPr>
                <w:rFonts w:eastAsia="Arial Unicode MS" w:cs="Arial"/>
                <w:b/>
                <w:noProof/>
              </w:rPr>
            </w:pPr>
          </w:p>
        </w:tc>
        <w:tc>
          <w:tcPr>
            <w:tcW w:w="1701" w:type="dxa"/>
            <w:shd w:val="clear" w:color="auto" w:fill="FFFFFF"/>
            <w:vAlign w:val="center"/>
          </w:tcPr>
          <w:p>
            <w:pPr>
              <w:tabs>
                <w:tab w:val="left" w:pos="1558"/>
              </w:tabs>
              <w:ind w:right="143"/>
              <w:jc w:val="right"/>
              <w:rPr>
                <w:rFonts w:cs="Arial"/>
                <w:b/>
                <w:noProof/>
                <w:lang w:eastAsia="ko-KR"/>
              </w:rPr>
            </w:pPr>
          </w:p>
        </w:tc>
      </w:tr>
    </w:tbl>
    <w:p>
      <w:pPr>
        <w:rPr>
          <w:noProof/>
        </w:rPr>
      </w:pPr>
      <w:bookmarkStart w:id="29" w:name="_Toc477531490"/>
      <w:bookmarkStart w:id="30" w:name="_Toc508973551"/>
      <w:bookmarkStart w:id="31" w:name="_Toc508973605"/>
      <w:bookmarkStart w:id="32" w:name="_Toc508973891"/>
    </w:p>
    <w:p>
      <w:pPr>
        <w:rPr>
          <w:noProof/>
        </w:rPr>
      </w:pPr>
    </w:p>
    <w:p>
      <w:pPr>
        <w:pStyle w:val="Heading1"/>
      </w:pPr>
      <w:bookmarkStart w:id="33" w:name="_Toc7791288"/>
      <w:r>
        <w:t>PROVISIONING OF THE EFSI GF</w:t>
      </w:r>
      <w:bookmarkEnd w:id="33"/>
    </w:p>
    <w:p>
      <w:pPr>
        <w:spacing w:before="240" w:after="240"/>
        <w:jc w:val="both"/>
        <w:rPr>
          <w:noProof/>
          <w:sz w:val="24"/>
          <w:szCs w:val="24"/>
        </w:rPr>
      </w:pPr>
      <w:r>
        <w:rPr>
          <w:noProof/>
          <w:sz w:val="24"/>
          <w:szCs w:val="24"/>
        </w:rPr>
        <w:t>The Guarantee Fund is provisioned through:</w:t>
      </w:r>
    </w:p>
    <w:p>
      <w:pPr>
        <w:pStyle w:val="ListParagraph"/>
        <w:numPr>
          <w:ilvl w:val="0"/>
          <w:numId w:val="28"/>
        </w:numPr>
        <w:spacing w:before="240" w:after="240"/>
        <w:jc w:val="both"/>
        <w:rPr>
          <w:noProof/>
          <w:sz w:val="24"/>
          <w:szCs w:val="24"/>
        </w:rPr>
      </w:pPr>
      <w:r>
        <w:rPr>
          <w:noProof/>
          <w:sz w:val="24"/>
          <w:szCs w:val="24"/>
        </w:rPr>
        <w:t>Contributions from the general budget of the Union; the budget allocated for the EFSI contributions amounts to EUR 8 425 million;</w:t>
      </w:r>
    </w:p>
    <w:p>
      <w:pPr>
        <w:pStyle w:val="ListParagraph"/>
        <w:numPr>
          <w:ilvl w:val="0"/>
          <w:numId w:val="28"/>
        </w:numPr>
        <w:spacing w:before="240" w:after="240"/>
        <w:jc w:val="both"/>
        <w:rPr>
          <w:noProof/>
          <w:sz w:val="24"/>
          <w:szCs w:val="24"/>
        </w:rPr>
      </w:pPr>
      <w:r>
        <w:rPr>
          <w:noProof/>
          <w:sz w:val="24"/>
          <w:szCs w:val="24"/>
        </w:rPr>
        <w:t>Revenues and any other payments received by the Union in accordance with the EFSI Agreement (i.e. projects benefitting from EFSI support); these assigned revenues to the EFSI GF amount to EUR 675 million.</w:t>
      </w:r>
    </w:p>
    <w:p>
      <w:pPr>
        <w:pStyle w:val="ListParagraph"/>
        <w:numPr>
          <w:ilvl w:val="0"/>
          <w:numId w:val="28"/>
        </w:numPr>
        <w:spacing w:before="240" w:after="240"/>
        <w:jc w:val="both"/>
        <w:rPr>
          <w:noProof/>
          <w:sz w:val="24"/>
          <w:szCs w:val="24"/>
        </w:rPr>
      </w:pPr>
      <w:r>
        <w:rPr>
          <w:noProof/>
          <w:sz w:val="24"/>
          <w:szCs w:val="24"/>
        </w:rPr>
        <w:t>Returns (interests) on guarantee fund resources invested in the financial markets;</w:t>
      </w:r>
    </w:p>
    <w:p>
      <w:pPr>
        <w:pStyle w:val="ListParagraph"/>
        <w:numPr>
          <w:ilvl w:val="0"/>
          <w:numId w:val="28"/>
        </w:numPr>
        <w:spacing w:before="240" w:after="240"/>
        <w:jc w:val="both"/>
        <w:rPr>
          <w:noProof/>
          <w:sz w:val="24"/>
          <w:szCs w:val="24"/>
        </w:rPr>
      </w:pPr>
      <w:r>
        <w:rPr>
          <w:noProof/>
          <w:sz w:val="24"/>
          <w:szCs w:val="24"/>
        </w:rPr>
        <w:t>Amounts recovered from projects for which the EU Guarantee was called (i.e. defaulting debtors);</w:t>
      </w:r>
    </w:p>
    <w:p>
      <w:pPr>
        <w:spacing w:before="240" w:after="240"/>
        <w:jc w:val="both"/>
        <w:rPr>
          <w:noProof/>
          <w:sz w:val="24"/>
          <w:szCs w:val="24"/>
        </w:rPr>
      </w:pPr>
      <w:r>
        <w:rPr>
          <w:noProof/>
          <w:sz w:val="24"/>
          <w:szCs w:val="24"/>
        </w:rPr>
        <w:t>The Guarantee Fund is provisioned progressively up to the target amount of EUR 9 100 million by 2022.</w:t>
      </w:r>
    </w:p>
    <w:p>
      <w:pPr>
        <w:spacing w:before="240" w:after="240"/>
        <w:jc w:val="both"/>
        <w:rPr>
          <w:noProof/>
          <w:sz w:val="24"/>
          <w:szCs w:val="24"/>
        </w:rPr>
      </w:pPr>
    </w:p>
    <w:p>
      <w:pPr>
        <w:spacing w:before="240" w:after="240"/>
        <w:jc w:val="both"/>
        <w:rPr>
          <w:noProof/>
          <w:sz w:val="24"/>
          <w:szCs w:val="24"/>
        </w:rPr>
      </w:pPr>
      <w:r>
        <w:rPr>
          <w:noProof/>
          <w:sz w:val="24"/>
          <w:szCs w:val="24"/>
        </w:rPr>
        <w:t>Table 3: Provisioning of the EFSI GF for the period 2015-2022 (EUR million)</w:t>
      </w:r>
    </w:p>
    <w:p>
      <w:pPr>
        <w:rPr>
          <w:noProof/>
        </w:rPr>
      </w:pPr>
      <w:r>
        <w:rPr>
          <w:noProof/>
        </w:rPr>
        <w:drawing>
          <wp:inline distT="0" distB="0" distL="0" distR="0">
            <wp:extent cx="5759450" cy="1353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59450" cy="1353185"/>
                    </a:xfrm>
                    <a:prstGeom prst="rect">
                      <a:avLst/>
                    </a:prstGeom>
                  </pic:spPr>
                </pic:pic>
              </a:graphicData>
            </a:graphic>
          </wp:inline>
        </w:drawing>
      </w:r>
    </w:p>
    <w:p>
      <w:pPr>
        <w:rPr>
          <w:noProof/>
        </w:rPr>
      </w:pPr>
    </w:p>
    <w:p>
      <w:pPr>
        <w:rPr>
          <w:noProof/>
        </w:rPr>
      </w:pPr>
    </w:p>
    <w:p>
      <w:pPr>
        <w:rPr>
          <w:noProof/>
        </w:rPr>
      </w:pPr>
    </w:p>
    <w:p>
      <w:pPr>
        <w:rPr>
          <w:noProof/>
        </w:rPr>
      </w:pPr>
      <w:r>
        <w:rPr>
          <w:noProof/>
        </w:rPr>
        <w:br w:type="page"/>
      </w:r>
    </w:p>
    <w:p>
      <w:pPr>
        <w:pStyle w:val="Heading1"/>
      </w:pPr>
      <w:bookmarkStart w:id="34" w:name="_Toc7791289"/>
      <w:r>
        <w:t>ASSET MANAGEMENT</w:t>
      </w:r>
      <w:bookmarkEnd w:id="29"/>
      <w:bookmarkEnd w:id="30"/>
      <w:bookmarkEnd w:id="31"/>
      <w:bookmarkEnd w:id="32"/>
      <w:bookmarkEnd w:id="34"/>
    </w:p>
    <w:p>
      <w:pPr>
        <w:spacing w:before="240" w:after="240"/>
        <w:jc w:val="both"/>
        <w:rPr>
          <w:noProof/>
          <w:sz w:val="24"/>
          <w:szCs w:val="24"/>
        </w:rPr>
      </w:pPr>
      <w:r>
        <w:rPr>
          <w:noProof/>
          <w:sz w:val="24"/>
          <w:szCs w:val="24"/>
        </w:rPr>
        <w:t>The following sections provide some further details on (a) the composition of the portfolio and (b) the key risk characteristics of the portfolio.</w:t>
      </w:r>
    </w:p>
    <w:p>
      <w:pPr>
        <w:pStyle w:val="Heading2"/>
        <w:numPr>
          <w:ilvl w:val="1"/>
          <w:numId w:val="33"/>
        </w:numPr>
        <w:rPr>
          <w:noProof/>
          <w:sz w:val="24"/>
          <w:szCs w:val="24"/>
        </w:rPr>
      </w:pPr>
      <w:bookmarkStart w:id="35" w:name="_Toc508973552"/>
      <w:bookmarkStart w:id="36" w:name="_Toc508973606"/>
      <w:bookmarkStart w:id="37" w:name="_Toc508973892"/>
      <w:r>
        <w:rPr>
          <w:noProof/>
        </w:rPr>
        <w:t xml:space="preserve">      </w:t>
      </w:r>
      <w:bookmarkStart w:id="38" w:name="_Toc7791290"/>
      <w:r>
        <w:rPr>
          <w:noProof/>
        </w:rPr>
        <w:t>COMPOSITION OF THE PORTFOLIO</w:t>
      </w:r>
      <w:bookmarkEnd w:id="35"/>
      <w:bookmarkEnd w:id="36"/>
      <w:bookmarkEnd w:id="37"/>
      <w:bookmarkEnd w:id="38"/>
    </w:p>
    <w:p>
      <w:pPr>
        <w:spacing w:before="240" w:after="240"/>
        <w:jc w:val="both"/>
        <w:rPr>
          <w:noProof/>
          <w:sz w:val="24"/>
          <w:szCs w:val="24"/>
        </w:rPr>
      </w:pPr>
      <w:r>
        <w:rPr>
          <w:noProof/>
          <w:sz w:val="24"/>
          <w:szCs w:val="24"/>
        </w:rPr>
        <w:t>The EFSI GF portfolio at the year-end is well diversified in terms of asset classes and rating categories. In addition, it is diversified in non-euro denominated securities (USD) in the form of an allocation to US Treasuries and other issuers (e.g. Supranational, other Sovereigns or Agencies) for about 9% of the portfolio. The currency risk is hedged. The exposure of the portfolio to bonds complying with environmental, social and governance criteria was more then 3 times higher when compared to its benchmark (2,31% for the portfolio vs 0,68% for the benchmark).</w:t>
      </w:r>
    </w:p>
    <w:p>
      <w:pPr>
        <w:spacing w:before="240" w:after="240"/>
        <w:jc w:val="both"/>
        <w:rPr>
          <w:noProof/>
          <w:sz w:val="24"/>
          <w:szCs w:val="24"/>
        </w:rPr>
      </w:pPr>
      <w:r>
        <w:rPr>
          <w:noProof/>
          <w:sz w:val="24"/>
          <w:szCs w:val="24"/>
        </w:rPr>
        <w:t>As shown in Figure 1, over 40% of the market value of the portfolio is invested in AAA securities and the rest is well distributed across the whole spectrum of the investment-grade scale. The AAA category includes for example securities issued by the US Government and covered bonds issued by financial institutions.</w:t>
      </w:r>
    </w:p>
    <w:p>
      <w:pPr>
        <w:spacing w:before="240" w:after="240"/>
        <w:jc w:val="both"/>
        <w:rPr>
          <w:noProof/>
          <w:sz w:val="24"/>
          <w:szCs w:val="24"/>
        </w:rPr>
      </w:pPr>
      <w:r>
        <w:rPr>
          <w:noProof/>
          <w:sz w:val="24"/>
          <w:szCs w:val="24"/>
        </w:rPr>
        <w:t>In terms of main asset classes, 27.3% of the portfolio is invested in Sovereign securities, 17.8% in sub-sovereigns, supra-nationals and agencies (SSA) and foreign Governments and 25% in covered bonds while only 15.5% in bonds issued by corporates and financial institutions (other than covered bonds).</w:t>
      </w:r>
    </w:p>
    <w:p>
      <w:pPr>
        <w:spacing w:before="240" w:after="240"/>
        <w:jc w:val="both"/>
        <w:rPr>
          <w:noProof/>
          <w:sz w:val="24"/>
          <w:szCs w:val="24"/>
        </w:rPr>
      </w:pPr>
    </w:p>
    <w:p>
      <w:pPr>
        <w:jc w:val="center"/>
        <w:rPr>
          <w:rStyle w:val="BookTitle"/>
          <w:noProof/>
          <w:sz w:val="24"/>
          <w:szCs w:val="24"/>
        </w:rPr>
      </w:pPr>
      <w:bookmarkStart w:id="39" w:name="_Ref475975179"/>
      <w:r>
        <w:rPr>
          <w:rStyle w:val="BookTitle"/>
          <w:noProof/>
          <w:sz w:val="24"/>
          <w:szCs w:val="24"/>
        </w:rPr>
        <w:t>Figure</w:t>
      </w:r>
      <w:bookmarkEnd w:id="39"/>
      <w:r>
        <w:rPr>
          <w:rStyle w:val="BookTitle"/>
          <w:noProof/>
          <w:sz w:val="24"/>
          <w:szCs w:val="24"/>
        </w:rPr>
        <w:t xml:space="preserve"> 1: Portfolio exposure by rating as at 31 December 2018</w:t>
      </w:r>
    </w:p>
    <w:p>
      <w:pPr>
        <w:rPr>
          <w:rStyle w:val="BookTitle"/>
          <w:noProof/>
          <w:sz w:val="24"/>
          <w:szCs w:val="24"/>
        </w:rPr>
      </w:pPr>
      <w:r>
        <w:rPr>
          <w:noProof/>
        </w:rPr>
        <w:drawing>
          <wp:inline distT="0" distB="0" distL="0" distR="0">
            <wp:extent cx="5654040" cy="2853055"/>
            <wp:effectExtent l="0" t="0" r="381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tabs>
          <w:tab w:val="left" w:pos="-1134"/>
          <w:tab w:val="left" w:pos="1134"/>
        </w:tabs>
        <w:spacing w:before="240" w:after="240"/>
        <w:rPr>
          <w:i/>
          <w:noProof/>
          <w:sz w:val="18"/>
          <w:szCs w:val="18"/>
        </w:rPr>
      </w:pPr>
      <w:r>
        <w:rPr>
          <w:noProof/>
          <w:sz w:val="18"/>
          <w:szCs w:val="18"/>
        </w:rPr>
        <w:tab/>
      </w:r>
      <w:r>
        <w:rPr>
          <w:i/>
          <w:noProof/>
          <w:sz w:val="18"/>
          <w:szCs w:val="18"/>
        </w:rPr>
        <w:t>Source: European Commission services</w:t>
      </w:r>
    </w:p>
    <w:p>
      <w:pPr>
        <w:rPr>
          <w:rStyle w:val="BookTitle"/>
          <w:noProof/>
          <w:sz w:val="24"/>
          <w:szCs w:val="24"/>
        </w:rPr>
      </w:pPr>
    </w:p>
    <w:p>
      <w:pPr>
        <w:rPr>
          <w:rStyle w:val="BookTitle"/>
          <w:noProof/>
          <w:sz w:val="24"/>
          <w:szCs w:val="24"/>
        </w:rPr>
      </w:pPr>
    </w:p>
    <w:p>
      <w:pPr>
        <w:jc w:val="center"/>
        <w:rPr>
          <w:rStyle w:val="BookTitle"/>
          <w:noProof/>
          <w:sz w:val="24"/>
          <w:szCs w:val="24"/>
        </w:rPr>
      </w:pPr>
      <w:r>
        <w:rPr>
          <w:noProof/>
          <w:color w:val="FFFFFF" w:themeColor="background1"/>
        </w:rPr>
        <w:drawing>
          <wp:anchor distT="0" distB="0" distL="114300" distR="114300" simplePos="0" relativeHeight="251658240" behindDoc="0" locked="0" layoutInCell="1" allowOverlap="1">
            <wp:simplePos x="0" y="0"/>
            <wp:positionH relativeFrom="column">
              <wp:posOffset>-450850</wp:posOffset>
            </wp:positionH>
            <wp:positionV relativeFrom="paragraph">
              <wp:posOffset>196850</wp:posOffset>
            </wp:positionV>
            <wp:extent cx="6309360" cy="253746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Pr>
          <w:rStyle w:val="BookTitle"/>
          <w:noProof/>
          <w:sz w:val="24"/>
          <w:szCs w:val="24"/>
        </w:rPr>
        <w:t>Figure 2: Portfolio exposure by asset class as at 31 December 2018</w:t>
      </w: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jc w:val="center"/>
        <w:rPr>
          <w:rStyle w:val="BookTitle"/>
          <w:noProof/>
          <w:sz w:val="24"/>
          <w:szCs w:val="24"/>
        </w:rPr>
      </w:pPr>
    </w:p>
    <w:p>
      <w:pPr>
        <w:rPr>
          <w:rStyle w:val="BookTitle"/>
          <w:noProof/>
          <w:sz w:val="24"/>
          <w:szCs w:val="24"/>
        </w:rPr>
      </w:pPr>
    </w:p>
    <w:p>
      <w:pPr>
        <w:rPr>
          <w:rStyle w:val="BookTitle"/>
          <w:noProof/>
          <w:sz w:val="24"/>
          <w:szCs w:val="24"/>
        </w:rPr>
      </w:pPr>
    </w:p>
    <w:p>
      <w:pPr>
        <w:ind w:left="462" w:hanging="462"/>
        <w:rPr>
          <w:noProof/>
          <w:sz w:val="18"/>
          <w:szCs w:val="18"/>
        </w:rPr>
      </w:pPr>
      <w:r>
        <w:rPr>
          <w:bCs/>
          <w:noProof/>
          <w:sz w:val="18"/>
          <w:szCs w:val="18"/>
        </w:rPr>
        <w:t>(¹) Corporate: unsecured bonds issued by financial and non-financial corporations.</w:t>
      </w:r>
    </w:p>
    <w:p>
      <w:pPr>
        <w:rPr>
          <w:bCs/>
          <w:noProof/>
          <w:sz w:val="18"/>
          <w:szCs w:val="18"/>
        </w:rPr>
      </w:pPr>
      <w:r>
        <w:rPr>
          <w:noProof/>
          <w:sz w:val="18"/>
          <w:szCs w:val="18"/>
        </w:rPr>
        <w:t>(²)</w:t>
      </w:r>
      <w:r>
        <w:rPr>
          <w:bCs/>
          <w:noProof/>
          <w:sz w:val="18"/>
          <w:szCs w:val="18"/>
        </w:rPr>
        <w:t xml:space="preserve"> Derivative: inflation-linked bonds.</w:t>
      </w:r>
    </w:p>
    <w:p>
      <w:pPr>
        <w:tabs>
          <w:tab w:val="left" w:pos="-1134"/>
          <w:tab w:val="left" w:pos="0"/>
        </w:tabs>
        <w:spacing w:before="40" w:after="240"/>
        <w:jc w:val="both"/>
        <w:rPr>
          <w:i/>
          <w:noProof/>
          <w:sz w:val="18"/>
          <w:szCs w:val="18"/>
        </w:rPr>
      </w:pPr>
      <w:r>
        <w:rPr>
          <w:i/>
          <w:noProof/>
          <w:sz w:val="18"/>
          <w:szCs w:val="18"/>
        </w:rPr>
        <w:t>Source: European Commission services</w:t>
      </w:r>
    </w:p>
    <w:p>
      <w:pPr>
        <w:rPr>
          <w:noProof/>
        </w:rPr>
      </w:pPr>
    </w:p>
    <w:p>
      <w:pPr>
        <w:pStyle w:val="Heading2"/>
        <w:numPr>
          <w:ilvl w:val="1"/>
          <w:numId w:val="33"/>
        </w:numPr>
        <w:rPr>
          <w:noProof/>
        </w:rPr>
      </w:pPr>
      <w:bookmarkStart w:id="40" w:name="_Toc508973553"/>
      <w:bookmarkStart w:id="41" w:name="_Toc508973607"/>
      <w:bookmarkStart w:id="42" w:name="_Toc508973893"/>
      <w:r>
        <w:rPr>
          <w:noProof/>
        </w:rPr>
        <w:t xml:space="preserve">     </w:t>
      </w:r>
      <w:bookmarkStart w:id="43" w:name="_Toc7791291"/>
      <w:r>
        <w:rPr>
          <w:noProof/>
        </w:rPr>
        <w:t>KEY RISK CHARACTERISTICS OF THE PORTFOLIO</w:t>
      </w:r>
      <w:bookmarkEnd w:id="40"/>
      <w:bookmarkEnd w:id="41"/>
      <w:bookmarkEnd w:id="42"/>
      <w:bookmarkEnd w:id="43"/>
    </w:p>
    <w:p>
      <w:pPr>
        <w:spacing w:before="240" w:after="240"/>
        <w:jc w:val="both"/>
        <w:rPr>
          <w:i/>
          <w:noProof/>
          <w:sz w:val="24"/>
          <w:szCs w:val="24"/>
        </w:rPr>
      </w:pPr>
      <w:r>
        <w:rPr>
          <w:i/>
          <w:noProof/>
          <w:sz w:val="24"/>
          <w:szCs w:val="24"/>
        </w:rPr>
        <w:t>Market Risk</w:t>
      </w:r>
    </w:p>
    <w:p>
      <w:pPr>
        <w:spacing w:before="240"/>
        <w:jc w:val="both"/>
        <w:rPr>
          <w:noProof/>
          <w:sz w:val="24"/>
          <w:szCs w:val="24"/>
        </w:rPr>
      </w:pPr>
      <w:r>
        <w:rPr>
          <w:noProof/>
          <w:sz w:val="24"/>
          <w:szCs w:val="24"/>
        </w:rPr>
        <w:t>Market risk is, inter alia, assessed by way of calculating the duration</w:t>
      </w:r>
      <w:r>
        <w:rPr>
          <w:noProof/>
          <w:szCs w:val="24"/>
          <w:vertAlign w:val="superscript"/>
        </w:rPr>
        <w:footnoteReference w:id="3"/>
      </w:r>
      <w:r>
        <w:rPr>
          <w:noProof/>
          <w:sz w:val="24"/>
          <w:szCs w:val="24"/>
        </w:rPr>
        <w:t xml:space="preserve"> of the portfolio.</w:t>
      </w:r>
    </w:p>
    <w:p>
      <w:pPr>
        <w:spacing w:after="240"/>
        <w:jc w:val="both"/>
        <w:rPr>
          <w:noProof/>
          <w:sz w:val="24"/>
          <w:szCs w:val="24"/>
        </w:rPr>
      </w:pPr>
      <w:r>
        <w:rPr>
          <w:noProof/>
          <w:sz w:val="24"/>
          <w:szCs w:val="24"/>
        </w:rPr>
        <w:t xml:space="preserve">As at 31 December 2018, the portfolio had a duration of 2.41 years. </w:t>
      </w:r>
    </w:p>
    <w:p>
      <w:pPr>
        <w:spacing w:before="240" w:after="240"/>
        <w:jc w:val="both"/>
        <w:rPr>
          <w:i/>
          <w:noProof/>
          <w:sz w:val="24"/>
          <w:szCs w:val="24"/>
        </w:rPr>
      </w:pPr>
      <w:r>
        <w:rPr>
          <w:i/>
          <w:noProof/>
          <w:sz w:val="24"/>
          <w:szCs w:val="24"/>
        </w:rPr>
        <w:t>Currency risk and hedging activities</w:t>
      </w:r>
    </w:p>
    <w:p>
      <w:pPr>
        <w:spacing w:before="240" w:after="240"/>
        <w:jc w:val="both"/>
        <w:rPr>
          <w:noProof/>
          <w:sz w:val="24"/>
          <w:szCs w:val="24"/>
        </w:rPr>
      </w:pPr>
      <w:r>
        <w:rPr>
          <w:noProof/>
          <w:sz w:val="24"/>
          <w:szCs w:val="24"/>
        </w:rPr>
        <w:t xml:space="preserve">USD investments represented 9% of the portfolio market value as at 31 December 2018. The currency risk of USD-denominated investments was hedged via forward contracts. </w:t>
      </w:r>
    </w:p>
    <w:p>
      <w:pPr>
        <w:spacing w:before="240" w:after="240"/>
        <w:jc w:val="both"/>
        <w:rPr>
          <w:i/>
          <w:noProof/>
          <w:sz w:val="24"/>
          <w:szCs w:val="24"/>
        </w:rPr>
      </w:pPr>
      <w:r>
        <w:rPr>
          <w:i/>
          <w:noProof/>
          <w:sz w:val="24"/>
          <w:szCs w:val="24"/>
        </w:rPr>
        <w:t>Credit Risk</w:t>
      </w:r>
    </w:p>
    <w:p>
      <w:pPr>
        <w:spacing w:before="240" w:after="240"/>
        <w:jc w:val="both"/>
        <w:rPr>
          <w:noProof/>
          <w:sz w:val="24"/>
          <w:szCs w:val="24"/>
        </w:rPr>
      </w:pPr>
      <w:r>
        <w:rPr>
          <w:noProof/>
          <w:sz w:val="24"/>
          <w:szCs w:val="24"/>
        </w:rPr>
        <w:t>The credit quality of the EFSI GF portfolio is high with an average rating</w:t>
      </w:r>
      <w:r>
        <w:rPr>
          <w:rStyle w:val="FootnoteReference"/>
          <w:noProof/>
          <w:sz w:val="24"/>
          <w:szCs w:val="24"/>
        </w:rPr>
        <w:footnoteReference w:id="4"/>
      </w:r>
      <w:r>
        <w:rPr>
          <w:noProof/>
          <w:sz w:val="24"/>
          <w:szCs w:val="24"/>
        </w:rPr>
        <w:t xml:space="preserve"> of A-, suggesting a low default probability (0.07% at 1-year).</w:t>
      </w:r>
    </w:p>
    <w:p>
      <w:pPr>
        <w:spacing w:before="240" w:after="240"/>
        <w:jc w:val="both"/>
        <w:rPr>
          <w:i/>
          <w:noProof/>
          <w:sz w:val="24"/>
          <w:szCs w:val="24"/>
        </w:rPr>
      </w:pPr>
      <w:r>
        <w:rPr>
          <w:i/>
          <w:noProof/>
          <w:sz w:val="24"/>
          <w:szCs w:val="24"/>
        </w:rPr>
        <w:t>Liquidity characteristics of the portfolio</w:t>
      </w:r>
    </w:p>
    <w:p>
      <w:pPr>
        <w:spacing w:before="240" w:after="240"/>
        <w:jc w:val="both"/>
        <w:rPr>
          <w:noProof/>
          <w:sz w:val="24"/>
          <w:szCs w:val="24"/>
        </w:rPr>
      </w:pPr>
      <w:r>
        <w:rPr>
          <w:noProof/>
          <w:sz w:val="24"/>
          <w:szCs w:val="24"/>
        </w:rPr>
        <w:t>About 21% of the portfolio consists of bonds with a maturity below 1-year, floating rate notes and short-term money market instruments which provide a further liquidity buffer for the portfolio.</w:t>
      </w:r>
    </w:p>
    <w:sectPr>
      <w:headerReference w:type="even" r:id="rId36"/>
      <w:headerReference w:type="default" r:id="rId37"/>
      <w:footerReference w:type="even" r:id="rId38"/>
      <w:footerReference w:type="default" r:id="rId39"/>
      <w:headerReference w:type="first" r:id="rId40"/>
      <w:footerReference w:type="first" r:id="rId41"/>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03684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632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CoverPage"/>
      <w:rPr>
        <w:rFonts w:ascii="Arial" w:hAnsi="Arial" w:cs="Arial"/>
        <w:b/>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08525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CoverPage"/>
      <w:rPr>
        <w:rFonts w:ascii="Arial" w:hAnsi="Arial" w:cs="Arial"/>
        <w:b/>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lang w:val="en-US"/>
        </w:rPr>
      </w:pPr>
      <w:r>
        <w:rPr>
          <w:rStyle w:val="FootnoteReference"/>
        </w:rPr>
        <w:footnoteRef/>
      </w:r>
      <w:r>
        <w:t xml:space="preserve"> </w:t>
      </w:r>
      <w:r>
        <w:rPr>
          <w:lang w:val="en-US"/>
        </w:rPr>
        <w:t>Net of the guarantee call paid out from the EFSI GF (EUR 60.8 million)</w:t>
      </w:r>
    </w:p>
  </w:footnote>
  <w:footnote w:id="3">
    <w:p>
      <w:pPr>
        <w:pStyle w:val="FootnoteText"/>
        <w:ind w:left="426" w:hanging="426"/>
      </w:pPr>
      <w:r>
        <w:rPr>
          <w:rStyle w:val="FootnoteReference"/>
        </w:rPr>
        <w:footnoteRef/>
      </w:r>
      <w:r>
        <w:t xml:space="preserve"> </w:t>
      </w:r>
      <w:r>
        <w:tab/>
        <w:t>The duration figure refers to 'modified duration' which measures the price sensitivity of a bond to interest rate movements.</w:t>
      </w:r>
    </w:p>
  </w:footnote>
  <w:footnote w:id="4">
    <w:p>
      <w:pPr>
        <w:pStyle w:val="FootnoteText"/>
        <w:ind w:left="426" w:hanging="426"/>
      </w:pPr>
      <w:r>
        <w:rPr>
          <w:rStyle w:val="FootnoteReference"/>
        </w:rPr>
        <w:footnoteRef/>
      </w:r>
      <w:r>
        <w:t xml:space="preserve"> </w:t>
      </w:r>
      <w:r>
        <w:tab/>
        <w:t>The average rating is calculated on the basis of portfolio’s average 1-year default probability.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D48"/>
    <w:multiLevelType w:val="multilevel"/>
    <w:tmpl w:val="550AD7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844655"/>
    <w:multiLevelType w:val="hybridMultilevel"/>
    <w:tmpl w:val="CADE5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E5458"/>
    <w:multiLevelType w:val="multilevel"/>
    <w:tmpl w:val="F076A3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1E2800"/>
    <w:multiLevelType w:val="multilevel"/>
    <w:tmpl w:val="0890B8C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98789C"/>
    <w:multiLevelType w:val="multilevel"/>
    <w:tmpl w:val="AC5CD59C"/>
    <w:lvl w:ilvl="0">
      <w:start w:val="4"/>
      <w:numFmt w:val="decimal"/>
      <w:lvlText w:val="%1."/>
      <w:lvlJc w:val="left"/>
      <w:pPr>
        <w:ind w:left="360" w:hanging="360"/>
      </w:pPr>
      <w:rPr>
        <w:rFonts w:hint="default"/>
      </w:rPr>
    </w:lvl>
    <w:lvl w:ilvl="1">
      <w:start w:val="2"/>
      <w:numFmt w:val="decimal"/>
      <w:lvlText w:val="%1.%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F63604C"/>
    <w:multiLevelType w:val="hybridMultilevel"/>
    <w:tmpl w:val="9516F46E"/>
    <w:lvl w:ilvl="0" w:tplc="81F40A62">
      <w:start w:val="1"/>
      <w:numFmt w:val="decimal"/>
      <w:pStyle w:val="Heading2"/>
      <w:lvlText w:val="2.%1"/>
      <w:lvlJc w:val="left"/>
      <w:pPr>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0CD0BCA"/>
    <w:multiLevelType w:val="multilevel"/>
    <w:tmpl w:val="550AD7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8219A8"/>
    <w:multiLevelType w:val="hybridMultilevel"/>
    <w:tmpl w:val="78467C6E"/>
    <w:lvl w:ilvl="0" w:tplc="F4F04442">
      <w:start w:val="1"/>
      <w:numFmt w:val="decimal"/>
      <w:lvlText w:val="4.%1"/>
      <w:lvlJc w:val="left"/>
      <w:pPr>
        <w:ind w:left="1080" w:hanging="360"/>
      </w:pPr>
      <w:rPr>
        <w:rFonts w:hint="default"/>
        <w:sz w:val="28"/>
        <w:szCs w:val="28"/>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C221EF2"/>
    <w:multiLevelType w:val="multilevel"/>
    <w:tmpl w:val="FF889A66"/>
    <w:lvl w:ilvl="0">
      <w:start w:val="2"/>
      <w:numFmt w:val="decimal"/>
      <w:lvlText w:val="1.%1"/>
      <w:lvlJc w:val="left"/>
      <w:pPr>
        <w:ind w:left="72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CFA0C15"/>
    <w:multiLevelType w:val="hybridMultilevel"/>
    <w:tmpl w:val="48463BA2"/>
    <w:lvl w:ilvl="0" w:tplc="C73E09C8">
      <w:start w:val="1"/>
      <w:numFmt w:val="decimal"/>
      <w:pStyle w:val="Heading3"/>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B94C93"/>
    <w:multiLevelType w:val="multilevel"/>
    <w:tmpl w:val="5F3CF5B4"/>
    <w:lvl w:ilvl="0">
      <w:start w:val="1"/>
      <w:numFmt w:val="decimal"/>
      <w:lvlText w:val="1.%1"/>
      <w:lvlJc w:val="left"/>
      <w:pPr>
        <w:ind w:left="72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36A6B88"/>
    <w:multiLevelType w:val="multilevel"/>
    <w:tmpl w:val="C02248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39142F0"/>
    <w:multiLevelType w:val="multilevel"/>
    <w:tmpl w:val="8BF23C98"/>
    <w:lvl w:ilvl="0">
      <w:start w:val="5"/>
      <w:numFmt w:val="decimal"/>
      <w:lvlText w:val="%1"/>
      <w:lvlJc w:val="left"/>
      <w:pPr>
        <w:ind w:left="372" w:hanging="372"/>
      </w:pPr>
      <w:rPr>
        <w:rFonts w:hint="default"/>
        <w:sz w:val="28"/>
      </w:rPr>
    </w:lvl>
    <w:lvl w:ilvl="1">
      <w:start w:val="1"/>
      <w:numFmt w:val="decimal"/>
      <w:lvlText w:val="%1.%2"/>
      <w:lvlJc w:val="left"/>
      <w:pPr>
        <w:ind w:left="1092" w:hanging="372"/>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560" w:hanging="1800"/>
      </w:pPr>
      <w:rPr>
        <w:rFonts w:hint="default"/>
        <w:sz w:val="28"/>
      </w:rPr>
    </w:lvl>
  </w:abstractNum>
  <w:abstractNum w:abstractNumId="13">
    <w:nsid w:val="44EB3521"/>
    <w:multiLevelType w:val="hybridMultilevel"/>
    <w:tmpl w:val="C60678FE"/>
    <w:lvl w:ilvl="0" w:tplc="0B6A3222">
      <w:start w:val="1"/>
      <w:numFmt w:val="decimal"/>
      <w:lvlText w:val="4.%1"/>
      <w:lvlJc w:val="left"/>
      <w:pPr>
        <w:ind w:left="108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554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0104AC6"/>
    <w:multiLevelType w:val="multilevel"/>
    <w:tmpl w:val="F63E4C9C"/>
    <w:lvl w:ilvl="0">
      <w:start w:val="1"/>
      <w:numFmt w:val="decimal"/>
      <w:pStyle w:val="Heading1"/>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A1409FF"/>
    <w:multiLevelType w:val="multilevel"/>
    <w:tmpl w:val="74DA54FE"/>
    <w:lvl w:ilvl="0">
      <w:start w:val="5"/>
      <w:numFmt w:val="decimal"/>
      <w:lvlText w:val="%1"/>
      <w:lvlJc w:val="left"/>
      <w:pPr>
        <w:ind w:left="372" w:hanging="372"/>
      </w:pPr>
      <w:rPr>
        <w:rFonts w:hint="default"/>
        <w:sz w:val="28"/>
      </w:rPr>
    </w:lvl>
    <w:lvl w:ilvl="1">
      <w:start w:val="1"/>
      <w:numFmt w:val="decimal"/>
      <w:lvlText w:val="%1.%2"/>
      <w:lvlJc w:val="left"/>
      <w:pPr>
        <w:ind w:left="1452" w:hanging="372"/>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4320" w:hanging="108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840" w:hanging="144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360" w:hanging="1800"/>
      </w:pPr>
      <w:rPr>
        <w:rFonts w:hint="default"/>
        <w:sz w:val="28"/>
      </w:rPr>
    </w:lvl>
    <w:lvl w:ilvl="8">
      <w:start w:val="1"/>
      <w:numFmt w:val="decimal"/>
      <w:lvlText w:val="%1.%2.%3.%4.%5.%6.%7.%8.%9"/>
      <w:lvlJc w:val="left"/>
      <w:pPr>
        <w:ind w:left="10440" w:hanging="1800"/>
      </w:pPr>
      <w:rPr>
        <w:rFonts w:hint="default"/>
        <w:sz w:val="28"/>
      </w:rPr>
    </w:lvl>
  </w:abstractNum>
  <w:abstractNum w:abstractNumId="17">
    <w:nsid w:val="5DBF3227"/>
    <w:multiLevelType w:val="hybridMultilevel"/>
    <w:tmpl w:val="877C0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5A732B"/>
    <w:multiLevelType w:val="hybridMultilevel"/>
    <w:tmpl w:val="6F52263C"/>
    <w:lvl w:ilvl="0" w:tplc="E91ED8A4">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D4A0B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535501E"/>
    <w:multiLevelType w:val="multilevel"/>
    <w:tmpl w:val="D5A82D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5C60AC0"/>
    <w:multiLevelType w:val="hybridMultilevel"/>
    <w:tmpl w:val="4914E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86461A"/>
    <w:multiLevelType w:val="multilevel"/>
    <w:tmpl w:val="1112458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984DDE"/>
    <w:multiLevelType w:val="hybridMultilevel"/>
    <w:tmpl w:val="262A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
  </w:num>
  <w:num w:numId="4">
    <w:abstractNumId w:val="11"/>
  </w:num>
  <w:num w:numId="5">
    <w:abstractNumId w:val="3"/>
  </w:num>
  <w:num w:numId="6">
    <w:abstractNumId w:val="17"/>
  </w:num>
  <w:num w:numId="7">
    <w:abstractNumId w:val="22"/>
  </w:num>
  <w:num w:numId="8">
    <w:abstractNumId w:val="6"/>
  </w:num>
  <w:num w:numId="9">
    <w:abstractNumId w:val="0"/>
  </w:num>
  <w:num w:numId="10">
    <w:abstractNumId w:val="14"/>
  </w:num>
  <w:num w:numId="11">
    <w:abstractNumId w:val="4"/>
  </w:num>
  <w:num w:numId="12">
    <w:abstractNumId w:val="20"/>
  </w:num>
  <w:num w:numId="13">
    <w:abstractNumId w:val="2"/>
  </w:num>
  <w:num w:numId="14">
    <w:abstractNumId w:val="10"/>
  </w:num>
  <w:num w:numId="15">
    <w:abstractNumId w:val="8"/>
  </w:num>
  <w:num w:numId="16">
    <w:abstractNumId w:val="18"/>
  </w:num>
  <w:num w:numId="17">
    <w:abstractNumId w:val="5"/>
  </w:num>
  <w:num w:numId="18">
    <w:abstractNumId w:val="5"/>
    <w:lvlOverride w:ilvl="0">
      <w:startOverride w:val="1"/>
    </w:lvlOverride>
  </w:num>
  <w:num w:numId="19">
    <w:abstractNumId w:val="9"/>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7"/>
  </w:num>
  <w:num w:numId="25">
    <w:abstractNumId w:val="15"/>
  </w:num>
  <w:num w:numId="26">
    <w:abstractNumId w:val="15"/>
  </w:num>
  <w:num w:numId="27">
    <w:abstractNumId w:val="23"/>
  </w:num>
  <w:num w:numId="28">
    <w:abstractNumId w:val="21"/>
  </w:num>
  <w:num w:numId="29">
    <w:abstractNumId w:val="13"/>
  </w:num>
  <w:num w:numId="30">
    <w:abstractNumId w:val="15"/>
  </w:num>
  <w:num w:numId="31">
    <w:abstractNumId w:val="12"/>
  </w:num>
  <w:num w:numId="32">
    <w:abstractNumId w:val="5"/>
    <w:lvlOverride w:ilvl="0">
      <w:startOverride w:val="5"/>
    </w:lvlOverride>
  </w:num>
  <w:num w:numId="33">
    <w:abstractNumId w:val="16"/>
  </w:num>
  <w:num w:numId="34">
    <w:abstractNumId w:val="1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23D61BD1-7262-4636-BE56-8AA07BFB9BD2"/>
    <w:docVar w:name="LW_COVERPAGE_TYPE" w:val="1"/>
    <w:docVar w:name="LW_CROSSREFERENCE" w:val="{COM(2019) 244 final}"/>
    <w:docVar w:name="LW_DocType" w:val="NORMAL"/>
    <w:docVar w:name="LW_EMISSION" w:val="28.5.2019"/>
    <w:docVar w:name="LW_EMISSION_ISODATE" w:val="2019-05-28"/>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ON THE MANAGEMENT OF THE GUARANTEE FUND OF THE EUROPEAN FUND FOR STRATEGIC INVESTMENTS IN 2018"/>
    <w:docVar w:name="LW_PART_NBR" w:val="1"/>
    <w:docVar w:name="LW_PART_NBR_TOTAL" w:val="1"/>
    <w:docVar w:name="LW_REF.INST.NEW" w:val="SWD"/>
    <w:docVar w:name="LW_REF.INST.NEW_ADOPTED" w:val="final"/>
    <w:docVar w:name="LW_REF.INST.NEW_TEXT" w:val="(2019) 1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REPORT FROM THE COMMISSION TO THE EUROPEAN PARLIAMENT, THE COUNCIL AND THE COURT OF AUDITOR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pPr>
      <w:keepNext/>
      <w:keepLines/>
      <w:numPr>
        <w:numId w:val="2"/>
      </w:numPr>
      <w:spacing w:before="480" w:after="60"/>
      <w:outlineLvl w:val="0"/>
    </w:pPr>
    <w:rPr>
      <w:rFonts w:asciiTheme="majorHAnsi" w:eastAsiaTheme="majorEastAsia" w:hAnsiTheme="majorHAnsi" w:cstheme="majorBidi"/>
      <w:b/>
      <w:bCs/>
      <w:smallCaps/>
      <w:noProof/>
      <w:color w:val="000000" w:themeColor="text1"/>
      <w:sz w:val="28"/>
      <w:szCs w:val="28"/>
    </w:rPr>
  </w:style>
  <w:style w:type="paragraph" w:styleId="Heading2">
    <w:name w:val="heading 2"/>
    <w:basedOn w:val="Normal"/>
    <w:next w:val="Normal"/>
    <w:link w:val="Heading2Char"/>
    <w:uiPriority w:val="9"/>
    <w:unhideWhenUsed/>
    <w:qFormat/>
    <w:pPr>
      <w:keepNext/>
      <w:keepLines/>
      <w:numPr>
        <w:numId w:val="17"/>
      </w:numPr>
      <w:spacing w:before="200"/>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9"/>
    <w:unhideWhenUsed/>
    <w:qFormat/>
    <w:pPr>
      <w:keepNext/>
      <w:keepLines/>
      <w:numPr>
        <w:numId w:val="19"/>
      </w:numPr>
      <w:spacing w:before="200"/>
      <w:outlineLvl w:val="2"/>
    </w:pPr>
    <w:rPr>
      <w:rFonts w:asciiTheme="majorHAnsi" w:eastAsiaTheme="majorEastAsia" w:hAnsiTheme="majorHAnsi" w:cstheme="majorBidi"/>
      <w:bCs/>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autoSpaceDE/>
      <w:autoSpaceDN/>
      <w:adjustRightInd/>
      <w:jc w:val="both"/>
    </w:pPr>
    <w:rPr>
      <w:rFonts w:eastAsiaTheme="minorHAnsi"/>
      <w:sz w:val="24"/>
      <w:szCs w:val="22"/>
      <w:lang w:eastAsia="en-US"/>
    </w:rPr>
  </w:style>
  <w:style w:type="paragraph" w:styleId="Header">
    <w:name w:val="header"/>
    <w:basedOn w:val="Normal"/>
    <w:link w:val="HeaderChar"/>
    <w:uiPriority w:val="99"/>
    <w:unhideWhenUsed/>
    <w:pPr>
      <w:widowControl/>
      <w:tabs>
        <w:tab w:val="center" w:pos="4535"/>
        <w:tab w:val="right" w:pos="9071"/>
      </w:tabs>
      <w:autoSpaceDE/>
      <w:autoSpaceDN/>
      <w:adjustRightInd/>
      <w:spacing w:after="120"/>
      <w:jc w:val="both"/>
    </w:pPr>
    <w:rPr>
      <w:rFonts w:eastAsiaTheme="minorHAnsi"/>
      <w:sz w:val="24"/>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tabs>
        <w:tab w:val="center" w:pos="4535"/>
        <w:tab w:val="right" w:pos="9071"/>
        <w:tab w:val="right" w:pos="9921"/>
      </w:tabs>
      <w:autoSpaceDE/>
      <w:autoSpaceDN/>
      <w:adjustRightInd/>
      <w:spacing w:before="360"/>
      <w:ind w:left="-850" w:right="-850"/>
    </w:pPr>
    <w:rPr>
      <w:rFonts w:eastAsiaTheme="minorHAnsi"/>
      <w:sz w:val="24"/>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pPr>
      <w:tabs>
        <w:tab w:val="center" w:pos="4535"/>
        <w:tab w:val="right" w:pos="9071"/>
      </w:tabs>
      <w:spacing w:after="120"/>
      <w:jc w:val="both"/>
    </w:pPr>
    <w:rPr>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after="200"/>
    </w:pPr>
    <w:rPr>
      <w:b/>
      <w:bCs/>
      <w:color w:val="4F81BD" w:themeColor="accent1"/>
      <w:sz w:val="18"/>
      <w:szCs w:val="18"/>
    </w:rPr>
  </w:style>
  <w:style w:type="paragraph" w:customStyle="1" w:styleId="Text1">
    <w:name w:val="Text 1"/>
    <w:basedOn w:val="Normal"/>
    <w:link w:val="Text1Char"/>
    <w:pPr>
      <w:widowControl/>
      <w:autoSpaceDE/>
      <w:autoSpaceDN/>
      <w:adjustRightInd/>
      <w:spacing w:after="240"/>
      <w:ind w:left="482"/>
      <w:jc w:val="both"/>
    </w:pPr>
    <w:rPr>
      <w:sz w:val="24"/>
      <w:lang w:eastAsia="en-US"/>
    </w:rPr>
  </w:style>
  <w:style w:type="character" w:customStyle="1" w:styleId="Text1Char">
    <w:name w:val="Text 1 Char"/>
    <w:link w:val="Text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Text2">
    <w:name w:val="Text 2"/>
    <w:basedOn w:val="Normal"/>
    <w:pPr>
      <w:widowControl/>
      <w:tabs>
        <w:tab w:val="left" w:pos="2302"/>
      </w:tabs>
      <w:autoSpaceDE/>
      <w:autoSpaceDN/>
      <w:adjustRightInd/>
      <w:spacing w:after="240"/>
      <w:ind w:left="1202"/>
      <w:jc w:val="both"/>
    </w:pPr>
    <w:rPr>
      <w:sz w:val="24"/>
      <w:lang w:eastAsia="en-US"/>
    </w:rPr>
  </w:style>
  <w:style w:type="paragraph" w:styleId="Closing">
    <w:name w:val="Closing"/>
    <w:basedOn w:val="Normal"/>
    <w:next w:val="Signature"/>
    <w:link w:val="ClosingChar"/>
    <w:pPr>
      <w:widowControl/>
      <w:tabs>
        <w:tab w:val="left" w:pos="5103"/>
      </w:tabs>
      <w:autoSpaceDE/>
      <w:autoSpaceDN/>
      <w:adjustRightInd/>
      <w:spacing w:before="240" w:after="240"/>
      <w:ind w:left="5103"/>
    </w:pPr>
    <w:rPr>
      <w:sz w:val="24"/>
      <w:lang w:eastAsia="en-US"/>
    </w:r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Times New Roman" w:eastAsia="Times New Roman" w:hAnsi="Times New Roman" w:cs="Times New Roman"/>
      <w:sz w:val="20"/>
      <w:szCs w:val="20"/>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noProof/>
      <w:color w:val="000000" w:themeColor="text1"/>
      <w:sz w:val="28"/>
      <w:szCs w:val="28"/>
      <w:lang w:eastAsia="en-GB"/>
    </w:rPr>
  </w:style>
  <w:style w:type="paragraph" w:styleId="TOCHeading">
    <w:name w:val="TOC Heading"/>
    <w:basedOn w:val="Heading1"/>
    <w:next w:val="Normal"/>
    <w:uiPriority w:val="39"/>
    <w:unhideWhenUsed/>
    <w:qFormat/>
    <w:pPr>
      <w:widowControl/>
      <w:numPr>
        <w:numId w:val="0"/>
      </w:numPr>
      <w:autoSpaceDE/>
      <w:autoSpaceDN/>
      <w:adjustRightInd/>
      <w:spacing w:line="276" w:lineRule="auto"/>
      <w:outlineLvl w:val="9"/>
    </w:pPr>
    <w:rPr>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0000" w:themeColor="text1"/>
      <w:sz w:val="28"/>
      <w:szCs w:val="26"/>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Cs/>
      <w:smallCaps/>
      <w:sz w:val="28"/>
      <w:szCs w:val="20"/>
      <w:lang w:eastAsia="en-GB"/>
    </w:rPr>
  </w:style>
  <w:style w:type="paragraph" w:styleId="TOC2">
    <w:name w:val="toc 2"/>
    <w:basedOn w:val="Normal"/>
    <w:next w:val="Normal"/>
    <w:autoRedefine/>
    <w:uiPriority w:val="39"/>
    <w:unhideWhenUsed/>
    <w:pPr>
      <w:tabs>
        <w:tab w:val="left" w:pos="880"/>
        <w:tab w:val="right" w:leader="dot" w:pos="9060"/>
      </w:tabs>
      <w:spacing w:after="100"/>
      <w:ind w:left="200" w:firstLine="226"/>
    </w:pPr>
  </w:style>
  <w:style w:type="paragraph" w:styleId="TOC3">
    <w:name w:val="toc 3"/>
    <w:basedOn w:val="Normal"/>
    <w:next w:val="Normal"/>
    <w:autoRedefine/>
    <w:uiPriority w:val="39"/>
    <w:unhideWhenUsed/>
    <w:pPr>
      <w:spacing w:after="100"/>
      <w:ind w:left="400"/>
    </w:pPr>
  </w:style>
  <w:style w:type="character" w:styleId="BookTitle">
    <w:name w:val="Book Title"/>
    <w:basedOn w:val="DefaultParagraphFont"/>
    <w:uiPriority w:val="33"/>
    <w:qFormat/>
    <w:rPr>
      <w:b/>
      <w:bCs/>
      <w:smallCaps/>
      <w:spacing w:val="5"/>
    </w:r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lassification">
    <w:name w:val="Declassification"/>
    <w:basedOn w:val="Normal"/>
    <w:next w:val="Normal"/>
    <w:pPr>
      <w:widowControl/>
      <w:autoSpaceDE/>
      <w:autoSpaceDN/>
      <w:adjustRightInd/>
      <w:jc w:val="both"/>
    </w:pPr>
    <w:rPr>
      <w:rFonts w:eastAsiaTheme="minorHAnsi"/>
      <w:sz w:val="24"/>
      <w:szCs w:val="22"/>
      <w:lang w:eastAsia="en-US"/>
    </w:rPr>
  </w:style>
  <w:style w:type="paragraph" w:customStyle="1" w:styleId="HeaderLandscape">
    <w:name w:val="HeaderLandscape"/>
    <w:basedOn w:val="Normal"/>
    <w:pPr>
      <w:widowControl/>
      <w:tabs>
        <w:tab w:val="center" w:pos="7285"/>
        <w:tab w:val="right" w:pos="14003"/>
      </w:tabs>
      <w:autoSpaceDE/>
      <w:autoSpaceDN/>
      <w:adjustRightInd/>
      <w:spacing w:after="120"/>
      <w:jc w:val="both"/>
    </w:pPr>
    <w:rPr>
      <w:rFonts w:eastAsiaTheme="minorHAnsi"/>
      <w:sz w:val="24"/>
      <w:szCs w:val="22"/>
      <w:lang w:eastAsia="en-US"/>
    </w:rPr>
  </w:style>
  <w:style w:type="paragraph" w:customStyle="1" w:styleId="HeaderSensitivity">
    <w:name w:val="Header Sensitivity"/>
    <w:basedOn w:val="Normal"/>
    <w:pPr>
      <w:widowControl/>
      <w:pBdr>
        <w:top w:val="single" w:sz="4" w:space="1" w:color="auto"/>
        <w:left w:val="single" w:sz="4" w:space="4" w:color="auto"/>
        <w:bottom w:val="single" w:sz="4" w:space="1" w:color="auto"/>
        <w:right w:val="single" w:sz="4" w:space="4" w:color="auto"/>
      </w:pBdr>
      <w:autoSpaceDE/>
      <w:autoSpaceDN/>
      <w:adjustRightInd/>
      <w:spacing w:after="120"/>
      <w:ind w:left="113" w:right="113"/>
      <w:jc w:val="center"/>
    </w:pPr>
    <w:rPr>
      <w:b/>
      <w:sz w:val="32"/>
    </w:rPr>
  </w:style>
  <w:style w:type="paragraph" w:customStyle="1" w:styleId="FooterLandscape">
    <w:name w:val="FooterLandscape"/>
    <w:basedOn w:val="Normal"/>
    <w:pPr>
      <w:widowControl/>
      <w:tabs>
        <w:tab w:val="center" w:pos="7285"/>
        <w:tab w:val="center" w:pos="10913"/>
        <w:tab w:val="right" w:pos="15137"/>
      </w:tabs>
      <w:autoSpaceDE/>
      <w:autoSpaceDN/>
      <w:adjustRightInd/>
      <w:spacing w:before="360"/>
      <w:ind w:left="-567" w:right="-567"/>
    </w:pPr>
    <w:rPr>
      <w:rFonts w:eastAsiaTheme="minorHAnsi"/>
      <w:sz w:val="24"/>
      <w:szCs w:val="22"/>
      <w:lang w:eastAsia="en-US"/>
    </w:rPr>
  </w:style>
  <w:style w:type="paragraph" w:customStyle="1" w:styleId="FooterSensitivity">
    <w:name w:val="Footer Sensitivity"/>
    <w:basedOn w:val="Normal"/>
    <w:pPr>
      <w:widowControl/>
      <w:pBdr>
        <w:top w:val="single" w:sz="4" w:space="1" w:color="auto"/>
        <w:left w:val="single" w:sz="4" w:space="4" w:color="auto"/>
        <w:bottom w:val="single" w:sz="4" w:space="1" w:color="auto"/>
        <w:right w:val="single" w:sz="4" w:space="4" w:color="auto"/>
      </w:pBdr>
      <w:autoSpaceDE/>
      <w:autoSpaceDN/>
      <w:adjustRightInd/>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pPr>
      <w:keepNext/>
      <w:keepLines/>
      <w:numPr>
        <w:numId w:val="2"/>
      </w:numPr>
      <w:spacing w:before="480" w:after="60"/>
      <w:outlineLvl w:val="0"/>
    </w:pPr>
    <w:rPr>
      <w:rFonts w:asciiTheme="majorHAnsi" w:eastAsiaTheme="majorEastAsia" w:hAnsiTheme="majorHAnsi" w:cstheme="majorBidi"/>
      <w:b/>
      <w:bCs/>
      <w:smallCaps/>
      <w:noProof/>
      <w:color w:val="000000" w:themeColor="text1"/>
      <w:sz w:val="28"/>
      <w:szCs w:val="28"/>
    </w:rPr>
  </w:style>
  <w:style w:type="paragraph" w:styleId="Heading2">
    <w:name w:val="heading 2"/>
    <w:basedOn w:val="Normal"/>
    <w:next w:val="Normal"/>
    <w:link w:val="Heading2Char"/>
    <w:uiPriority w:val="9"/>
    <w:unhideWhenUsed/>
    <w:qFormat/>
    <w:pPr>
      <w:keepNext/>
      <w:keepLines/>
      <w:numPr>
        <w:numId w:val="17"/>
      </w:numPr>
      <w:spacing w:before="200"/>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9"/>
    <w:unhideWhenUsed/>
    <w:qFormat/>
    <w:pPr>
      <w:keepNext/>
      <w:keepLines/>
      <w:numPr>
        <w:numId w:val="19"/>
      </w:numPr>
      <w:spacing w:before="200"/>
      <w:outlineLvl w:val="2"/>
    </w:pPr>
    <w:rPr>
      <w:rFonts w:asciiTheme="majorHAnsi" w:eastAsiaTheme="majorEastAsia" w:hAnsiTheme="majorHAnsi" w:cstheme="majorBidi"/>
      <w:bCs/>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autoSpaceDE/>
      <w:autoSpaceDN/>
      <w:adjustRightInd/>
      <w:jc w:val="both"/>
    </w:pPr>
    <w:rPr>
      <w:rFonts w:eastAsiaTheme="minorHAnsi"/>
      <w:sz w:val="24"/>
      <w:szCs w:val="22"/>
      <w:lang w:eastAsia="en-US"/>
    </w:rPr>
  </w:style>
  <w:style w:type="paragraph" w:styleId="Header">
    <w:name w:val="header"/>
    <w:basedOn w:val="Normal"/>
    <w:link w:val="HeaderChar"/>
    <w:uiPriority w:val="99"/>
    <w:unhideWhenUsed/>
    <w:pPr>
      <w:widowControl/>
      <w:tabs>
        <w:tab w:val="center" w:pos="4535"/>
        <w:tab w:val="right" w:pos="9071"/>
      </w:tabs>
      <w:autoSpaceDE/>
      <w:autoSpaceDN/>
      <w:adjustRightInd/>
      <w:spacing w:after="120"/>
      <w:jc w:val="both"/>
    </w:pPr>
    <w:rPr>
      <w:rFonts w:eastAsiaTheme="minorHAnsi"/>
      <w:sz w:val="24"/>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tabs>
        <w:tab w:val="center" w:pos="4535"/>
        <w:tab w:val="right" w:pos="9071"/>
        <w:tab w:val="right" w:pos="9921"/>
      </w:tabs>
      <w:autoSpaceDE/>
      <w:autoSpaceDN/>
      <w:adjustRightInd/>
      <w:spacing w:before="360"/>
      <w:ind w:left="-850" w:right="-850"/>
    </w:pPr>
    <w:rPr>
      <w:rFonts w:eastAsiaTheme="minorHAnsi"/>
      <w:sz w:val="24"/>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pPr>
      <w:tabs>
        <w:tab w:val="center" w:pos="4535"/>
        <w:tab w:val="right" w:pos="9071"/>
      </w:tabs>
      <w:spacing w:after="120"/>
      <w:jc w:val="both"/>
    </w:pPr>
    <w:rPr>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after="200"/>
    </w:pPr>
    <w:rPr>
      <w:b/>
      <w:bCs/>
      <w:color w:val="4F81BD" w:themeColor="accent1"/>
      <w:sz w:val="18"/>
      <w:szCs w:val="18"/>
    </w:rPr>
  </w:style>
  <w:style w:type="paragraph" w:customStyle="1" w:styleId="Text1">
    <w:name w:val="Text 1"/>
    <w:basedOn w:val="Normal"/>
    <w:link w:val="Text1Char"/>
    <w:pPr>
      <w:widowControl/>
      <w:autoSpaceDE/>
      <w:autoSpaceDN/>
      <w:adjustRightInd/>
      <w:spacing w:after="240"/>
      <w:ind w:left="482"/>
      <w:jc w:val="both"/>
    </w:pPr>
    <w:rPr>
      <w:sz w:val="24"/>
      <w:lang w:eastAsia="en-US"/>
    </w:rPr>
  </w:style>
  <w:style w:type="character" w:customStyle="1" w:styleId="Text1Char">
    <w:name w:val="Text 1 Char"/>
    <w:link w:val="Text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Text2">
    <w:name w:val="Text 2"/>
    <w:basedOn w:val="Normal"/>
    <w:pPr>
      <w:widowControl/>
      <w:tabs>
        <w:tab w:val="left" w:pos="2302"/>
      </w:tabs>
      <w:autoSpaceDE/>
      <w:autoSpaceDN/>
      <w:adjustRightInd/>
      <w:spacing w:after="240"/>
      <w:ind w:left="1202"/>
      <w:jc w:val="both"/>
    </w:pPr>
    <w:rPr>
      <w:sz w:val="24"/>
      <w:lang w:eastAsia="en-US"/>
    </w:rPr>
  </w:style>
  <w:style w:type="paragraph" w:styleId="Closing">
    <w:name w:val="Closing"/>
    <w:basedOn w:val="Normal"/>
    <w:next w:val="Signature"/>
    <w:link w:val="ClosingChar"/>
    <w:pPr>
      <w:widowControl/>
      <w:tabs>
        <w:tab w:val="left" w:pos="5103"/>
      </w:tabs>
      <w:autoSpaceDE/>
      <w:autoSpaceDN/>
      <w:adjustRightInd/>
      <w:spacing w:before="240" w:after="240"/>
      <w:ind w:left="5103"/>
    </w:pPr>
    <w:rPr>
      <w:sz w:val="24"/>
      <w:lang w:eastAsia="en-US"/>
    </w:r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Times New Roman" w:eastAsia="Times New Roman" w:hAnsi="Times New Roman" w:cs="Times New Roman"/>
      <w:sz w:val="20"/>
      <w:szCs w:val="20"/>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noProof/>
      <w:color w:val="000000" w:themeColor="text1"/>
      <w:sz w:val="28"/>
      <w:szCs w:val="28"/>
      <w:lang w:eastAsia="en-GB"/>
    </w:rPr>
  </w:style>
  <w:style w:type="paragraph" w:styleId="TOCHeading">
    <w:name w:val="TOC Heading"/>
    <w:basedOn w:val="Heading1"/>
    <w:next w:val="Normal"/>
    <w:uiPriority w:val="39"/>
    <w:unhideWhenUsed/>
    <w:qFormat/>
    <w:pPr>
      <w:widowControl/>
      <w:numPr>
        <w:numId w:val="0"/>
      </w:numPr>
      <w:autoSpaceDE/>
      <w:autoSpaceDN/>
      <w:adjustRightInd/>
      <w:spacing w:line="276" w:lineRule="auto"/>
      <w:outlineLvl w:val="9"/>
    </w:pPr>
    <w:rPr>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0000" w:themeColor="text1"/>
      <w:sz w:val="28"/>
      <w:szCs w:val="26"/>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Cs/>
      <w:smallCaps/>
      <w:sz w:val="28"/>
      <w:szCs w:val="20"/>
      <w:lang w:eastAsia="en-GB"/>
    </w:rPr>
  </w:style>
  <w:style w:type="paragraph" w:styleId="TOC2">
    <w:name w:val="toc 2"/>
    <w:basedOn w:val="Normal"/>
    <w:next w:val="Normal"/>
    <w:autoRedefine/>
    <w:uiPriority w:val="39"/>
    <w:unhideWhenUsed/>
    <w:pPr>
      <w:tabs>
        <w:tab w:val="left" w:pos="880"/>
        <w:tab w:val="right" w:leader="dot" w:pos="9060"/>
      </w:tabs>
      <w:spacing w:after="100"/>
      <w:ind w:left="200" w:firstLine="226"/>
    </w:pPr>
  </w:style>
  <w:style w:type="paragraph" w:styleId="TOC3">
    <w:name w:val="toc 3"/>
    <w:basedOn w:val="Normal"/>
    <w:next w:val="Normal"/>
    <w:autoRedefine/>
    <w:uiPriority w:val="39"/>
    <w:unhideWhenUsed/>
    <w:pPr>
      <w:spacing w:after="100"/>
      <w:ind w:left="400"/>
    </w:pPr>
  </w:style>
  <w:style w:type="character" w:styleId="BookTitle">
    <w:name w:val="Book Title"/>
    <w:basedOn w:val="DefaultParagraphFont"/>
    <w:uiPriority w:val="33"/>
    <w:qFormat/>
    <w:rPr>
      <w:b/>
      <w:bCs/>
      <w:smallCaps/>
      <w:spacing w:val="5"/>
    </w:r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lassification">
    <w:name w:val="Declassification"/>
    <w:basedOn w:val="Normal"/>
    <w:next w:val="Normal"/>
    <w:pPr>
      <w:widowControl/>
      <w:autoSpaceDE/>
      <w:autoSpaceDN/>
      <w:adjustRightInd/>
      <w:jc w:val="both"/>
    </w:pPr>
    <w:rPr>
      <w:rFonts w:eastAsiaTheme="minorHAnsi"/>
      <w:sz w:val="24"/>
      <w:szCs w:val="22"/>
      <w:lang w:eastAsia="en-US"/>
    </w:rPr>
  </w:style>
  <w:style w:type="paragraph" w:customStyle="1" w:styleId="HeaderLandscape">
    <w:name w:val="HeaderLandscape"/>
    <w:basedOn w:val="Normal"/>
    <w:pPr>
      <w:widowControl/>
      <w:tabs>
        <w:tab w:val="center" w:pos="7285"/>
        <w:tab w:val="right" w:pos="14003"/>
      </w:tabs>
      <w:autoSpaceDE/>
      <w:autoSpaceDN/>
      <w:adjustRightInd/>
      <w:spacing w:after="120"/>
      <w:jc w:val="both"/>
    </w:pPr>
    <w:rPr>
      <w:rFonts w:eastAsiaTheme="minorHAnsi"/>
      <w:sz w:val="24"/>
      <w:szCs w:val="22"/>
      <w:lang w:eastAsia="en-US"/>
    </w:rPr>
  </w:style>
  <w:style w:type="paragraph" w:customStyle="1" w:styleId="HeaderSensitivity">
    <w:name w:val="Header Sensitivity"/>
    <w:basedOn w:val="Normal"/>
    <w:pPr>
      <w:widowControl/>
      <w:pBdr>
        <w:top w:val="single" w:sz="4" w:space="1" w:color="auto"/>
        <w:left w:val="single" w:sz="4" w:space="4" w:color="auto"/>
        <w:bottom w:val="single" w:sz="4" w:space="1" w:color="auto"/>
        <w:right w:val="single" w:sz="4" w:space="4" w:color="auto"/>
      </w:pBdr>
      <w:autoSpaceDE/>
      <w:autoSpaceDN/>
      <w:adjustRightInd/>
      <w:spacing w:after="120"/>
      <w:ind w:left="113" w:right="113"/>
      <w:jc w:val="center"/>
    </w:pPr>
    <w:rPr>
      <w:b/>
      <w:sz w:val="32"/>
    </w:rPr>
  </w:style>
  <w:style w:type="paragraph" w:customStyle="1" w:styleId="FooterLandscape">
    <w:name w:val="FooterLandscape"/>
    <w:basedOn w:val="Normal"/>
    <w:pPr>
      <w:widowControl/>
      <w:tabs>
        <w:tab w:val="center" w:pos="7285"/>
        <w:tab w:val="center" w:pos="10913"/>
        <w:tab w:val="right" w:pos="15137"/>
      </w:tabs>
      <w:autoSpaceDE/>
      <w:autoSpaceDN/>
      <w:adjustRightInd/>
      <w:spacing w:before="360"/>
      <w:ind w:left="-567" w:right="-567"/>
    </w:pPr>
    <w:rPr>
      <w:rFonts w:eastAsiaTheme="minorHAnsi"/>
      <w:sz w:val="24"/>
      <w:szCs w:val="22"/>
      <w:lang w:eastAsia="en-US"/>
    </w:rPr>
  </w:style>
  <w:style w:type="paragraph" w:customStyle="1" w:styleId="FooterSensitivity">
    <w:name w:val="Footer Sensitivity"/>
    <w:basedOn w:val="Normal"/>
    <w:pPr>
      <w:widowControl/>
      <w:pBdr>
        <w:top w:val="single" w:sz="4" w:space="1" w:color="auto"/>
        <w:left w:val="single" w:sz="4" w:space="4" w:color="auto"/>
        <w:bottom w:val="single" w:sz="4" w:space="1" w:color="auto"/>
        <w:right w:val="single" w:sz="4" w:space="4" w:color="auto"/>
      </w:pBdr>
      <w:autoSpaceDE/>
      <w:autoSpaceDN/>
      <w:adjustRightInd/>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607684">
      <w:bodyDiv w:val="1"/>
      <w:marLeft w:val="0"/>
      <w:marRight w:val="0"/>
      <w:marTop w:val="0"/>
      <w:marBottom w:val="0"/>
      <w:divBdr>
        <w:top w:val="none" w:sz="0" w:space="0" w:color="auto"/>
        <w:left w:val="none" w:sz="0" w:space="0" w:color="auto"/>
        <w:bottom w:val="none" w:sz="0" w:space="0" w:color="auto"/>
        <w:right w:val="none" w:sz="0" w:space="0" w:color="auto"/>
      </w:divBdr>
    </w:div>
    <w:div w:id="1105543661">
      <w:bodyDiv w:val="1"/>
      <w:marLeft w:val="0"/>
      <w:marRight w:val="0"/>
      <w:marTop w:val="0"/>
      <w:marBottom w:val="0"/>
      <w:divBdr>
        <w:top w:val="none" w:sz="0" w:space="0" w:color="auto"/>
        <w:left w:val="none" w:sz="0" w:space="0" w:color="auto"/>
        <w:bottom w:val="none" w:sz="0" w:space="0" w:color="auto"/>
        <w:right w:val="none" w:sz="0" w:space="0" w:color="auto"/>
      </w:divBdr>
    </w:div>
    <w:div w:id="1163742039">
      <w:bodyDiv w:val="1"/>
      <w:marLeft w:val="0"/>
      <w:marRight w:val="0"/>
      <w:marTop w:val="0"/>
      <w:marBottom w:val="0"/>
      <w:divBdr>
        <w:top w:val="none" w:sz="0" w:space="0" w:color="auto"/>
        <w:left w:val="none" w:sz="0" w:space="0" w:color="auto"/>
        <w:bottom w:val="none" w:sz="0" w:space="0" w:color="auto"/>
        <w:right w:val="none" w:sz="0" w:space="0" w:color="auto"/>
      </w:divBdr>
    </w:div>
    <w:div w:id="1502503913">
      <w:bodyDiv w:val="1"/>
      <w:marLeft w:val="0"/>
      <w:marRight w:val="0"/>
      <w:marTop w:val="0"/>
      <w:marBottom w:val="0"/>
      <w:divBdr>
        <w:top w:val="none" w:sz="0" w:space="0" w:color="auto"/>
        <w:left w:val="none" w:sz="0" w:space="0" w:color="auto"/>
        <w:bottom w:val="none" w:sz="0" w:space="0" w:color="auto"/>
        <w:right w:val="none" w:sz="0" w:space="0" w:color="auto"/>
      </w:divBdr>
    </w:div>
    <w:div w:id="15947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chart" Target="charts/chart1.xm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3.emf"/><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chart" Target="charts/chart2.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net1.cec.eu.int\Homes\101\PAVANLA\Risk%20and%20Performance%20Report%20Working%20File_AIM_final_RTG_Dec.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2.xml"/><Relationship Id="rId1" Type="http://schemas.openxmlformats.org/officeDocument/2006/relationships/oleObject" Target="file:///\\net1.cec.eu.int\ECFIN\L\3\RISK%20MANAGEMENT\Back%20up%20old%20structure\RISK%20MANAGEMENT\folders%20%20for%20%20verification\TMC%20-%20TMB\TMC_Reporting\2018\December\Risk%20and%20Performance%20Report%20Working%20File_AIM_final_RTG_Dec.xlsx" TargetMode="Externa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740638552256437"/>
          <c:y val="0.18322394766311897"/>
          <c:w val="0.36043077162524501"/>
          <c:h val="0.71428346106191443"/>
        </c:manualLayout>
      </c:layout>
      <c:pieChart>
        <c:varyColors val="1"/>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904838966371948"/>
          <c:y val="0.12255996153633951"/>
          <c:w val="0.30583357888748997"/>
          <c:h val="0.76489008693733107"/>
        </c:manualLayout>
      </c:layout>
      <c:pieChart>
        <c:varyColors val="1"/>
        <c:dLbls>
          <c:dLblPos val="outEnd"/>
          <c:showLegendKey val="0"/>
          <c:showVal val="0"/>
          <c:showCatName val="1"/>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238095" cy="3219048"/>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preferRelativeResize="0">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310800" cy="253803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682a6ebd-b295-4efd-938e-7e26ec0e4a02">EN</EC_Collab_DocumentLanguage>
    <EC_Collab_Reference xmlns="682a6ebd-b295-4efd-938e-7e26ec0e4a02" xsi:nil="true"/>
    <EC_Collab_Status xmlns="682a6ebd-b295-4efd-938e-7e26ec0e4a02">Not Started</EC_Collab_Status>
    <EC_ARES_DATE_TRANSFERRED xmlns="682a6ebd-b295-4efd-938e-7e26ec0e4a02" xsi:nil="true"/>
    <EC_ARES_NUMBER xmlns="682a6ebd-b295-4efd-938e-7e26ec0e4a02">
      <Url xsi:nil="true"/>
      <Description xsi:nil="true"/>
    </EC_ARES_NUMBER>
    <Target_x0020_Audiences xmlns="682a6ebd-b295-4efd-938e-7e26ec0e4a02" xsi:nil="true"/>
    <EC_ARES_TRANSFERRED_BY xmlns="682a6ebd-b295-4efd-938e-7e26ec0e4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6DBBE4080A42C4C92384E6ED6E65D72" ma:contentTypeVersion="5" ma:contentTypeDescription="Create a new document in this library." ma:contentTypeScope="" ma:versionID="5df73a2c87b55813fd5254994540543a">
  <xsd:schema xmlns:xsd="http://www.w3.org/2001/XMLSchema" xmlns:xs="http://www.w3.org/2001/XMLSchema" xmlns:p="http://schemas.microsoft.com/office/2006/metadata/properties" xmlns:ns3="682a6ebd-b295-4efd-938e-7e26ec0e4a02" targetNamespace="http://schemas.microsoft.com/office/2006/metadata/properties" ma:root="true" ma:fieldsID="e00d8e8d473367c27dca0cc356b53803" ns3:_="">
    <xsd:import namespace="682a6ebd-b295-4efd-938e-7e26ec0e4a02"/>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3: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a6ebd-b295-4efd-938e-7e26ec0e4a0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element name="Target_x0020_Audiences" ma:index="1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E3112-1D22-4BAE-87C4-0846D351D5F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682a6ebd-b295-4efd-938e-7e26ec0e4a02"/>
    <ds:schemaRef ds:uri="http://www.w3.org/XML/1998/namespace"/>
    <ds:schemaRef ds:uri="http://purl.org/dc/dcmitype/"/>
  </ds:schemaRefs>
</ds:datastoreItem>
</file>

<file path=customXml/itemProps2.xml><?xml version="1.0" encoding="utf-8"?>
<ds:datastoreItem xmlns:ds="http://schemas.openxmlformats.org/officeDocument/2006/customXml" ds:itemID="{40F7C13F-F54F-4D48-83AB-70F9F037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a6ebd-b295-4efd-938e-7e26ec0e4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80680-8166-4E4A-923D-3BEC263CB6D6}">
  <ds:schemaRefs>
    <ds:schemaRef ds:uri="http://schemas.microsoft.com/sharepoint/v3/contenttype/forms"/>
  </ds:schemaRefs>
</ds:datastoreItem>
</file>

<file path=customXml/itemProps4.xml><?xml version="1.0" encoding="utf-8"?>
<ds:datastoreItem xmlns:ds="http://schemas.openxmlformats.org/officeDocument/2006/customXml" ds:itemID="{86D9774A-F57A-4272-A31F-1FBCF124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1537</Words>
  <Characters>7566</Characters>
  <Application>Microsoft Office Word</Application>
  <DocSecurity>0</DocSecurity>
  <Lines>445</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18</cp:revision>
  <cp:lastPrinted>2018-03-21T10:54:00Z</cp:lastPrinted>
  <dcterms:created xsi:type="dcterms:W3CDTF">2019-05-03T13:58:00Z</dcterms:created>
  <dcterms:modified xsi:type="dcterms:W3CDTF">2019-05-22T15:47:00Z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ontentTypeId">
    <vt:lpwstr>0x010100258AA79CEB83498886A3A0868112325000B6DBBE4080A42C4C92384E6ED6E65D72</vt:lpwstr>
  </property>
  <property fmtid="{D5CDD505-2E9C-101B-9397-08002B2CF9AE}" pid="5" name="DocStatus">
    <vt:lpwstr>Green</vt:lpwstr>
  </property>
  <property fmtid="{D5CDD505-2E9C-101B-9397-08002B2CF9AE}" pid="6" name="Level of sensitivity">
    <vt:lpwstr>Standard treatment</vt:lpwstr>
  </property>
  <property fmtid="{D5CDD505-2E9C-101B-9397-08002B2CF9AE}" pid="7" name="Last edited using">
    <vt:lpwstr>LW 6.0.1, Build 20180503</vt:lpwstr>
  </property>
  <property fmtid="{D5CDD505-2E9C-101B-9397-08002B2CF9AE}" pid="8" name="Created using">
    <vt:lpwstr>LW 6.0.1, Build 20180503</vt:lpwstr>
  </property>
</Properties>
</file>