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C12B98-9C6D-4946-BA7E-3BD446B8DC95"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 бюджетен ред 33 02 03 01 „Дружествено право“, вписани в общия бюджет на Европейския съюз за финансовата 2019 година.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r>
      <w:r>
        <w:rPr>
          <w:noProof/>
          <w:spacing w:val="-6"/>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Предложението се основава на член 114 от ДФЕС във връзка с член 218, параграф 9 от него. 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pBdr>
          <w:top w:val="nil"/>
          <w:left w:val="nil"/>
          <w:bottom w:val="nil"/>
          <w:right w:val="nil"/>
          <w:between w:val="nil"/>
          <w:bar w:val="nil"/>
        </w:pBdr>
        <w:spacing w:before="0" w:after="240"/>
        <w:rPr>
          <w:rFonts w:eastAsia="Arial Unicode MS"/>
          <w:noProof/>
        </w:rPr>
      </w:pPr>
      <w:r>
        <w:rPr>
          <w:noProof/>
          <w:color w:val="000000"/>
          <w:szCs w:val="24"/>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color w:val="000000"/>
          <w:szCs w:val="24"/>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Членуващите в ЕИП държави от ЕАСТ участват финансово в бюджета на Съюза, бюджетен ред 33 02 03 01: „Дружествено право“.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pBdr>
          <w:top w:val="nil"/>
          <w:left w:val="nil"/>
          <w:bottom w:val="nil"/>
          <w:right w:val="nil"/>
          <w:between w:val="nil"/>
          <w:bar w:val="nil"/>
        </w:pBd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за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(бюджетен ред 33 02 03 01 — Дружествено право)</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протокол 31 към Споразумението за ЕИП.</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дружественото право.</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се осъществява, считано от 1 януари 2019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rPr>
          <w:noProof/>
        </w:rPr>
      </w:pPr>
    </w:p>
    <w:p>
      <w:pPr>
        <w:pStyle w:val="Titrearticle"/>
        <w:rPr>
          <w:noProof/>
        </w:rPr>
      </w:pPr>
      <w:r>
        <w:rPr>
          <w:noProof/>
        </w:rPr>
        <w:t>Член 2</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FCE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A4CF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7895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9AB4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AE27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8C6E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E2C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F3C57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22"/>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5: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C12B98-9C6D-4946-BA7E-3BD446B8DC95"/>
    <w:docVar w:name="LW_COVERPAGE_TYPE" w:val="1"/>
    <w:docVar w:name="LW_CROSSREFERENCE" w:val="&lt;UNUSED&gt;"/>
    <w:docVar w:name="LW_DocType" w:val="COM"/>
    <w:docVar w:name="LW_EMISSION" w:val="27.5.2019"/>
    <w:docVar w:name="LW_EMISSION_ISODATE" w:val="2019-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5"/>
    <w:docVar w:name="LW_REF.II.NEW.CP_YEAR" w:val="2019"/>
    <w:docVar w:name="LW_REF.INST.NEW" w:val="COM"/>
    <w:docVar w:name="LW_REF.INST.NEW_ADOPTED" w:val="final"/>
    <w:docVar w:name="LW_REF.INST.NEW_TEXT" w:val="(2019)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9?\u1072?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73?\u1102?\u1076?\u1078?\u1077?\u1090?\u1077?\u1085? \u1088?\u1077?\u1076? 33 02 03 01 \u8212? \u1044?\u1088?\u1091?\u1078?\u1077?\u1089?\u1090?\u1074?\u1077?\u1085?\u1086? \u1087?\u1088?\u1072?\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6</TotalTime>
  <Pages>5</Pages>
  <Words>1034</Words>
  <Characters>5699</Characters>
  <Application>Microsoft Office Word</Application>
  <DocSecurity>0</DocSecurity>
  <Lines>121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2019-05-21T07:14:00Z</dcterms:created>
  <dcterms:modified xsi:type="dcterms:W3CDTF">2019-05-22T14:35:00Z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