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388E122-2C42-486B-80D6-1F052EEBFF56" style="width:450.75pt;height:450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Le projet de décision (joint à la proposition de décision du Conseil) du Comité mixte de l'Espace économique européen (EEE) vise à modifier le protocole 31 de l'accord EEE concernant la «coopération dans des secteurs particuliers en dehors des quatre libertés» afin de permettre aux États de l’AELE membres de l’EEE de continuer à participer à l’action préparatoire de l’Union concernant la recherche en matière de défense (ci-après l’«action préparatoire») au cours de l’exercice 2019. </w:t>
      </w:r>
    </w:p>
    <w:p>
      <w:pPr>
        <w:pBdr>
          <w:top w:val="nil"/>
          <w:left w:val="nil"/>
          <w:bottom w:val="nil"/>
          <w:right w:val="nil"/>
          <w:between w:val="nil"/>
          <w:bar w:val="nil"/>
        </w:pBdr>
        <w:spacing w:before="0" w:after="240"/>
        <w:rPr>
          <w:rFonts w:eastAsia="Arial Unicode MS"/>
          <w:noProof/>
        </w:rPr>
      </w:pPr>
      <w:r>
        <w:rPr>
          <w:noProof/>
        </w:rPr>
        <w:t>Le Liechtenstein et l’Islande n’ayant pas manifesté leur intérêt à participer à cette action préparatoire, le projet de décision du Comité mixte de l’EEE ne concerne donc que la Norvège.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L’article 78 de l’accord EEE dispose que les parties contractantes renforcent et étendent leur coopération dans le cadre des activités menées par l’UE, dans les domaines de la recherche et du développement technologique. La Commission, qui finance actuellement des actions de recherche et de développement à usage exclusivement civil ou à double usage au moyen de son programme Horizon 2020, considère l’action préparatoire comme un instrument majeur pour déterminer la valeur ajoutée de la recherche liée à la défense financée sur le budget de l’Union. </w:t>
      </w:r>
    </w:p>
    <w:p>
      <w:pPr>
        <w:pBdr>
          <w:top w:val="nil"/>
          <w:left w:val="nil"/>
          <w:bottom w:val="nil"/>
          <w:right w:val="nil"/>
          <w:between w:val="nil"/>
          <w:bar w:val="nil"/>
        </w:pBdr>
        <w:spacing w:before="0" w:after="240"/>
        <w:rPr>
          <w:noProof/>
        </w:rPr>
      </w:pPr>
      <w:r>
        <w:rPr>
          <w:noProof/>
        </w:rPr>
        <w:t>La Norvège a déjà participé à l’action préparatoire au cours de l’exercice précédent (2018). En outre, dès 2014, elle i) avait conclu un accord de coopération avec l’Agence européenne de défense, et ii) la directive connexe sur la passation de marchés dans les domaines de la défense et de la sécurité (2009/81/CE) avait été intégrée dans l’accord EEE.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 xml:space="preserve">La coopération dans le domaine de la recherche en matière de défense dans le secteur des technologies, produits et services innovants est primordiale pour préserver la compétitivité à long terme du secteur de la défense et pour garantir, en définitive, l’autonomie stratégique de l’Europe. En conséquence, la coopération avec la Norvège contribue de manière positive aux efforts déployés par l’UE dans ce domaine. </w:t>
      </w:r>
    </w:p>
    <w:p>
      <w:pPr>
        <w:pBdr>
          <w:top w:val="nil"/>
          <w:left w:val="nil"/>
          <w:bottom w:val="nil"/>
          <w:right w:val="nil"/>
          <w:between w:val="nil"/>
          <w:bar w:val="nil"/>
        </w:pBdr>
        <w:spacing w:before="0" w:after="240"/>
        <w:rPr>
          <w:rFonts w:eastAsia="Arial Unicode MS"/>
          <w:noProof/>
        </w:rPr>
      </w:pPr>
      <w:r>
        <w:rPr>
          <w:noProof/>
        </w:rPr>
        <w:t>La Commission reconnaît que l’action préparatoire s’inscrit dans le cadre de ses politiques concernant le marché intérieur, l’industrie et la recherche. L’approfondissement de la coopération dans ce domaine est donc conforme aux objectifs de l’accord EEE.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color w:val="000000"/>
        </w:rPr>
      </w:pPr>
      <w:r>
        <w:rPr>
          <w:noProof/>
        </w:rPr>
        <w:t>La base juridique est constituée par l'article 58, paragraphe 2, point b), l’article 110, paragraphe 1, et l’article 181 du 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w:t>
      </w:r>
      <w:r>
        <w:rPr>
          <w:rStyle w:val="FootnoteReference"/>
          <w:noProof/>
        </w:rPr>
        <w:footnoteReference w:id="1"/>
      </w:r>
      <w:r>
        <w:rPr>
          <w:noProof/>
        </w:rPr>
        <w:t>, en liaison avec l’article 218, paragraphe 9, du traité sur le fonctionnement de l’Union européenne et avec 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2"/>
      </w:r>
      <w:r>
        <w:rPr>
          <w:noProof/>
        </w:rPr>
        <w:t xml:space="preserve"> prévoyant que le Conseil établit, sur proposition de la Commission, la position à prendre au nom de l’Union à l’égard de décisions de ce type.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cs="EUAlbertina"/>
          <w:noProof/>
          <w:color w:val="000000"/>
        </w:rPr>
      </w:pPr>
      <w:r>
        <w:rPr>
          <w:noProof/>
        </w:rPr>
        <w:t xml:space="preserve">La proposition respecte le principe de subsidiarité pour la raison exposée ci-après. </w:t>
      </w:r>
    </w:p>
    <w:p>
      <w:pPr>
        <w:pBdr>
          <w:top w:val="nil"/>
          <w:left w:val="nil"/>
          <w:bottom w:val="nil"/>
          <w:right w:val="nil"/>
          <w:between w:val="nil"/>
          <w:bar w:val="nil"/>
        </w:pBdr>
        <w:spacing w:before="0" w:after="240"/>
        <w:rPr>
          <w:rFonts w:eastAsia="Arial Unicode MS"/>
          <w:noProof/>
        </w:rPr>
      </w:pPr>
      <w:r>
        <w:rPr>
          <w:noProof/>
          <w:color w:val="000000"/>
        </w:rPr>
        <w:t>L’objectif de la présente proposition, qui est de poursuivre la coopération dans le domaine de la recherche en matière de défense avec les États de l’AELE membres de l’EEE à travers leur participation à une action préparatoire financée par le budget de l’UE,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color w:val="000000"/>
        </w:rPr>
        <w:t>Conformément au principe de proportionnalité, la proposition n'excède pas ce qui est nécessaire pour atteindre son objectif - qui est de renforcer et d'étendre la coopération dans le cadre des activités menées par l’UE dans les domaines de la recherche et du développement technologique.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rPr>
      </w:pPr>
      <w:r>
        <w:rPr>
          <w:b w:val="0"/>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Norvège contribuera financièrement à la ligne budgétaire 02 04 77 03 «Action préparatoire concernant la recherche en matière de défense». Le montant exact sera déterminé dès que la présente décision du Conseil aura été adoptée.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spacing w:before="0" w:after="240"/>
        <w:rPr>
          <w:noProof/>
        </w:rPr>
      </w:pPr>
      <w:r>
        <w:rPr>
          <w:noProof/>
        </w:rPr>
        <w:t>Conformément à la politique budgétaire de l’UE, toute participation à une activité de l’UE ne peut avoir lieu qu’une fois que la contribution financière correspondante a été versée. Le paiement pourra cependant être effectué une fois que le présent projet de décision du Conseil aura été adopté et que l’appel de fonds ultérieur de l’UE lancé par la Commission européenne aura été présenté aux États de l’AELE membres de l’EEE.</w:t>
      </w:r>
    </w:p>
    <w:p>
      <w:pPr>
        <w:spacing w:before="0" w:after="240"/>
        <w:rPr>
          <w:noProof/>
        </w:rPr>
      </w:pPr>
      <w:r>
        <w:rPr>
          <w:noProof/>
        </w:rPr>
        <w:t xml:space="preserve">Dès lors, afin de couvrir la période comprise entre janvier 2019 et la réception du paiement correspondant, le projet de décision du Comité mixte devra être applicable rétroactivement à compter du mois de janvier 2019. </w:t>
      </w:r>
    </w:p>
    <w:p>
      <w:pPr>
        <w:pBdr>
          <w:top w:val="nil"/>
          <w:left w:val="nil"/>
          <w:bottom w:val="nil"/>
          <w:right w:val="nil"/>
          <w:between w:val="nil"/>
          <w:bar w:val="nil"/>
        </w:pBdr>
        <w:spacing w:before="0" w:after="240"/>
        <w:rPr>
          <w:rFonts w:eastAsia="Arial Unicode MS"/>
          <w:noProof/>
        </w:rPr>
      </w:pPr>
      <w:r>
        <w:rPr>
          <w:noProof/>
        </w:rPr>
        <w:t>Le caractère rétroactif ne porte pas atteinte aux droits et obligations des personnes concernées et respecte le principe de la confiance légitime.</w:t>
      </w:r>
    </w:p>
    <w:p>
      <w:pPr>
        <w:pStyle w:val="ManualHeading2"/>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2019/0120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l'EEE au sujet d’une modification du protocole 31 de l'accord EEE concernant la coopération dans des secteurs particuliers en dehors des quatre libertés</w:t>
      </w:r>
      <w:r>
        <w:rPr>
          <w:noProof/>
        </w:rPr>
        <w:br/>
      </w:r>
      <w:r>
        <w:rPr>
          <w:noProof/>
        </w:rPr>
        <w:br/>
        <w:t>(Ligne budgétaire 02 04 77 03 – Action préparatoire concernant la recherche en matière de défense)</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le règlement (UE, Euratom)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nº 966/2012</w:t>
      </w:r>
      <w:r>
        <w:rPr>
          <w:rStyle w:val="FootnoteReference"/>
          <w:noProof/>
        </w:rPr>
        <w:footnoteReference w:id="4"/>
      </w:r>
      <w:r>
        <w:rPr>
          <w:noProof/>
        </w:rPr>
        <w:t xml:space="preserve">, et notamment son article 58, paragraphe 2, point b), son article 110, paragraphe 1, et son article 181,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5"/>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 xml:space="preserve">Conformément à l'article 98 de l'accord EEE, le Comité mixte de l'EEE peut décider de modifier, entre autres, le protocole 31 dudit accord. </w:t>
      </w:r>
    </w:p>
    <w:p>
      <w:pPr>
        <w:pStyle w:val="ManualConsidrant"/>
        <w:rPr>
          <w:noProof/>
        </w:rPr>
      </w:pPr>
      <w:r>
        <w:t>(3)</w:t>
      </w:r>
      <w:r>
        <w:tab/>
      </w:r>
      <w:r>
        <w:rPr>
          <w:noProof/>
        </w:rPr>
        <w:t>Le protocole 31 de l'accord EEE comprend des dispositions concernant la coopération dans des secteurs particuliers en dehors des quatre libertés.</w:t>
      </w:r>
    </w:p>
    <w:p>
      <w:pPr>
        <w:pStyle w:val="ManualConsidrant"/>
        <w:rPr>
          <w:noProof/>
        </w:rPr>
      </w:pPr>
      <w:r>
        <w:t>(4)</w:t>
      </w:r>
      <w:r>
        <w:tab/>
      </w:r>
      <w:r>
        <w:rPr>
          <w:noProof/>
        </w:rPr>
        <w:t>Les États de l’AELE continuent de participer aux activités de l’Union relevant de la ligne budgétaire 02 04 77 03 (Action préparatoire concernant la recherche en matière de défense) du budget général de l’Union européenne pour l’exercice 2019.</w:t>
      </w:r>
    </w:p>
    <w:p>
      <w:pPr>
        <w:pStyle w:val="ManualConsidrant"/>
        <w:rPr>
          <w:noProof/>
        </w:rPr>
      </w:pPr>
      <w:r>
        <w:t>(5)</w:t>
      </w:r>
      <w:r>
        <w:tab/>
      </w:r>
      <w:r>
        <w:rPr>
          <w:noProof/>
        </w:rPr>
        <w:t>Il convient, dès lors, de modifier le protocole 31 de l'accord EEE afin que cette coopération élargie puisse être poursuivie à compter du 1</w:t>
      </w:r>
      <w:r>
        <w:rPr>
          <w:noProof/>
          <w:vertAlign w:val="superscript"/>
        </w:rPr>
        <w:t>er</w:t>
      </w:r>
      <w:r>
        <w:rPr>
          <w:noProof/>
        </w:rPr>
        <w:t xml:space="preserve"> janvier 2018.</w:t>
      </w:r>
    </w:p>
    <w:p>
      <w:pPr>
        <w:pStyle w:val="ManualConsidrant"/>
        <w:rPr>
          <w:noProof/>
        </w:rPr>
      </w:pPr>
      <w:r>
        <w:t>(6)</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relative à la modification qu'il est proposé d'apporter au protocole 31 de l'accord EEE concernant la coopération dans des secteurs particuliers en dehors des quatre libertés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193 du 30.7.2018, p. 1.</w:t>
      </w:r>
    </w:p>
  </w:footnote>
  <w:footnote w:id="2">
    <w:p>
      <w:pPr>
        <w:pStyle w:val="FootnoteText"/>
        <w:rPr>
          <w:lang w:val="pl-PL"/>
        </w:rPr>
      </w:pPr>
      <w:r>
        <w:rPr>
          <w:rStyle w:val="FootnoteReference"/>
        </w:rPr>
        <w:footnoteRef/>
      </w:r>
      <w:r>
        <w:tab/>
        <w:t>JO L 305 du 30.11.1994, p. 6.</w:t>
      </w:r>
    </w:p>
  </w:footnote>
  <w:footnote w:id="3">
    <w:p>
      <w:pPr>
        <w:pStyle w:val="FootnoteText"/>
        <w:rPr>
          <w:lang w:val="pl-PL"/>
        </w:rPr>
      </w:pPr>
      <w:r>
        <w:rPr>
          <w:rStyle w:val="FootnoteReference"/>
        </w:rPr>
        <w:footnoteRef/>
      </w:r>
      <w:r>
        <w:tab/>
        <w:t>JO L 305 du 30.11.1994, p. 6.</w:t>
      </w:r>
    </w:p>
  </w:footnote>
  <w:footnote w:id="4">
    <w:p>
      <w:pPr>
        <w:pStyle w:val="FootnoteText"/>
        <w:rPr>
          <w:lang w:val="pl-PL"/>
        </w:rPr>
      </w:pPr>
      <w:r>
        <w:rPr>
          <w:rStyle w:val="FootnoteReference"/>
        </w:rPr>
        <w:footnoteRef/>
      </w:r>
      <w:r>
        <w:tab/>
        <w:t>JO L 193 du 30.7.2018, p. 1.</w:t>
      </w:r>
    </w:p>
  </w:footnote>
  <w:footnote w:id="5">
    <w:p>
      <w:pPr>
        <w:pStyle w:val="FootnoteText"/>
        <w:rPr>
          <w:lang w:val="pl-PL"/>
        </w:rPr>
      </w:pPr>
      <w:r>
        <w:rPr>
          <w:rStyle w:val="FootnoteReference"/>
        </w:rPr>
        <w:footnoteRef/>
      </w:r>
      <w:r>
        <w:tab/>
        <w:t xml:space="preserve">JO L 1 du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1A6D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58DB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F071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DE3F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589A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C48C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ACB84C"/>
    <w:lvl w:ilvl="0">
      <w:start w:val="1"/>
      <w:numFmt w:val="decimal"/>
      <w:pStyle w:val="ListNumber"/>
      <w:lvlText w:val="%1."/>
      <w:lvlJc w:val="left"/>
      <w:pPr>
        <w:tabs>
          <w:tab w:val="num" w:pos="360"/>
        </w:tabs>
        <w:ind w:left="360" w:hanging="360"/>
      </w:pPr>
    </w:lvl>
  </w:abstractNum>
  <w:abstractNum w:abstractNumId="7">
    <w:nsid w:val="FFFFFF89"/>
    <w:multiLevelType w:val="singleLevel"/>
    <w:tmpl w:val="98B263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7:41: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388E122-2C42-486B-80D6-1F052EEBFF56"/>
    <w:docVar w:name="LW_COVERPAGE_TYPE" w:val="1"/>
    <w:docVar w:name="LW_CROSSREFERENCE" w:val="&lt;UNUSED&gt;"/>
    <w:docVar w:name="LW_DocType" w:val="COM"/>
    <w:docVar w:name="LW_EMISSION" w:val="29.5.2019"/>
    <w:docVar w:name="LW_EMISSION_ISODATE" w:val="2019-05-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0"/>
    <w:docVar w:name="LW_REF.II.NEW.CP_YEAR" w:val="2019"/>
    <w:docVar w:name="LW_REF.INST.NEW" w:val="COM"/>
    <w:docVar w:name="LW_REF.INST.NEW_ADOPTED" w:val="final"/>
    <w:docVar w:name="LW_REF.INST.NEW_TEXT" w:val="(2019) 2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de l'EEE au sujet d\u8217?une modification du protocole 31 de l'accord EEE concernant la coopération dans des secteurs particuliers en dehors des quatre libertés_x000b__x000b_(Ligne budgétaire 02 04 77 03 \u8211? Action préparatoire concernant la recherche en matière de défens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1371</Words>
  <Characters>7336</Characters>
  <Application>Microsoft Office Word</Application>
  <DocSecurity>0</DocSecurity>
  <Lines>135</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2019-05-15T11:06:00Z</dcterms:created>
  <dcterms:modified xsi:type="dcterms:W3CDTF">2019-05-22T15:41:00Z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