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D95664D-25C7-42B6-962F-41A02C120E0A" style="width:450.6pt;height:307.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jc w:val="center"/>
        <w:rPr>
          <w:rFonts w:ascii="Times New Roman" w:hAnsi="Times New Roman" w:cs="Times New Roman"/>
          <w:b/>
          <w:noProof/>
          <w:sz w:val="28"/>
          <w:szCs w:val="28"/>
        </w:rPr>
      </w:pPr>
      <w:bookmarkStart w:id="1" w:name="_GoBack"/>
      <w:bookmarkEnd w:id="1"/>
      <w:r>
        <w:rPr>
          <w:rFonts w:ascii="Times New Roman" w:hAnsi="Times New Roman"/>
          <w:b/>
          <w:noProof/>
          <w:sz w:val="28"/>
        </w:rPr>
        <w:lastRenderedPageBreak/>
        <w:t>Communication conjointe au Parlement européen et au Conseil</w:t>
      </w:r>
    </w:p>
    <w:p>
      <w:pPr>
        <w:spacing w:after="0"/>
        <w:jc w:val="center"/>
        <w:rPr>
          <w:rFonts w:ascii="Times New Roman" w:hAnsi="Times New Roman" w:cs="Times New Roman"/>
          <w:b/>
          <w:i/>
          <w:noProof/>
          <w:sz w:val="28"/>
          <w:szCs w:val="28"/>
        </w:rPr>
      </w:pPr>
      <w:r>
        <w:rPr>
          <w:rFonts w:ascii="Times New Roman" w:hAnsi="Times New Roman"/>
          <w:b/>
          <w:i/>
          <w:noProof/>
          <w:sz w:val="28"/>
        </w:rPr>
        <w:t>L'UE et l'Asie centrale: de nouvelles opportunités pour un partenariat renforcé</w:t>
      </w:r>
    </w:p>
    <w:p>
      <w:pPr>
        <w:pStyle w:val="ListParagraph"/>
        <w:spacing w:after="200" w:line="276" w:lineRule="auto"/>
        <w:ind w:left="0"/>
        <w:rPr>
          <w:rFonts w:ascii="Times New Roman" w:hAnsi="Times New Roman" w:cs="Times New Roman"/>
          <w:b/>
          <w:noProof/>
          <w:u w:val="single"/>
        </w:rPr>
      </w:pPr>
    </w:p>
    <w:p>
      <w:pPr>
        <w:pStyle w:val="ListParagraph"/>
        <w:spacing w:after="200" w:line="276" w:lineRule="auto"/>
        <w:ind w:left="0"/>
        <w:rPr>
          <w:rFonts w:ascii="Times New Roman" w:hAnsi="Times New Roman" w:cs="Times New Roman"/>
          <w:b/>
          <w:noProof/>
          <w:u w:val="single"/>
        </w:rPr>
      </w:pPr>
      <w:r>
        <w:rPr>
          <w:rFonts w:ascii="Times New Roman" w:hAnsi="Times New Roman"/>
          <w:b/>
          <w:noProof/>
          <w:u w:val="single"/>
        </w:rPr>
        <w:t>INTRODUCTION</w:t>
      </w:r>
    </w:p>
    <w:p>
      <w:pPr>
        <w:jc w:val="both"/>
        <w:rPr>
          <w:rFonts w:ascii="Times New Roman" w:hAnsi="Times New Roman" w:cs="Times New Roman"/>
          <w:b/>
          <w:noProof/>
        </w:rPr>
      </w:pPr>
      <w:r>
        <w:rPr>
          <w:rFonts w:ascii="Times New Roman" w:hAnsi="Times New Roman"/>
          <w:noProof/>
        </w:rPr>
        <w:t xml:space="preserve">L’Union européenne (UE) et les cinq pays d’Asie centrale (Kazakhstan, République kirghize, Tadjikistan, Turkménistan et Ouzbékistan) entretiennent </w:t>
      </w:r>
      <w:r>
        <w:rPr>
          <w:rFonts w:ascii="Times New Roman" w:hAnsi="Times New Roman"/>
          <w:b/>
          <w:noProof/>
        </w:rPr>
        <w:t>de longue date une relation reposant sur des intérêts mutuels importants</w:t>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La </w:t>
      </w:r>
      <w:r>
        <w:rPr>
          <w:rFonts w:ascii="Times New Roman" w:hAnsi="Times New Roman"/>
          <w:i/>
          <w:noProof/>
        </w:rPr>
        <w:t>stratégie de l'UE pour l'Asie centrale de 2007</w:t>
      </w:r>
      <w:r>
        <w:rPr>
          <w:rStyle w:val="FootnoteReference"/>
          <w:rFonts w:ascii="Times New Roman" w:hAnsi="Times New Roman"/>
          <w:i/>
          <w:noProof/>
        </w:rPr>
        <w:footnoteReference w:id="1"/>
      </w:r>
      <w:r>
        <w:rPr>
          <w:rFonts w:ascii="Times New Roman" w:hAnsi="Times New Roman"/>
          <w:noProof/>
        </w:rPr>
        <w:t xml:space="preserve"> a aidé l’UE et l’Asie centrale à atteindre un niveau de coopération sans précédent. La </w:t>
      </w:r>
      <w:r>
        <w:rPr>
          <w:rFonts w:ascii="Times New Roman" w:hAnsi="Times New Roman"/>
          <w:b/>
          <w:noProof/>
        </w:rPr>
        <w:t>situation géographique stratégique de l’Asie centrale, au carrefour de l'Europe et de l'Asie,</w:t>
      </w:r>
      <w:r>
        <w:rPr>
          <w:rFonts w:ascii="Times New Roman" w:hAnsi="Times New Roman"/>
          <w:noProof/>
        </w:rPr>
        <w:t xml:space="preserve"> sa </w:t>
      </w:r>
      <w:r>
        <w:rPr>
          <w:rFonts w:ascii="Times New Roman" w:hAnsi="Times New Roman"/>
          <w:b/>
          <w:noProof/>
        </w:rPr>
        <w:t>part dans les importations d'énergie de l’UE</w:t>
      </w:r>
      <w:r>
        <w:rPr>
          <w:rFonts w:ascii="Times New Roman" w:hAnsi="Times New Roman"/>
          <w:noProof/>
        </w:rPr>
        <w:t xml:space="preserve">, le </w:t>
      </w:r>
      <w:r>
        <w:rPr>
          <w:rFonts w:ascii="Times New Roman" w:hAnsi="Times New Roman"/>
          <w:b/>
          <w:noProof/>
        </w:rPr>
        <w:t>marché potentiel que représentent 70 millions d’habitants</w:t>
      </w:r>
      <w:r>
        <w:rPr>
          <w:rFonts w:ascii="Times New Roman" w:hAnsi="Times New Roman"/>
          <w:noProof/>
        </w:rPr>
        <w:t xml:space="preserve">, ainsi que </w:t>
      </w:r>
      <w:r>
        <w:rPr>
          <w:rFonts w:ascii="Times New Roman" w:hAnsi="Times New Roman"/>
          <w:b/>
          <w:noProof/>
        </w:rPr>
        <w:t>l’intérêt de l’UE pour la sécurité régionale</w:t>
      </w:r>
      <w:r>
        <w:rPr>
          <w:rFonts w:ascii="Times New Roman" w:hAnsi="Times New Roman"/>
          <w:noProof/>
        </w:rPr>
        <w:t xml:space="preserve"> ont fait de l’Asie centrale un partenaire de plus en plus important de l’Union.</w:t>
      </w:r>
    </w:p>
    <w:p>
      <w:pPr>
        <w:jc w:val="both"/>
        <w:rPr>
          <w:rFonts w:ascii="Times New Roman" w:hAnsi="Times New Roman" w:cs="Times New Roman"/>
          <w:noProof/>
        </w:rPr>
      </w:pPr>
      <w:r>
        <w:rPr>
          <w:rFonts w:ascii="Times New Roman" w:hAnsi="Times New Roman"/>
          <w:noProof/>
        </w:rPr>
        <w:t>Certains aspects de l’</w:t>
      </w:r>
      <w:r>
        <w:rPr>
          <w:rFonts w:ascii="Times New Roman" w:hAnsi="Times New Roman"/>
          <w:b/>
          <w:noProof/>
        </w:rPr>
        <w:t>évolution actuelle de la situation en Asie centrale</w:t>
      </w:r>
      <w:r>
        <w:rPr>
          <w:rFonts w:ascii="Times New Roman" w:hAnsi="Times New Roman"/>
          <w:noProof/>
        </w:rPr>
        <w:t xml:space="preserve"> ont ouvert de </w:t>
      </w:r>
      <w:r>
        <w:rPr>
          <w:rFonts w:ascii="Times New Roman" w:hAnsi="Times New Roman"/>
          <w:b/>
          <w:noProof/>
        </w:rPr>
        <w:t>nouvelles possibilités</w:t>
      </w:r>
      <w:r>
        <w:rPr>
          <w:rFonts w:ascii="Times New Roman" w:hAnsi="Times New Roman"/>
          <w:noProof/>
        </w:rPr>
        <w:t xml:space="preserve"> de faire progresser le partenariat entre l’UE et cette partie du monde. Les </w:t>
      </w:r>
      <w:r>
        <w:rPr>
          <w:rFonts w:ascii="Times New Roman" w:hAnsi="Times New Roman"/>
          <w:b/>
          <w:noProof/>
        </w:rPr>
        <w:t>processus de réforme</w:t>
      </w:r>
      <w:r>
        <w:rPr>
          <w:rFonts w:ascii="Times New Roman" w:hAnsi="Times New Roman"/>
          <w:noProof/>
        </w:rPr>
        <w:t xml:space="preserve"> dans la région ont déclenché des appels à la reconnaissance politique par l’UE et à un soutien de cette dernière à la modernisation. La </w:t>
      </w:r>
      <w:r>
        <w:rPr>
          <w:rFonts w:ascii="Times New Roman" w:hAnsi="Times New Roman"/>
          <w:b/>
          <w:noProof/>
        </w:rPr>
        <w:t>nouvelle dynamique imprimée à la coopération régionale</w:t>
      </w:r>
      <w:r>
        <w:rPr>
          <w:rFonts w:ascii="Times New Roman" w:hAnsi="Times New Roman"/>
          <w:noProof/>
        </w:rPr>
        <w:t xml:space="preserve">, dont témoigne le premier sommet informel des dirigeants d’Asie centrale, qui s’est tenu à Astana en mars 2018, a fait ressortir l’importance de l’expérience de l’UE dans la recherche de solutions concertées à des problèmes communs. Les efforts renouvelés en faveur de la </w:t>
      </w:r>
      <w:r>
        <w:rPr>
          <w:rFonts w:ascii="Times New Roman" w:hAnsi="Times New Roman"/>
          <w:b/>
          <w:noProof/>
        </w:rPr>
        <w:t>connectivité entre l’Europe et l’Asie</w:t>
      </w:r>
      <w:r>
        <w:rPr>
          <w:rFonts w:ascii="Times New Roman" w:hAnsi="Times New Roman"/>
          <w:noProof/>
        </w:rPr>
        <w:t xml:space="preserve"> ont accru l’intérêt pour l'approche adoptée par l’UE en matière de connectivité durable. Le renforcement de la coopération entre l’Asie centrale et l’</w:t>
      </w:r>
      <w:r>
        <w:rPr>
          <w:rFonts w:ascii="Times New Roman" w:hAnsi="Times New Roman"/>
          <w:b/>
          <w:noProof/>
        </w:rPr>
        <w:t>Afghanistan</w:t>
      </w:r>
      <w:r>
        <w:rPr>
          <w:rFonts w:ascii="Times New Roman" w:hAnsi="Times New Roman"/>
          <w:noProof/>
        </w:rPr>
        <w:t xml:space="preserve"> a défini de nouveaux paramètres pour l'action de l’UE en faveur de la paix dans le pays. De plus, la nouvelle ambition exprimée par certains États d’Asie centrale qui souhaitent jouer un rôle plus actif dans les </w:t>
      </w:r>
      <w:r>
        <w:rPr>
          <w:rFonts w:ascii="Times New Roman" w:hAnsi="Times New Roman"/>
          <w:b/>
          <w:noProof/>
        </w:rPr>
        <w:t>affaires mondiales et régionales</w:t>
      </w:r>
      <w:r>
        <w:rPr>
          <w:rFonts w:ascii="Times New Roman" w:hAnsi="Times New Roman"/>
          <w:noProof/>
        </w:rPr>
        <w:t xml:space="preserve"> accroît le potentiel de coopération avec l’UE sur des objectifs communs.</w:t>
      </w:r>
    </w:p>
    <w:p>
      <w:pPr>
        <w:jc w:val="both"/>
        <w:rPr>
          <w:rFonts w:ascii="Times New Roman" w:hAnsi="Times New Roman" w:cs="Times New Roman"/>
          <w:noProof/>
        </w:rPr>
      </w:pPr>
      <w:r>
        <w:rPr>
          <w:rFonts w:ascii="Times New Roman" w:hAnsi="Times New Roman"/>
          <w:noProof/>
        </w:rPr>
        <w:t xml:space="preserve">L’engagement de l’UE dans la région peut s'appuyer sur des </w:t>
      </w:r>
      <w:r>
        <w:rPr>
          <w:rFonts w:ascii="Times New Roman" w:hAnsi="Times New Roman"/>
          <w:b/>
          <w:noProof/>
        </w:rPr>
        <w:t>acquis importants</w:t>
      </w:r>
      <w:r>
        <w:rPr>
          <w:rFonts w:ascii="Times New Roman" w:hAnsi="Times New Roman"/>
          <w:noProof/>
        </w:rPr>
        <w:t>. Les pays d’Asie centrale peuvent compter sur l’UE en tant que bailleur de fonds de premier plan et partenaire engagé dans leur processus de réforme et de transition économique, soutien majeur de leur intégration dans le système commercial mondial, source d’investissements de qualité et de technologies de pointe, et défenseur naturel de leurs efforts de coopération régionale.</w:t>
      </w:r>
    </w:p>
    <w:p>
      <w:pPr>
        <w:jc w:val="both"/>
        <w:rPr>
          <w:rFonts w:ascii="Times New Roman" w:hAnsi="Times New Roman" w:cs="Times New Roman"/>
          <w:b/>
          <w:noProof/>
        </w:rPr>
      </w:pPr>
      <w:r>
        <w:rPr>
          <w:rFonts w:ascii="Times New Roman" w:hAnsi="Times New Roman"/>
          <w:noProof/>
        </w:rPr>
        <w:t xml:space="preserve">La présente communication conjointe vise à établir un </w:t>
      </w:r>
      <w:r>
        <w:rPr>
          <w:rFonts w:ascii="Times New Roman" w:hAnsi="Times New Roman"/>
          <w:b/>
          <w:noProof/>
        </w:rPr>
        <w:t>partenariat renforcé, moderne et non exclusif avec les pays d’Asie centrale, afin que la région se développe en un espace économique et politique durable, plus résilient, prospère et étroitement interconnecté</w:t>
      </w:r>
      <w:r>
        <w:rPr>
          <w:rFonts w:ascii="Times New Roman" w:hAnsi="Times New Roman"/>
          <w:noProof/>
        </w:rPr>
        <w:t>.</w:t>
      </w:r>
      <w:r>
        <w:rPr>
          <w:rFonts w:ascii="Times New Roman" w:hAnsi="Times New Roman"/>
          <w:b/>
          <w:noProof/>
        </w:rPr>
        <w:t xml:space="preserve"> </w:t>
      </w:r>
      <w:r>
        <w:rPr>
          <w:rFonts w:ascii="Times New Roman" w:hAnsi="Times New Roman"/>
          <w:noProof/>
        </w:rPr>
        <w:t xml:space="preserve">Elle s'appuiera pour ce faire sur l’action de l’UE dans la région, tiendra compte d’autres stratégies pertinentes, notamment de la </w:t>
      </w:r>
      <w:r>
        <w:rPr>
          <w:rFonts w:ascii="Times New Roman" w:hAnsi="Times New Roman"/>
          <w:i/>
          <w:noProof/>
        </w:rPr>
        <w:t>stratégie globale pour la politique étrangère et de sécurité de l'Union européenne</w:t>
      </w:r>
      <w:r>
        <w:rPr>
          <w:rStyle w:val="FootnoteReference"/>
          <w:rFonts w:ascii="Times New Roman" w:hAnsi="Times New Roman"/>
          <w:i/>
          <w:noProof/>
        </w:rPr>
        <w:footnoteReference w:id="2"/>
      </w:r>
      <w:r>
        <w:rPr>
          <w:rFonts w:ascii="Times New Roman" w:hAnsi="Times New Roman"/>
          <w:noProof/>
        </w:rPr>
        <w:t xml:space="preserve">, du </w:t>
      </w:r>
      <w:r>
        <w:rPr>
          <w:rFonts w:ascii="Times New Roman" w:hAnsi="Times New Roman"/>
          <w:i/>
          <w:noProof/>
        </w:rPr>
        <w:t>Nouveau consensus européen pour le développement</w:t>
      </w:r>
      <w:r>
        <w:rPr>
          <w:rStyle w:val="FootnoteReference"/>
          <w:rFonts w:ascii="Times New Roman" w:hAnsi="Times New Roman"/>
          <w:i/>
          <w:noProof/>
        </w:rPr>
        <w:footnoteReference w:id="3"/>
      </w:r>
      <w:r>
        <w:rPr>
          <w:rFonts w:ascii="Times New Roman" w:hAnsi="Times New Roman"/>
          <w:noProof/>
        </w:rPr>
        <w:t xml:space="preserve">, de la </w:t>
      </w:r>
      <w:r>
        <w:rPr>
          <w:rFonts w:ascii="Times New Roman" w:hAnsi="Times New Roman"/>
          <w:i/>
          <w:noProof/>
        </w:rPr>
        <w:t>stratégie de l’UE visant à relier l’Europe à l’Asie</w:t>
      </w:r>
      <w:r>
        <w:rPr>
          <w:rStyle w:val="FootnoteReference"/>
          <w:rFonts w:ascii="Times New Roman" w:hAnsi="Times New Roman"/>
          <w:i/>
          <w:noProof/>
        </w:rPr>
        <w:footnoteReference w:id="4"/>
      </w:r>
      <w:r>
        <w:rPr>
          <w:rFonts w:ascii="Times New Roman" w:hAnsi="Times New Roman"/>
          <w:noProof/>
        </w:rPr>
        <w:t xml:space="preserve"> et de la </w:t>
      </w:r>
      <w:r>
        <w:rPr>
          <w:rFonts w:ascii="Times New Roman" w:hAnsi="Times New Roman"/>
          <w:i/>
          <w:noProof/>
        </w:rPr>
        <w:t>stratégie de l’UE pour l’Afghanistan</w:t>
      </w:r>
      <w:r>
        <w:rPr>
          <w:rStyle w:val="FootnoteReference"/>
          <w:rFonts w:ascii="Times New Roman" w:hAnsi="Times New Roman"/>
          <w:i/>
          <w:noProof/>
        </w:rPr>
        <w:footnoteReference w:id="5"/>
      </w:r>
      <w:r>
        <w:rPr>
          <w:rFonts w:ascii="Times New Roman" w:hAnsi="Times New Roman"/>
          <w:noProof/>
        </w:rPr>
        <w:t xml:space="preserve">, et s’inspirera du </w:t>
      </w:r>
      <w:r>
        <w:rPr>
          <w:rFonts w:ascii="Times New Roman" w:hAnsi="Times New Roman"/>
          <w:i/>
          <w:noProof/>
        </w:rPr>
        <w:t>programme de développement durable des Nations unies à l’horizon 2030</w:t>
      </w:r>
      <w:r>
        <w:rPr>
          <w:rStyle w:val="FootnoteReference"/>
          <w:rFonts w:ascii="Times New Roman" w:hAnsi="Times New Roman"/>
          <w:i/>
          <w:noProof/>
        </w:rPr>
        <w:footnoteReference w:id="6"/>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La stratégie de l’UE se concentrera sur </w:t>
      </w:r>
      <w:r>
        <w:rPr>
          <w:rFonts w:ascii="Times New Roman" w:hAnsi="Times New Roman"/>
          <w:b/>
          <w:noProof/>
        </w:rPr>
        <w:t>trois priorités qui sont interconnectées et se renforcent mutuellement</w:t>
      </w:r>
      <w:r>
        <w:rPr>
          <w:rFonts w:ascii="Times New Roman" w:hAnsi="Times New Roman"/>
          <w:noProof/>
        </w:rPr>
        <w:t xml:space="preserve">:   </w:t>
      </w:r>
    </w:p>
    <w:p>
      <w:pPr>
        <w:pStyle w:val="ListParagraph"/>
        <w:numPr>
          <w:ilvl w:val="0"/>
          <w:numId w:val="16"/>
        </w:numPr>
        <w:jc w:val="both"/>
        <w:rPr>
          <w:rFonts w:ascii="Times New Roman" w:hAnsi="Times New Roman" w:cs="Times New Roman"/>
          <w:b/>
          <w:noProof/>
        </w:rPr>
      </w:pPr>
      <w:r>
        <w:rPr>
          <w:rFonts w:ascii="Times New Roman" w:hAnsi="Times New Roman"/>
          <w:b/>
          <w:noProof/>
        </w:rPr>
        <w:t>S’associer pour la résilience</w:t>
      </w:r>
    </w:p>
    <w:p>
      <w:pPr>
        <w:ind w:left="360"/>
        <w:jc w:val="both"/>
        <w:rPr>
          <w:rFonts w:ascii="Times New Roman" w:hAnsi="Times New Roman" w:cs="Times New Roman"/>
          <w:noProof/>
        </w:rPr>
      </w:pPr>
      <w:r>
        <w:rPr>
          <w:rFonts w:ascii="Times New Roman" w:hAnsi="Times New Roman"/>
          <w:noProof/>
        </w:rPr>
        <w:t>L’UE s’associera avec les pays d’Asie centrale pour anticiper et relever les défis qui touchent à leurs objectifs socio-économiques et à leur sécurité et pour renforcer leur capacité à engager des réformes et à se moderniser. Elle favorisera la démocratie, les droits de l’homme et l’état de droit, intensifiera la coopération dans la mise en œuvre des engagements pris à Paris en matière de climat et dans la lutte contre les problèmes environnementaux transrégionaux afin de les transformer en opportunités, et intensifiera la coopération dans le domaine de la migration.</w:t>
      </w:r>
    </w:p>
    <w:p>
      <w:pPr>
        <w:pStyle w:val="ListParagraph"/>
        <w:numPr>
          <w:ilvl w:val="0"/>
          <w:numId w:val="16"/>
        </w:numPr>
        <w:jc w:val="both"/>
        <w:rPr>
          <w:rFonts w:ascii="Times New Roman" w:hAnsi="Times New Roman" w:cs="Times New Roman"/>
          <w:b/>
          <w:noProof/>
        </w:rPr>
      </w:pPr>
      <w:r>
        <w:rPr>
          <w:rFonts w:ascii="Times New Roman" w:hAnsi="Times New Roman"/>
          <w:b/>
          <w:noProof/>
        </w:rPr>
        <w:t>S’associer pour la prospérité</w:t>
      </w:r>
    </w:p>
    <w:p>
      <w:pPr>
        <w:ind w:left="360"/>
        <w:jc w:val="both"/>
        <w:rPr>
          <w:rFonts w:ascii="Times New Roman" w:hAnsi="Times New Roman" w:cs="Times New Roman"/>
          <w:noProof/>
        </w:rPr>
      </w:pPr>
      <w:r>
        <w:rPr>
          <w:rFonts w:ascii="Times New Roman" w:hAnsi="Times New Roman"/>
          <w:noProof/>
        </w:rPr>
        <w:t>L’UE s'associera avec les pays d’Asie centrale pour libérer leur fort potentiel de croissance en encourageant le développement d’un secteur privé compétitif et en favorisant un climat d’investissement sain et ouvert. Elle coopérera au développement des compétences ainsi que de la recherche et de l’innovation, en accordant une attention particulière aux jeunes. Elle s'emploiera à lever les contraintes structurelles qui pèsent sur le commerce et les investissements intrarégionaux, soutiendra l'adhésion des États d’Asie centrale qui n’en sont pas encore membres à l’Organisation mondiale du commerce (OMC) et défendra une connectivité durable.</w:t>
      </w:r>
    </w:p>
    <w:p>
      <w:pPr>
        <w:pStyle w:val="ListParagraph"/>
        <w:numPr>
          <w:ilvl w:val="0"/>
          <w:numId w:val="16"/>
        </w:numPr>
        <w:jc w:val="both"/>
        <w:rPr>
          <w:rFonts w:ascii="Times New Roman" w:hAnsi="Times New Roman" w:cs="Times New Roman"/>
          <w:b/>
          <w:noProof/>
        </w:rPr>
      </w:pPr>
      <w:r>
        <w:rPr>
          <w:rFonts w:ascii="Times New Roman" w:hAnsi="Times New Roman"/>
          <w:b/>
          <w:noProof/>
        </w:rPr>
        <w:t>Mieux collaborer</w:t>
      </w:r>
    </w:p>
    <w:p>
      <w:pPr>
        <w:ind w:left="360"/>
        <w:jc w:val="both"/>
        <w:rPr>
          <w:rFonts w:ascii="Times New Roman" w:hAnsi="Times New Roman" w:cs="Times New Roman"/>
          <w:noProof/>
        </w:rPr>
      </w:pPr>
      <w:r>
        <w:rPr>
          <w:rFonts w:ascii="Times New Roman" w:hAnsi="Times New Roman"/>
          <w:noProof/>
        </w:rPr>
        <w:t>L’UE collaborera avec les pays d’Asie centrale pour renforcer l'architecture du partenariat, ce qui passera par l’intensification du dialogue politique et l'ouverture d’un espace de participation de la société civile. Elle continuera de jouer un rôle de premier plan en tant que partenaire de développement de la région. Elle renforcera la diplomatie publique afin de mettre en avant les avantages que le partenariat présente pour la région et ses citoyens.</w:t>
      </w:r>
    </w:p>
    <w:p>
      <w:pPr>
        <w:jc w:val="both"/>
        <w:rPr>
          <w:rFonts w:ascii="Times New Roman" w:hAnsi="Times New Roman" w:cs="Times New Roman"/>
          <w:noProof/>
        </w:rPr>
      </w:pPr>
      <w:r>
        <w:rPr>
          <w:rFonts w:ascii="Times New Roman" w:hAnsi="Times New Roman"/>
          <w:noProof/>
        </w:rPr>
        <w:t xml:space="preserve">Dans le respect des aspirations et des intérêts de chacun de ses partenaires en Asie centrale et en continuant à tenir compte de la nécessité de différencier les situations propres à chaque pays, l’UE s'emploiera à approfondir la coopération avec les pays d’Asie centrale désireux et en mesure d’intensifier la relation qu’ils entretiennent avec elle. L’UE s’efforcera d'œuvrer avec les pays tiers et les organisations internationales lorsque cette mobilisation plus large est susceptible de contribuer à la réalisation des objectifs généraux de l’UE et de la présente stratégie. Les </w:t>
      </w:r>
      <w:r>
        <w:rPr>
          <w:rFonts w:ascii="Times New Roman" w:hAnsi="Times New Roman"/>
          <w:b/>
          <w:i/>
          <w:noProof/>
        </w:rPr>
        <w:t>accords de partenariat et de coopération renforcés</w:t>
      </w:r>
      <w:r>
        <w:rPr>
          <w:rFonts w:ascii="Times New Roman" w:hAnsi="Times New Roman"/>
          <w:b/>
          <w:noProof/>
        </w:rPr>
        <w:t xml:space="preserve"> de nouvelle génération (APC renforcés)</w:t>
      </w:r>
      <w:r>
        <w:rPr>
          <w:rFonts w:ascii="Times New Roman" w:hAnsi="Times New Roman"/>
          <w:noProof/>
        </w:rPr>
        <w:t xml:space="preserve">, que l’UE a conclus et pourrait conclure </w:t>
      </w:r>
      <w:r>
        <w:rPr>
          <w:rFonts w:ascii="Times New Roman" w:hAnsi="Times New Roman"/>
          <w:b/>
          <w:noProof/>
        </w:rPr>
        <w:t>au niveau bilatéral</w:t>
      </w:r>
      <w:r>
        <w:rPr>
          <w:rFonts w:ascii="Times New Roman" w:hAnsi="Times New Roman"/>
          <w:noProof/>
        </w:rPr>
        <w:t xml:space="preserve"> avec les différents pays d’Asie centrale</w:t>
      </w:r>
      <w:r>
        <w:rPr>
          <w:rStyle w:val="FootnoteReference"/>
          <w:rFonts w:ascii="Times New Roman" w:hAnsi="Times New Roman"/>
          <w:noProof/>
        </w:rPr>
        <w:footnoteReference w:id="7"/>
      </w:r>
      <w:r>
        <w:rPr>
          <w:rFonts w:ascii="Times New Roman" w:hAnsi="Times New Roman"/>
          <w:noProof/>
        </w:rPr>
        <w:t xml:space="preserve">, resteront une pierre angulaire de son engagement. La présente communication conjointe vise à </w:t>
      </w:r>
      <w:r>
        <w:rPr>
          <w:rFonts w:ascii="Times New Roman" w:hAnsi="Times New Roman"/>
          <w:b/>
          <w:noProof/>
        </w:rPr>
        <w:t>mobiliser la vaste panoplie de politiques et d’instruments de l’UE</w:t>
      </w:r>
      <w:r>
        <w:rPr>
          <w:rFonts w:ascii="Times New Roman" w:hAnsi="Times New Roman"/>
          <w:noProof/>
        </w:rPr>
        <w:t xml:space="preserve">, qui sera utilisée pour porter le partenariat entre l’UE et l’Asie centrale au niveau supérieur. Elle servira également de </w:t>
      </w:r>
      <w:r>
        <w:rPr>
          <w:rFonts w:ascii="Times New Roman" w:hAnsi="Times New Roman"/>
          <w:b/>
          <w:noProof/>
        </w:rPr>
        <w:t>guide pour la programmation</w:t>
      </w:r>
      <w:r>
        <w:rPr>
          <w:rFonts w:ascii="Times New Roman" w:hAnsi="Times New Roman"/>
          <w:noProof/>
        </w:rPr>
        <w:t xml:space="preserve"> de l'aide et de la coopération de l’UE au développement.</w:t>
      </w:r>
    </w:p>
    <w:p>
      <w:pPr>
        <w:jc w:val="center"/>
        <w:rPr>
          <w:rFonts w:ascii="Times New Roman" w:hAnsi="Times New Roman" w:cs="Times New Roman"/>
          <w:noProof/>
        </w:rPr>
      </w:pPr>
      <w:r>
        <w:rPr>
          <w:rFonts w:ascii="Times New Roman" w:hAnsi="Times New Roman"/>
          <w:noProof/>
        </w:rPr>
        <w:t>***</w:t>
      </w:r>
    </w:p>
    <w:tbl>
      <w:tblPr>
        <w:tblStyle w:val="TableGrid"/>
        <w:tblW w:w="0" w:type="auto"/>
        <w:tblInd w:w="108" w:type="dxa"/>
        <w:tblBorders>
          <w:top w:val="triple" w:sz="4" w:space="0" w:color="auto"/>
          <w:left w:val="triple" w:sz="4" w:space="0" w:color="auto"/>
          <w:bottom w:val="none" w:sz="0" w:space="0" w:color="auto"/>
          <w:right w:val="triple" w:sz="4" w:space="0" w:color="auto"/>
          <w:insideH w:val="none" w:sz="0" w:space="0" w:color="auto"/>
          <w:insideV w:val="none" w:sz="0" w:space="0" w:color="auto"/>
        </w:tblBorders>
        <w:tblLook w:val="04A0" w:firstRow="1" w:lastRow="0" w:firstColumn="1" w:lastColumn="0" w:noHBand="0" w:noVBand="1"/>
      </w:tblPr>
      <w:tblGrid>
        <w:gridCol w:w="9000"/>
      </w:tblGrid>
      <w:tr>
        <w:tc>
          <w:tcPr>
            <w:tcW w:w="9000" w:type="dxa"/>
          </w:tcPr>
          <w:p>
            <w:pPr>
              <w:jc w:val="both"/>
              <w:rPr>
                <w:rFonts w:ascii="Times New Roman" w:hAnsi="Times New Roman" w:cs="Times New Roman"/>
                <w:b/>
                <w:i/>
                <w:noProof/>
                <w:sz w:val="12"/>
                <w:szCs w:val="12"/>
              </w:rPr>
            </w:pPr>
          </w:p>
          <w:p>
            <w:pPr>
              <w:jc w:val="both"/>
              <w:rPr>
                <w:rFonts w:ascii="Times New Roman" w:hAnsi="Times New Roman" w:cs="Times New Roman"/>
                <w:b/>
                <w:i/>
                <w:noProof/>
              </w:rPr>
            </w:pPr>
            <w:r>
              <w:rPr>
                <w:rFonts w:ascii="Times New Roman" w:hAnsi="Times New Roman"/>
                <w:b/>
                <w:i/>
                <w:noProof/>
              </w:rPr>
              <w:t>Priorité transversale: investir dans la coopération régionale en Asie centrale</w:t>
            </w:r>
          </w:p>
          <w:p>
            <w:pPr>
              <w:jc w:val="both"/>
              <w:rPr>
                <w:rFonts w:ascii="Times New Roman" w:hAnsi="Times New Roman" w:cs="Times New Roman"/>
                <w:b/>
                <w:i/>
                <w:noProof/>
              </w:rPr>
            </w:pPr>
          </w:p>
          <w:p>
            <w:pPr>
              <w:jc w:val="both"/>
              <w:rPr>
                <w:rFonts w:ascii="Times New Roman" w:hAnsi="Times New Roman" w:cs="Times New Roman"/>
                <w:noProof/>
              </w:rPr>
            </w:pPr>
            <w:r>
              <w:rPr>
                <w:rFonts w:ascii="Times New Roman" w:hAnsi="Times New Roman"/>
                <w:noProof/>
              </w:rPr>
              <w:t>L’UE a tout intérêt à ce que l’Asie centrale se développe en une région fondée sur des règles de coopération et de connectivité plutôt que sur la concurrence et la rivalité. Elle est déterminée à investir dans les nouvelles possibilités de coopération et le potentiel croissant en la matière dans et avec la région dans son ensemble.</w:t>
            </w:r>
          </w:p>
          <w:p>
            <w:pPr>
              <w:jc w:val="both"/>
              <w:rPr>
                <w:rFonts w:ascii="Times New Roman" w:hAnsi="Times New Roman" w:cs="Times New Roman"/>
                <w:b/>
                <w:noProof/>
              </w:rPr>
            </w:pPr>
          </w:p>
          <w:p>
            <w:pPr>
              <w:jc w:val="both"/>
              <w:rPr>
                <w:rFonts w:ascii="Times New Roman" w:hAnsi="Times New Roman" w:cs="Times New Roman"/>
                <w:noProof/>
              </w:rPr>
            </w:pPr>
            <w:r>
              <w:rPr>
                <w:rFonts w:ascii="Times New Roman" w:hAnsi="Times New Roman"/>
                <w:noProof/>
              </w:rPr>
              <w:t>La</w:t>
            </w:r>
            <w:r>
              <w:rPr>
                <w:noProof/>
              </w:rPr>
              <w:t xml:space="preserve"> </w:t>
            </w:r>
            <w:r>
              <w:rPr>
                <w:rFonts w:ascii="Times New Roman" w:hAnsi="Times New Roman"/>
                <w:b/>
                <w:noProof/>
              </w:rPr>
              <w:t>coopération régionale</w:t>
            </w:r>
            <w:r>
              <w:rPr>
                <w:noProof/>
              </w:rPr>
              <w:t xml:space="preserve"> </w:t>
            </w:r>
            <w:r>
              <w:rPr>
                <w:rFonts w:ascii="Times New Roman" w:hAnsi="Times New Roman"/>
                <w:noProof/>
              </w:rPr>
              <w:t xml:space="preserve">devrait permettre aux États d’Asie centrale de mieux gérer leur interdépendance, de remédier à leurs faiblesses et de répondre à leurs préoccupations communes, de libérer leur potentiel de croissance économique, d'accroître leur influence sur les affaires internationales et de préserver leur indépendance et leur identité. S’il appartient à ces États de trouver les moyens de faire progresser, à leur rythme, des formes volontaires de coopération régionale, l’UE </w:t>
            </w:r>
            <w:r>
              <w:rPr>
                <w:rFonts w:ascii="Times New Roman" w:hAnsi="Times New Roman"/>
                <w:b/>
                <w:noProof/>
              </w:rPr>
              <w:t>soutiendra ces processus</w:t>
            </w:r>
            <w:r>
              <w:rPr>
                <w:rFonts w:ascii="Times New Roman" w:hAnsi="Times New Roman"/>
                <w:noProof/>
              </w:rPr>
              <w:t>, en s'appuyant sur sa propre expérience des avantages induits par les mécanismes d’intégration et une plus grande connectivité.</w:t>
            </w:r>
          </w:p>
        </w:tc>
      </w:tr>
      <w:tr>
        <w:tblPrEx>
          <w:tblBorders>
            <w:top w:val="none" w:sz="0" w:space="0" w:color="auto"/>
            <w:bottom w:val="triple" w:sz="4" w:space="0" w:color="auto"/>
          </w:tblBorders>
        </w:tblPrEx>
        <w:trPr>
          <w:trHeight w:val="3256"/>
        </w:trPr>
        <w:tc>
          <w:tcPr>
            <w:tcW w:w="9000" w:type="dxa"/>
          </w:tcPr>
          <w:p>
            <w:pPr>
              <w:jc w:val="both"/>
              <w:rPr>
                <w:rFonts w:ascii="Times New Roman" w:hAnsi="Times New Roman" w:cs="Times New Roman"/>
                <w:b/>
                <w:noProof/>
              </w:rPr>
            </w:pPr>
          </w:p>
          <w:p>
            <w:pPr>
              <w:jc w:val="both"/>
              <w:rPr>
                <w:rFonts w:ascii="Times New Roman" w:hAnsi="Times New Roman" w:cs="Times New Roman"/>
                <w:noProof/>
              </w:rPr>
            </w:pPr>
            <w:r>
              <w:rPr>
                <w:rFonts w:ascii="Times New Roman" w:hAnsi="Times New Roman"/>
                <w:noProof/>
              </w:rPr>
              <w:t>Les</w:t>
            </w:r>
            <w:r>
              <w:rPr>
                <w:noProof/>
              </w:rPr>
              <w:t xml:space="preserve"> </w:t>
            </w:r>
            <w:r>
              <w:rPr>
                <w:rFonts w:ascii="Times New Roman" w:hAnsi="Times New Roman"/>
                <w:b/>
                <w:noProof/>
              </w:rPr>
              <w:t>dialogues UE-Asie centrale</w:t>
            </w:r>
            <w:r>
              <w:rPr>
                <w:noProof/>
              </w:rPr>
              <w:t xml:space="preserve"> </w:t>
            </w:r>
            <w:r>
              <w:rPr>
                <w:rFonts w:ascii="Times New Roman" w:hAnsi="Times New Roman"/>
                <w:noProof/>
              </w:rPr>
              <w:t xml:space="preserve">et les </w:t>
            </w:r>
            <w:r>
              <w:rPr>
                <w:rFonts w:ascii="Times New Roman" w:hAnsi="Times New Roman"/>
                <w:b/>
                <w:noProof/>
              </w:rPr>
              <w:t>programmes régionaux financés par l’UE</w:t>
            </w:r>
            <w:r>
              <w:rPr>
                <w:noProof/>
              </w:rPr>
              <w:t xml:space="preserve"> </w:t>
            </w:r>
            <w:r>
              <w:rPr>
                <w:rFonts w:ascii="Times New Roman" w:hAnsi="Times New Roman"/>
                <w:noProof/>
              </w:rPr>
              <w:t>contribueront à promouvoir des solutions concertées au niveau régional dans des domaines tels que l’environnement, l’eau, le changement climatique et l’énergie durable, l’éducation, l'état de droit, la connectivité durable, la politique de lutte contre la drogue, la sécurité et la prévention de la radicalisation, la gestion des frontières et la facilitation des échanges intrarégionaux.</w:t>
            </w:r>
          </w:p>
          <w:p>
            <w:pPr>
              <w:jc w:val="both"/>
              <w:rPr>
                <w:rFonts w:ascii="Times New Roman" w:hAnsi="Times New Roman" w:cs="Times New Roman"/>
                <w:noProof/>
              </w:rPr>
            </w:pPr>
          </w:p>
          <w:p>
            <w:pPr>
              <w:jc w:val="both"/>
              <w:rPr>
                <w:i/>
                <w:noProof/>
              </w:rPr>
            </w:pPr>
            <w:r>
              <w:rPr>
                <w:rFonts w:ascii="Times New Roman" w:hAnsi="Times New Roman"/>
                <w:noProof/>
              </w:rPr>
              <w:t xml:space="preserve">Chaque fois que l’utilité s’en fera sentir pour l’UE et l’Asie centrale, et en fonction des questions abordées, le dialogue et les programmes de coopération avec les États d’Asie centrale pourront être étendus aux </w:t>
            </w:r>
            <w:r>
              <w:rPr>
                <w:rFonts w:ascii="Times New Roman" w:hAnsi="Times New Roman"/>
                <w:b/>
                <w:noProof/>
              </w:rPr>
              <w:t>États voisins</w:t>
            </w:r>
            <w:r>
              <w:rPr>
                <w:rFonts w:ascii="Times New Roman" w:hAnsi="Times New Roman"/>
                <w:noProof/>
              </w:rPr>
              <w:t xml:space="preserve">, tels que les pays du </w:t>
            </w:r>
            <w:r>
              <w:rPr>
                <w:rFonts w:ascii="Times New Roman" w:hAnsi="Times New Roman"/>
                <w:b/>
                <w:noProof/>
              </w:rPr>
              <w:t>partenariat oriental</w:t>
            </w:r>
            <w:r>
              <w:rPr>
                <w:rFonts w:ascii="Times New Roman" w:hAnsi="Times New Roman"/>
                <w:noProof/>
              </w:rPr>
              <w:t>, l’Afghanistan et d’autres. L'Asie centrale et l’</w:t>
            </w:r>
            <w:r>
              <w:rPr>
                <w:rFonts w:ascii="Times New Roman" w:hAnsi="Times New Roman"/>
                <w:b/>
                <w:noProof/>
              </w:rPr>
              <w:t>Afghanistan</w:t>
            </w:r>
            <w:r>
              <w:rPr>
                <w:rFonts w:ascii="Times New Roman" w:hAnsi="Times New Roman"/>
                <w:noProof/>
              </w:rPr>
              <w:t xml:space="preserve"> revêtent une importance croissance l’une pour l'autre étant donné leurs intérêts communs en matière de sécurité et de stabilité, de gestion de l’eau et d'établissement d’une connectivité effective. Faire participer l’Afghanistan, lorsqu’il y a lieu, aux réunions du dialogue UE-Asie centrale et aux programmes régionaux qui présentent un intérêt pour lui et soutenir davantage de projets de coopération trilatéraux avec des partenaires d’Afghanistan et d’Asie centrale resteront donc une priorité.</w:t>
            </w:r>
          </w:p>
        </w:tc>
      </w:tr>
    </w:tbl>
    <w:p>
      <w:pPr>
        <w:jc w:val="both"/>
        <w:rPr>
          <w:rFonts w:ascii="Times New Roman" w:hAnsi="Times New Roman" w:cs="Times New Roman"/>
          <w:i/>
          <w:noProof/>
          <w:sz w:val="16"/>
          <w:szCs w:val="16"/>
        </w:rPr>
      </w:pPr>
    </w:p>
    <w:p>
      <w:pPr>
        <w:pStyle w:val="ListParagraph"/>
        <w:spacing w:after="200" w:line="276" w:lineRule="auto"/>
        <w:ind w:left="0"/>
        <w:jc w:val="both"/>
        <w:rPr>
          <w:rFonts w:ascii="Times New Roman" w:hAnsi="Times New Roman" w:cs="Times New Roman"/>
          <w:b/>
          <w:noProof/>
          <w:u w:val="single"/>
        </w:rPr>
      </w:pPr>
      <w:r>
        <w:rPr>
          <w:rFonts w:ascii="Times New Roman" w:hAnsi="Times New Roman"/>
          <w:b/>
          <w:noProof/>
          <w:u w:val="single"/>
        </w:rPr>
        <w:t xml:space="preserve">1. </w:t>
      </w:r>
      <w:r>
        <w:rPr>
          <w:noProof/>
        </w:rPr>
        <w:tab/>
      </w:r>
      <w:r>
        <w:rPr>
          <w:rFonts w:ascii="Times New Roman" w:hAnsi="Times New Roman"/>
          <w:b/>
          <w:noProof/>
          <w:u w:val="single"/>
        </w:rPr>
        <w:t>S’ASSOCIER POUR LA RÉSILIENCE</w:t>
      </w:r>
    </w:p>
    <w:p>
      <w:pPr>
        <w:jc w:val="both"/>
        <w:rPr>
          <w:rFonts w:ascii="Times New Roman" w:hAnsi="Times New Roman" w:cs="Times New Roman"/>
          <w:i/>
          <w:noProof/>
        </w:rPr>
      </w:pPr>
      <w:r>
        <w:rPr>
          <w:rFonts w:ascii="Times New Roman" w:hAnsi="Times New Roman"/>
          <w:noProof/>
        </w:rPr>
        <w:t xml:space="preserve">Il est dans l’intérêt stratégique de l’UE de renforcer la résilience de l’Asie centrale, de ses États et de ses sociétés. Pour ce faire, il est nécessaire de renforcer leur capacité à anticiper les pressions externes et internes et à y résister, à engager des réformes et à relever les défis découlant de la mondialisation, de la croissance démographique rapide, du changement climatique et de la dégradation de l’environnement, de la pression exercée sur les ressources en eau et en énergie, de la migration de la main-d’œuvre et des nouvelles menaces qui pèsent sur la sécurité. </w:t>
      </w:r>
      <w:bookmarkStart w:id="2" w:name="_Hlk536566681"/>
      <w:r>
        <w:rPr>
          <w:rFonts w:ascii="Times New Roman" w:hAnsi="Times New Roman"/>
          <w:noProof/>
        </w:rPr>
        <w:t xml:space="preserve">Vu les fortes différences entre les stades et modèles de développement des pays d’Asie centrale, </w:t>
      </w:r>
      <w:bookmarkEnd w:id="2"/>
      <w:r>
        <w:rPr>
          <w:rFonts w:ascii="Times New Roman" w:hAnsi="Times New Roman"/>
          <w:noProof/>
        </w:rPr>
        <w:t>l’UE fera principalement porter son action sur les faiblesses les plus graves, misant sur les atouts existants et concentrant ses efforts sur les domaines dans lesquels elle peut changer la donne. Ouvrir des perspectives à la jeunesse d’Asie centrale, qui est de plus en plus connectée et aspire de plus en plus à une meilleure situation, et émanciper les femmes et les jeunes filles resteront des priorités essentielles pour l’UE.</w:t>
      </w:r>
    </w:p>
    <w:p>
      <w:pPr>
        <w:jc w:val="both"/>
        <w:rPr>
          <w:rFonts w:ascii="Times New Roman" w:hAnsi="Times New Roman" w:cs="Times New Roman"/>
          <w:b/>
          <w:i/>
          <w:noProof/>
        </w:rPr>
      </w:pPr>
      <w:r>
        <w:rPr>
          <w:rFonts w:ascii="Times New Roman" w:hAnsi="Times New Roman"/>
          <w:b/>
          <w:i/>
          <w:noProof/>
        </w:rPr>
        <w:t xml:space="preserve">1.1. </w:t>
      </w:r>
      <w:r>
        <w:rPr>
          <w:noProof/>
        </w:rPr>
        <w:tab/>
      </w:r>
      <w:r>
        <w:rPr>
          <w:rFonts w:ascii="Times New Roman" w:hAnsi="Times New Roman"/>
          <w:b/>
          <w:i/>
          <w:noProof/>
        </w:rPr>
        <w:t>Promouvoir la démocratie, les droits de l’homme et l'état de droit</w:t>
      </w:r>
    </w:p>
    <w:p>
      <w:pPr>
        <w:jc w:val="both"/>
        <w:rPr>
          <w:rFonts w:ascii="Times New Roman" w:hAnsi="Times New Roman" w:cs="Times New Roman"/>
          <w:noProof/>
        </w:rPr>
      </w:pPr>
      <w:r>
        <w:rPr>
          <w:rFonts w:ascii="Times New Roman" w:hAnsi="Times New Roman"/>
          <w:noProof/>
        </w:rPr>
        <w:t>Consolider les institutions démocratiques, donner aux citoyens les moyens d'agir et mettre en place des structures de gouvernance politique et économique plus inclusives, promouvoir l’état de droit, renforcer l’obligation de rendre des comptes faite aux institutions publiques et garantir le respect des droits de l’homme sont des conditions indispensables à la réussite du développement durable de l’Asie centrale. Le respect des droits de l’homme restera donc un élément essentiel des relations bilatérales de l’UE avec les pays de la région.</w:t>
      </w:r>
    </w:p>
    <w:p>
      <w:pPr>
        <w:jc w:val="both"/>
        <w:rPr>
          <w:rFonts w:ascii="Times New Roman" w:hAnsi="Times New Roman" w:cs="Times New Roman"/>
          <w:noProof/>
        </w:rPr>
      </w:pPr>
      <w:r>
        <w:rPr>
          <w:rFonts w:ascii="Times New Roman" w:hAnsi="Times New Roman"/>
          <w:noProof/>
        </w:rPr>
        <w:t xml:space="preserve">L’UE continuera à promouvoir le </w:t>
      </w:r>
      <w:r>
        <w:rPr>
          <w:rFonts w:ascii="Times New Roman" w:hAnsi="Times New Roman"/>
          <w:b/>
          <w:noProof/>
        </w:rPr>
        <w:t>respect des droits de l’homme conformément aux normes internationales</w:t>
      </w:r>
      <w:r>
        <w:rPr>
          <w:rFonts w:ascii="Times New Roman" w:hAnsi="Times New Roman"/>
          <w:noProof/>
        </w:rPr>
        <w:t>, en mettant l'accent sur la liberté d’expression (y compris le pluralisme des médias), la liberté d'association, les droits des femmes, les droits des enfants, les droits des minorités et la lutte contre la discrimination, ainsi que sur la prévention et l’éradication de la torture. Elle s'emploiera également à établir des partenariats, par exemple dans le cadre de l’initiative «</w:t>
      </w:r>
      <w:r>
        <w:rPr>
          <w:rFonts w:ascii="Times New Roman" w:hAnsi="Times New Roman"/>
          <w:i/>
          <w:noProof/>
        </w:rPr>
        <w:t>Good Human Rights Stories</w:t>
      </w:r>
      <w:r>
        <w:rPr>
          <w:rFonts w:ascii="Times New Roman" w:hAnsi="Times New Roman"/>
          <w:noProof/>
        </w:rPr>
        <w:t>».</w:t>
      </w:r>
    </w:p>
    <w:p>
      <w:pPr>
        <w:jc w:val="both"/>
        <w:rPr>
          <w:rFonts w:ascii="Times New Roman" w:hAnsi="Times New Roman" w:cs="Times New Roman"/>
          <w:i/>
          <w:noProof/>
        </w:rPr>
      </w:pPr>
      <w:r>
        <w:rPr>
          <w:rFonts w:ascii="Times New Roman" w:hAnsi="Times New Roman"/>
          <w:noProof/>
        </w:rPr>
        <w:t xml:space="preserve">L’UE encouragera les États d’Asie centrale à </w:t>
      </w:r>
      <w:r>
        <w:rPr>
          <w:rFonts w:ascii="Times New Roman" w:hAnsi="Times New Roman"/>
          <w:b/>
          <w:noProof/>
        </w:rPr>
        <w:t>coopérer davantage avec les organes de suivi des traités, les agences et les procédures spéciales des Nations unies</w:t>
      </w:r>
      <w:r>
        <w:rPr>
          <w:rFonts w:ascii="Times New Roman" w:hAnsi="Times New Roman"/>
          <w:noProof/>
        </w:rPr>
        <w:t>.</w:t>
      </w:r>
      <w:r>
        <w:rPr>
          <w:rFonts w:ascii="Times New Roman" w:hAnsi="Times New Roman"/>
          <w:b/>
          <w:noProof/>
        </w:rPr>
        <w:t xml:space="preserve"> </w:t>
      </w:r>
      <w:r>
        <w:rPr>
          <w:rFonts w:ascii="Times New Roman" w:hAnsi="Times New Roman"/>
          <w:noProof/>
        </w:rPr>
        <w:t xml:space="preserve">Elle favorisera la coopération dans les </w:t>
      </w:r>
      <w:r>
        <w:rPr>
          <w:rFonts w:ascii="Times New Roman" w:hAnsi="Times New Roman"/>
          <w:b/>
          <w:noProof/>
        </w:rPr>
        <w:t>enceintes multilatérales consacrées aux droits de l’homme</w:t>
      </w:r>
      <w:r>
        <w:rPr>
          <w:rFonts w:ascii="Times New Roman" w:hAnsi="Times New Roman"/>
          <w:noProof/>
        </w:rPr>
        <w:t xml:space="preserve">, telles que le </w:t>
      </w:r>
      <w:r>
        <w:rPr>
          <w:rFonts w:ascii="Times New Roman" w:hAnsi="Times New Roman"/>
          <w:i/>
          <w:noProof/>
        </w:rPr>
        <w:t>Conseil des droits de l’homme des Nations unies</w:t>
      </w:r>
      <w:r>
        <w:rPr>
          <w:rFonts w:ascii="Times New Roman" w:hAnsi="Times New Roman"/>
          <w:noProof/>
        </w:rPr>
        <w:t xml:space="preserve"> et la </w:t>
      </w:r>
      <w:r>
        <w:rPr>
          <w:rFonts w:ascii="Times New Roman" w:hAnsi="Times New Roman"/>
          <w:i/>
          <w:noProof/>
        </w:rPr>
        <w:t>Troisième Commission de l'Assemblée générale des Nations unies</w:t>
      </w:r>
      <w:r>
        <w:rPr>
          <w:rFonts w:ascii="Times New Roman" w:hAnsi="Times New Roman"/>
          <w:noProof/>
        </w:rPr>
        <w:t xml:space="preserve">. Elle coopérera à la ratification et à la mise en œuvre des principales conventions et résolutions internationales en matière de droits de l’homme et de normes fondamentales du travail, utilisant, à cet effet, le </w:t>
      </w:r>
      <w:r>
        <w:rPr>
          <w:rFonts w:ascii="Times New Roman" w:hAnsi="Times New Roman"/>
          <w:i/>
          <w:noProof/>
        </w:rPr>
        <w:t>régime spécial d'encouragement en faveur du développement durable et de la bonne gouvernance</w:t>
      </w:r>
      <w:r>
        <w:rPr>
          <w:rFonts w:ascii="Times New Roman" w:hAnsi="Times New Roman"/>
          <w:noProof/>
        </w:rPr>
        <w:t xml:space="preserve"> (SPG+) pour les pays de la région qui peuvent y prétendre. L’expérience des États membres de l’UE concernant les ajustements juridiques nécessaires pour adhérer au Statut de Rome de la </w:t>
      </w:r>
      <w:r>
        <w:rPr>
          <w:rFonts w:ascii="Times New Roman" w:hAnsi="Times New Roman"/>
          <w:i/>
          <w:noProof/>
        </w:rPr>
        <w:t>Cour pénale internationale</w:t>
      </w:r>
      <w:r>
        <w:rPr>
          <w:rFonts w:ascii="Times New Roman" w:hAnsi="Times New Roman"/>
          <w:noProof/>
        </w:rPr>
        <w:t xml:space="preserve"> pourrait s’avérer utile aux pays d’Asie centrale.</w:t>
      </w:r>
    </w:p>
    <w:p>
      <w:pPr>
        <w:jc w:val="both"/>
        <w:rPr>
          <w:rFonts w:ascii="Times New Roman" w:hAnsi="Times New Roman" w:cs="Times New Roman"/>
          <w:noProof/>
        </w:rPr>
      </w:pPr>
      <w:r>
        <w:rPr>
          <w:rFonts w:ascii="Times New Roman" w:hAnsi="Times New Roman"/>
          <w:noProof/>
        </w:rPr>
        <w:t>La</w:t>
      </w:r>
      <w:r>
        <w:rPr>
          <w:noProof/>
        </w:rPr>
        <w:t xml:space="preserve"> </w:t>
      </w:r>
      <w:r>
        <w:rPr>
          <w:rFonts w:ascii="Times New Roman" w:hAnsi="Times New Roman"/>
          <w:b/>
          <w:noProof/>
        </w:rPr>
        <w:t>participation de la société civile</w:t>
      </w:r>
      <w:r>
        <w:rPr>
          <w:noProof/>
        </w:rPr>
        <w:t xml:space="preserve"> a</w:t>
      </w:r>
      <w:r>
        <w:rPr>
          <w:rFonts w:ascii="Times New Roman" w:hAnsi="Times New Roman"/>
          <w:noProof/>
        </w:rPr>
        <w:t>u processus décisionnel public a un rôle crucial à jouer pour garantir la viabilité des processus de modernisation en cours en Asie centrale. L’UE favorisera un environnement politique et juridique propice à la société civile permettant aux défenseurs des droits de l’homme, aux journalistes ainsi qu’aux syndicalistes indépendants et aux organisations patronales d'agir librement et en toute sécurité. Elle encouragera le dialogue et la coopération entre la société civile et les administrations à tous les niveaux.</w:t>
      </w:r>
    </w:p>
    <w:p>
      <w:pPr>
        <w:jc w:val="both"/>
        <w:rPr>
          <w:rFonts w:ascii="Times New Roman" w:hAnsi="Times New Roman" w:cs="Times New Roman"/>
          <w:noProof/>
        </w:rPr>
      </w:pPr>
      <w:r>
        <w:rPr>
          <w:rFonts w:ascii="Times New Roman" w:hAnsi="Times New Roman"/>
          <w:noProof/>
        </w:rPr>
        <w:t xml:space="preserve">L’UE intensifiera ses efforts pour promouvoir la </w:t>
      </w:r>
      <w:r>
        <w:rPr>
          <w:rFonts w:ascii="Times New Roman" w:hAnsi="Times New Roman"/>
          <w:b/>
          <w:noProof/>
        </w:rPr>
        <w:t>démocratie</w:t>
      </w:r>
      <w:r>
        <w:rPr>
          <w:rFonts w:ascii="Times New Roman" w:hAnsi="Times New Roman"/>
          <w:noProof/>
        </w:rPr>
        <w:t>, l’</w:t>
      </w:r>
      <w:r>
        <w:rPr>
          <w:rFonts w:ascii="Times New Roman" w:hAnsi="Times New Roman"/>
          <w:b/>
          <w:noProof/>
        </w:rPr>
        <w:t>état de droit</w:t>
      </w:r>
      <w:r>
        <w:rPr>
          <w:rFonts w:ascii="Times New Roman" w:hAnsi="Times New Roman"/>
          <w:noProof/>
        </w:rPr>
        <w:t xml:space="preserve"> </w:t>
      </w:r>
      <w:r>
        <w:rPr>
          <w:rFonts w:ascii="Times New Roman" w:hAnsi="Times New Roman"/>
          <w:b/>
          <w:noProof/>
        </w:rPr>
        <w:t>et</w:t>
      </w:r>
      <w:r>
        <w:rPr>
          <w:rFonts w:ascii="Times New Roman" w:hAnsi="Times New Roman"/>
          <w:noProof/>
        </w:rPr>
        <w:t xml:space="preserve"> la </w:t>
      </w:r>
      <w:r>
        <w:rPr>
          <w:rFonts w:ascii="Times New Roman" w:hAnsi="Times New Roman"/>
          <w:b/>
          <w:noProof/>
        </w:rPr>
        <w:t>bonne gouvernance</w:t>
      </w:r>
      <w:r>
        <w:rPr>
          <w:rFonts w:ascii="Times New Roman" w:hAnsi="Times New Roman"/>
          <w:noProof/>
        </w:rPr>
        <w:t xml:space="preserve">, qui sont nécessaires pour rendre les institutions publiques plus attentives aux besoins des citoyens et les amener à rendre davantage de comptes à ces derniers, ainsi que pour attirer les investissements étrangers. Elle continuera de promouvoir des processus électoraux équitables et transparents. Elle intensifiera la coopération juridique et judiciaire, notamment avec le Conseil de l’Europe, pour favoriser l’indépendance et l’efficience des systèmes de justice. La </w:t>
      </w:r>
      <w:r>
        <w:rPr>
          <w:rFonts w:ascii="Times New Roman" w:hAnsi="Times New Roman"/>
          <w:b/>
          <w:noProof/>
        </w:rPr>
        <w:t>corruption</w:t>
      </w:r>
      <w:r>
        <w:rPr>
          <w:rFonts w:ascii="Times New Roman" w:hAnsi="Times New Roman"/>
          <w:noProof/>
        </w:rPr>
        <w:t xml:space="preserve"> restant largement répandue dans la région, l’UE mettra son savoir-faire au service des pays désireux d'apporter les modifications nécessaires à leur législation et à leurs systèmes administratifs et de renforcer leurs instances de contrôle indépendantes.</w:t>
      </w:r>
    </w:p>
    <w:p>
      <w:pPr>
        <w:jc w:val="both"/>
        <w:rPr>
          <w:rFonts w:ascii="Times New Roman" w:hAnsi="Times New Roman" w:cs="Times New Roman"/>
          <w:noProof/>
        </w:rPr>
      </w:pPr>
      <w:r>
        <w:rPr>
          <w:rFonts w:ascii="Times New Roman" w:hAnsi="Times New Roman"/>
          <w:noProof/>
        </w:rPr>
        <w:t xml:space="preserve">Vu leur effet d’entraînement positif dans de nombreux domaines, de la lutte contre la radicalisation au développement du secteur privé, l’UE favorisera - y compris en intégrant le </w:t>
      </w:r>
      <w:r>
        <w:rPr>
          <w:rFonts w:ascii="Times New Roman" w:hAnsi="Times New Roman"/>
          <w:i/>
          <w:noProof/>
        </w:rPr>
        <w:t>programme des Nations unies concernant les femmes, la paix et la sécurité</w:t>
      </w:r>
      <w:r>
        <w:rPr>
          <w:rFonts w:ascii="Times New Roman" w:hAnsi="Times New Roman"/>
          <w:noProof/>
        </w:rPr>
        <w:t xml:space="preserve"> dans les aspects pertinents de sa coopération - </w:t>
      </w:r>
      <w:r>
        <w:rPr>
          <w:rFonts w:ascii="Times New Roman" w:hAnsi="Times New Roman"/>
          <w:b/>
          <w:noProof/>
        </w:rPr>
        <w:t>l’égalité entre les femmes et les hommes ainsi que l’émancipation des femmes et des jeunes filles</w:t>
      </w:r>
      <w:r>
        <w:rPr>
          <w:rFonts w:ascii="Times New Roman" w:hAnsi="Times New Roman"/>
          <w:noProof/>
        </w:rPr>
        <w:t>, dont le potentiel de participation à la vie sociale, économique et politique reste largement inexploité dans la région. L’</w:t>
      </w:r>
      <w:r>
        <w:rPr>
          <w:rFonts w:ascii="Times New Roman" w:hAnsi="Times New Roman"/>
          <w:b/>
          <w:i/>
          <w:noProof/>
        </w:rPr>
        <w:t>initiative Spotlight</w:t>
      </w:r>
      <w:r>
        <w:rPr>
          <w:rStyle w:val="FootnoteReference"/>
          <w:rFonts w:ascii="Times New Roman" w:hAnsi="Times New Roman"/>
          <w:b/>
          <w:i/>
          <w:noProof/>
        </w:rPr>
        <w:footnoteReference w:id="8"/>
      </w:r>
      <w:r>
        <w:rPr>
          <w:rFonts w:ascii="Times New Roman" w:hAnsi="Times New Roman"/>
          <w:noProof/>
        </w:rPr>
        <w:t xml:space="preserve"> pourrait jouer un rôle important à cet égard.</w:t>
      </w:r>
    </w:p>
    <w:p>
      <w:pPr>
        <w:jc w:val="both"/>
        <w:rPr>
          <w:rFonts w:ascii="Times New Roman" w:hAnsi="Times New Roman" w:cs="Times New Roman"/>
          <w:noProof/>
        </w:rPr>
      </w:pPr>
      <w:r>
        <w:rPr>
          <w:rFonts w:ascii="Times New Roman" w:hAnsi="Times New Roman"/>
          <w:noProof/>
        </w:rPr>
        <w:t>La</w:t>
      </w:r>
      <w:r>
        <w:rPr>
          <w:noProof/>
        </w:rPr>
        <w:t xml:space="preserve"> </w:t>
      </w:r>
      <w:r>
        <w:rPr>
          <w:rFonts w:ascii="Times New Roman" w:hAnsi="Times New Roman"/>
          <w:b/>
          <w:noProof/>
        </w:rPr>
        <w:t>promotion du travail décent et du respect des normes internationales du travail</w:t>
      </w:r>
      <w:r>
        <w:rPr>
          <w:noProof/>
        </w:rPr>
        <w:t xml:space="preserve"> </w:t>
      </w:r>
      <w:r>
        <w:rPr>
          <w:rFonts w:ascii="Times New Roman" w:hAnsi="Times New Roman"/>
          <w:noProof/>
        </w:rPr>
        <w:t>restera une priorité. L’UE aidera à consolider les progrès réalisés ces dernières années dans le respect des conventions fondamentales de l’</w:t>
      </w:r>
      <w:r>
        <w:rPr>
          <w:rFonts w:ascii="Times New Roman" w:hAnsi="Times New Roman"/>
          <w:b/>
          <w:i/>
          <w:noProof/>
        </w:rPr>
        <w:t>Organisation internationale du travail</w:t>
      </w:r>
      <w:r>
        <w:rPr>
          <w:rFonts w:ascii="Times New Roman" w:hAnsi="Times New Roman"/>
          <w:noProof/>
        </w:rPr>
        <w:t xml:space="preserve"> </w:t>
      </w:r>
      <w:r>
        <w:rPr>
          <w:rFonts w:ascii="Times New Roman" w:hAnsi="Times New Roman"/>
          <w:b/>
          <w:noProof/>
        </w:rPr>
        <w:t>(OIT)</w:t>
      </w:r>
      <w:r>
        <w:rPr>
          <w:rFonts w:ascii="Times New Roman" w:hAnsi="Times New Roman"/>
          <w:noProof/>
        </w:rPr>
        <w:t xml:space="preserve"> et encouragera la ratification et la mise en œuvre des conventions de l’OIT sur l’inspection du travail, sur la sécurité et la santé des travailleurs et sur les conditions de travail. L’UE favorisera le respect des </w:t>
      </w:r>
      <w:r>
        <w:rPr>
          <w:rFonts w:ascii="Times New Roman" w:hAnsi="Times New Roman"/>
          <w:i/>
          <w:noProof/>
        </w:rPr>
        <w:t>principes directeurs des Nations Unies relatifs aux entreprises et aux droits de l’homme</w:t>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La coopération avec l’</w:t>
      </w:r>
      <w:r>
        <w:rPr>
          <w:rFonts w:ascii="Times New Roman" w:hAnsi="Times New Roman"/>
          <w:b/>
          <w:i/>
          <w:noProof/>
        </w:rPr>
        <w:t>Organisation pour la sécurité et la coopération en Europe</w:t>
      </w:r>
      <w:r>
        <w:rPr>
          <w:rFonts w:ascii="Times New Roman" w:hAnsi="Times New Roman"/>
          <w:noProof/>
        </w:rPr>
        <w:t xml:space="preserve"> </w:t>
      </w:r>
      <w:r>
        <w:rPr>
          <w:rFonts w:ascii="Times New Roman" w:hAnsi="Times New Roman"/>
          <w:b/>
          <w:noProof/>
        </w:rPr>
        <w:t>(OSCE)</w:t>
      </w:r>
      <w:r>
        <w:rPr>
          <w:rStyle w:val="FootnoteReference"/>
          <w:rFonts w:ascii="Times New Roman" w:hAnsi="Times New Roman"/>
          <w:b/>
          <w:noProof/>
        </w:rPr>
        <w:footnoteReference w:id="9"/>
      </w:r>
      <w:r>
        <w:rPr>
          <w:rFonts w:ascii="Times New Roman" w:hAnsi="Times New Roman"/>
          <w:noProof/>
        </w:rPr>
        <w:t xml:space="preserve">, notamment au niveau local, sera essentielle à cet égard. L’UE promouvra le respect et la mise en œuvre des principes et des engagements de l’OSCE, renforcera la coopération avec les institutions autonomes, le </w:t>
      </w:r>
      <w:r>
        <w:rPr>
          <w:rFonts w:ascii="Times New Roman" w:hAnsi="Times New Roman"/>
          <w:i/>
          <w:noProof/>
        </w:rPr>
        <w:t>Bureau des institutions démocratiques et des droits de l'homme de l'OSCE</w:t>
      </w:r>
      <w:r>
        <w:rPr>
          <w:rFonts w:ascii="Times New Roman" w:hAnsi="Times New Roman"/>
          <w:noProof/>
        </w:rPr>
        <w:t>, le Haut-commissaire pour les minorités nationales et le Représentant pour la liberté des médias, et encouragera les États d’Asie centrale à renforcer leur propre engagement vis-à-vis de l’OSCE et à soutenir ses missions de terrain dans la région.</w:t>
      </w:r>
    </w:p>
    <w:p>
      <w:pPr>
        <w:jc w:val="both"/>
        <w:rPr>
          <w:rFonts w:ascii="Times New Roman" w:hAnsi="Times New Roman" w:cs="Times New Roman"/>
          <w:noProof/>
        </w:rPr>
      </w:pPr>
      <w:r>
        <w:rPr>
          <w:rFonts w:ascii="Times New Roman" w:hAnsi="Times New Roman"/>
          <w:noProof/>
        </w:rPr>
        <w:t>Enfin, l’UE renforcera la coopération avec l’</w:t>
      </w:r>
      <w:r>
        <w:rPr>
          <w:rFonts w:ascii="Times New Roman" w:hAnsi="Times New Roman"/>
          <w:b/>
          <w:i/>
          <w:noProof/>
        </w:rPr>
        <w:t>Organisation de coopération et de développement économiques</w:t>
      </w:r>
      <w:r>
        <w:rPr>
          <w:rFonts w:ascii="Times New Roman" w:hAnsi="Times New Roman"/>
          <w:noProof/>
        </w:rPr>
        <w:t xml:space="preserve"> et avec l’OIT afin de promouvoir des environnements sains pour les entreprises et le programme pour un travail décent.</w:t>
      </w:r>
      <w:bookmarkStart w:id="3" w:name="_Hlk535815788"/>
    </w:p>
    <w:tbl>
      <w:tblPr>
        <w:tblStyle w:val="TableGrid"/>
        <w:tblW w:w="9072" w:type="dxa"/>
        <w:tblInd w:w="108" w:type="dxa"/>
        <w:tblLook w:val="04A0" w:firstRow="1" w:lastRow="0" w:firstColumn="1" w:lastColumn="0" w:noHBand="0" w:noVBand="1"/>
      </w:tblPr>
      <w:tblGrid>
        <w:gridCol w:w="9072"/>
      </w:tblGrid>
      <w:tr>
        <w:tc>
          <w:tcPr>
            <w:tcW w:w="9072" w:type="dxa"/>
          </w:tcPr>
          <w:p>
            <w:pPr>
              <w:jc w:val="both"/>
              <w:rPr>
                <w:rFonts w:ascii="Times New Roman" w:hAnsi="Times New Roman" w:cs="Times New Roman"/>
                <w:i/>
                <w:noProof/>
              </w:rPr>
            </w:pPr>
            <w:r>
              <w:rPr>
                <w:rFonts w:ascii="Times New Roman" w:hAnsi="Times New Roman"/>
                <w:i/>
                <w:noProof/>
              </w:rPr>
              <w:t xml:space="preserve">Parmi les initiatives spécifiques pouvant être menées dans ce domaine, citons:  </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l’utilisation des programmes régionaux pour soutenir le partage d’expériences en matière de réformes juridiques et judiciaires, de droits de l’homme, de normes internationales du travail, de bonne gouvernance, de réforme électorale et d’émancipation des femmes entre l’UE et l’Asie centrale, entre les pays d’Asie centrale et entre ces derniers et les pays du partenariat oriental;</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la mise en place de possibilités de formation sur les droits de l’homme et les techniques d'argumentation à l’intention des militants de la société civile et des défenseurs des droits de l’homme et la promotion des contacts transfrontières entre ceux-ci à l'échelle de la région, ainsi qu’avec leurs homologues dans l’UE et dans les pays du partenariat oriental;</w:t>
            </w:r>
          </w:p>
          <w:p>
            <w:pPr>
              <w:pStyle w:val="ListParagraph"/>
              <w:numPr>
                <w:ilvl w:val="0"/>
                <w:numId w:val="4"/>
              </w:numPr>
              <w:spacing w:after="120" w:line="240" w:lineRule="auto"/>
              <w:ind w:left="714" w:hanging="357"/>
              <w:jc w:val="both"/>
              <w:rPr>
                <w:rFonts w:ascii="Times New Roman" w:hAnsi="Times New Roman" w:cs="Times New Roman"/>
                <w:i/>
                <w:noProof/>
              </w:rPr>
            </w:pPr>
            <w:r>
              <w:rPr>
                <w:rFonts w:ascii="Times New Roman" w:hAnsi="Times New Roman"/>
                <w:i/>
                <w:noProof/>
              </w:rPr>
              <w:t>l’établissement d’un dialogue spécifique sur les normes du travail, les entreprises et les droits de l’homme.</w:t>
            </w:r>
          </w:p>
        </w:tc>
      </w:tr>
      <w:bookmarkEnd w:id="3"/>
    </w:tbl>
    <w:p>
      <w:pPr>
        <w:jc w:val="both"/>
        <w:rPr>
          <w:rFonts w:ascii="Times New Roman" w:hAnsi="Times New Roman" w:cs="Times New Roman"/>
          <w:b/>
          <w:i/>
          <w:noProof/>
          <w:sz w:val="16"/>
          <w:szCs w:val="16"/>
        </w:rPr>
      </w:pPr>
    </w:p>
    <w:p>
      <w:pPr>
        <w:jc w:val="both"/>
        <w:rPr>
          <w:rFonts w:ascii="Times New Roman" w:hAnsi="Times New Roman" w:cs="Times New Roman"/>
          <w:b/>
          <w:i/>
          <w:noProof/>
        </w:rPr>
      </w:pPr>
      <w:r>
        <w:rPr>
          <w:rFonts w:ascii="Times New Roman" w:hAnsi="Times New Roman"/>
          <w:b/>
          <w:i/>
          <w:noProof/>
        </w:rPr>
        <w:t xml:space="preserve">1.2. </w:t>
      </w:r>
      <w:r>
        <w:rPr>
          <w:noProof/>
        </w:rPr>
        <w:tab/>
      </w:r>
      <w:r>
        <w:rPr>
          <w:rFonts w:ascii="Times New Roman" w:hAnsi="Times New Roman"/>
          <w:b/>
          <w:i/>
          <w:noProof/>
        </w:rPr>
        <w:t>Renforcer la coopération en matière de gestion des frontières, de migration et de mobilité et la coopération face aux défis communs en matière de sécurité</w:t>
      </w:r>
    </w:p>
    <w:p>
      <w:pPr>
        <w:jc w:val="both"/>
        <w:rPr>
          <w:rFonts w:ascii="Times New Roman" w:hAnsi="Times New Roman" w:cs="Times New Roman"/>
          <w:b/>
          <w:noProof/>
        </w:rPr>
      </w:pPr>
      <w:r>
        <w:rPr>
          <w:rFonts w:ascii="Times New Roman" w:hAnsi="Times New Roman"/>
          <w:noProof/>
        </w:rPr>
        <w:t xml:space="preserve">L’UE et l’Asie centrale sont des partenaires de longue date dans le domaine de la sécurité. Les réunions périodiques du </w:t>
      </w:r>
      <w:r>
        <w:rPr>
          <w:rFonts w:ascii="Times New Roman" w:hAnsi="Times New Roman"/>
          <w:b/>
          <w:i/>
          <w:noProof/>
        </w:rPr>
        <w:t>dialogue à haut niveau UE-Asie centrale en matière de politique et de sécurité</w:t>
      </w:r>
      <w:r>
        <w:rPr>
          <w:rFonts w:ascii="Times New Roman" w:hAnsi="Times New Roman"/>
          <w:noProof/>
        </w:rPr>
        <w:t xml:space="preserve"> sont l’occasion d’échanger des vues sur les défis plus vastes liés à la sécurité et sur les réponses stratégiques efficaces qui peuvent y être apportées. L’UE promouvra une </w:t>
      </w:r>
      <w:r>
        <w:rPr>
          <w:rFonts w:ascii="Times New Roman" w:hAnsi="Times New Roman"/>
          <w:b/>
          <w:noProof/>
        </w:rPr>
        <w:t>approche intégrée</w:t>
      </w:r>
      <w:r>
        <w:rPr>
          <w:rFonts w:ascii="Times New Roman" w:hAnsi="Times New Roman"/>
          <w:noProof/>
        </w:rPr>
        <w:t xml:space="preserve"> de la coopération en matière de sécurité dans la région et intensifiera la coopération pour remédier aux principales causes profondes de l’insécurité que sont la pauvreté, l’exclusion sociale et la marginalisation, la participation limitée à la vie politique, les faiblesses institutionnelles, la corruption et la mauvaise gestion des ressources naturelles. Afin de contribuer à une sécurité humaine durable, l’UE s’attachera à discuter du </w:t>
      </w:r>
      <w:r>
        <w:rPr>
          <w:rFonts w:ascii="Times New Roman" w:hAnsi="Times New Roman"/>
          <w:b/>
          <w:noProof/>
        </w:rPr>
        <w:t>secteur de la sécurité</w:t>
      </w:r>
      <w:r>
        <w:rPr>
          <w:rFonts w:ascii="Times New Roman" w:hAnsi="Times New Roman"/>
          <w:noProof/>
        </w:rPr>
        <w:t xml:space="preserve"> avec les pays d’Asie centrale et envisagera une coopération visant à faire en sorte que ce dernier doive rendre davantage de comptes et fasse l’objet d’une réforme effective.</w:t>
      </w:r>
    </w:p>
    <w:p>
      <w:pPr>
        <w:jc w:val="both"/>
        <w:rPr>
          <w:rFonts w:ascii="Times New Roman" w:hAnsi="Times New Roman" w:cs="Times New Roman"/>
          <w:noProof/>
        </w:rPr>
      </w:pPr>
      <w:r>
        <w:rPr>
          <w:rFonts w:ascii="Times New Roman" w:hAnsi="Times New Roman"/>
          <w:noProof/>
        </w:rPr>
        <w:t xml:space="preserve">Le </w:t>
      </w:r>
      <w:r>
        <w:rPr>
          <w:rFonts w:ascii="Times New Roman" w:hAnsi="Times New Roman"/>
          <w:b/>
          <w:noProof/>
        </w:rPr>
        <w:t>changement climatique</w:t>
      </w:r>
      <w:r>
        <w:rPr>
          <w:rFonts w:ascii="Times New Roman" w:hAnsi="Times New Roman"/>
          <w:noProof/>
        </w:rPr>
        <w:t xml:space="preserve"> et la </w:t>
      </w:r>
      <w:r>
        <w:rPr>
          <w:rFonts w:ascii="Times New Roman" w:hAnsi="Times New Roman"/>
          <w:b/>
          <w:noProof/>
        </w:rPr>
        <w:t>dégradation de l’environnement</w:t>
      </w:r>
      <w:r>
        <w:rPr>
          <w:rFonts w:ascii="Times New Roman" w:hAnsi="Times New Roman"/>
          <w:noProof/>
        </w:rPr>
        <w:t xml:space="preserve"> constituent un multiplicateur potentiel de menace. Par conséquent, l’UE intégrera davantage le lien entre l’environnement, le climat et la sécurité dans son dialogue stratégique, ses actions de prévention des conflits, ses actions humanitaires et de développement et ses stratégies en matière de réduction des risques de catastrophes dans toute l’Asie centrale.</w:t>
      </w:r>
    </w:p>
    <w:p>
      <w:pPr>
        <w:jc w:val="both"/>
        <w:rPr>
          <w:rFonts w:ascii="Times New Roman" w:hAnsi="Times New Roman" w:cs="Times New Roman"/>
          <w:noProof/>
        </w:rPr>
      </w:pPr>
      <w:r>
        <w:rPr>
          <w:rFonts w:ascii="Times New Roman" w:hAnsi="Times New Roman"/>
          <w:noProof/>
        </w:rPr>
        <w:t>Le</w:t>
      </w:r>
      <w:r>
        <w:rPr>
          <w:noProof/>
        </w:rPr>
        <w:t xml:space="preserve"> </w:t>
      </w:r>
      <w:r>
        <w:rPr>
          <w:rFonts w:ascii="Times New Roman" w:hAnsi="Times New Roman"/>
          <w:b/>
          <w:noProof/>
        </w:rPr>
        <w:t>terrorisme</w:t>
      </w:r>
      <w:r>
        <w:rPr>
          <w:noProof/>
        </w:rPr>
        <w:t xml:space="preserve"> </w:t>
      </w:r>
      <w:r>
        <w:rPr>
          <w:rFonts w:ascii="Times New Roman" w:hAnsi="Times New Roman"/>
          <w:noProof/>
        </w:rPr>
        <w:t>et l’</w:t>
      </w:r>
      <w:r>
        <w:rPr>
          <w:rFonts w:ascii="Times New Roman" w:hAnsi="Times New Roman"/>
          <w:b/>
          <w:noProof/>
        </w:rPr>
        <w:t>extrémisme violent</w:t>
      </w:r>
      <w:r>
        <w:rPr>
          <w:noProof/>
        </w:rPr>
        <w:t xml:space="preserve"> </w:t>
      </w:r>
      <w:r>
        <w:rPr>
          <w:rFonts w:ascii="Times New Roman" w:hAnsi="Times New Roman"/>
          <w:noProof/>
        </w:rPr>
        <w:t xml:space="preserve">restent un défi dans l’UE comme en Asie centrale. La coopération visant à prévenir l’extrémisme violent et la radicalisation ainsi que le financement du terrorisme et à trouver une solution au problème que représente le retour des combattants terroristes restera une priorité du partenariat et sera renforcée grâce au poste nouvellement créé d’expert de l’UE en matière de sécurité et de lutte contre le terrorisme, doté d’une compétence régionale pour l’Asie centrale, le tout en concertation avec la société civile et en maintenant l’attention accordée aux droits de l’homme. L’UE encouragera l’échange de bonnes pratiques en matière de prévention de l’extrémisme violent, y compris la recherche sur les moteurs de l’extrémisme violent, les mesures de prévention et la diffusion de contre-messages. Elle s’efforcera de renforcer la résilience des populations locales face à l’extrémisme violent, dans le respect des droits de l’homme et de l’état de droit et en tenant compte des questions d’égalité des sexes, conformément au </w:t>
      </w:r>
      <w:r>
        <w:rPr>
          <w:rFonts w:ascii="Times New Roman" w:hAnsi="Times New Roman"/>
          <w:i/>
          <w:noProof/>
        </w:rPr>
        <w:t>plan d'action des Nations unies pour la prévention de l'extrémisme violent</w:t>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Forte des enseignements tirés des programmes antérieurs dans la région, l’UE intensifiera la coopération avec l’Asie centrale en matière de </w:t>
      </w:r>
      <w:r>
        <w:rPr>
          <w:rFonts w:ascii="Times New Roman" w:hAnsi="Times New Roman"/>
          <w:b/>
          <w:noProof/>
        </w:rPr>
        <w:t>gestion moderne et intégrée des frontières</w:t>
      </w:r>
      <w:r>
        <w:rPr>
          <w:rFonts w:ascii="Times New Roman" w:hAnsi="Times New Roman"/>
          <w:noProof/>
        </w:rPr>
        <w:t xml:space="preserve"> et étendra les efforts de coopération régionale à l’Afghanistan. Elle cherchera d'autres moyens d’intensifier la coopération avec la région dans les domaines de</w:t>
      </w:r>
      <w:r>
        <w:rPr>
          <w:rFonts w:ascii="Times New Roman" w:hAnsi="Times New Roman"/>
          <w:b/>
          <w:noProof/>
        </w:rPr>
        <w:t xml:space="preserve"> la lutte contre la criminalité organisée, le trafic de migrants, la traite des êtres humains et le trafic de drogues</w:t>
      </w:r>
      <w:r>
        <w:rPr>
          <w:rFonts w:ascii="Times New Roman" w:hAnsi="Times New Roman"/>
          <w:noProof/>
        </w:rPr>
        <w:t>.</w:t>
      </w:r>
      <w:r>
        <w:rPr>
          <w:rFonts w:ascii="Times New Roman" w:hAnsi="Times New Roman"/>
          <w:b/>
          <w:noProof/>
        </w:rPr>
        <w:t xml:space="preserve"> </w:t>
      </w:r>
      <w:r>
        <w:rPr>
          <w:rFonts w:ascii="Times New Roman" w:hAnsi="Times New Roman"/>
          <w:noProof/>
        </w:rPr>
        <w:t>Elle continuera de coopérer au développement de politiques intégrées et équilibrées de lutte contre la drogue.</w:t>
      </w:r>
    </w:p>
    <w:p>
      <w:pPr>
        <w:jc w:val="both"/>
        <w:rPr>
          <w:rFonts w:ascii="Times New Roman" w:hAnsi="Times New Roman" w:cs="Times New Roman"/>
          <w:noProof/>
        </w:rPr>
      </w:pPr>
      <w:r>
        <w:rPr>
          <w:rFonts w:ascii="Times New Roman" w:hAnsi="Times New Roman"/>
          <w:noProof/>
        </w:rPr>
        <w:t xml:space="preserve">Dans le but d'améliorer la gestion de la migration et de la mobilité dans la région d’Asie centrale et de créer des conditions propices à une intensification des contacts interpersonnels entre les citoyens des pays d’Asie centrale et ceux de l’UE et d’autres pays partenaires, la coopération renforcée sera axée sur la </w:t>
      </w:r>
      <w:r>
        <w:rPr>
          <w:rFonts w:ascii="Times New Roman" w:hAnsi="Times New Roman"/>
          <w:b/>
          <w:noProof/>
        </w:rPr>
        <w:t>lutte contre la migration irrégulière</w:t>
      </w:r>
      <w:r>
        <w:rPr>
          <w:rFonts w:ascii="Times New Roman" w:hAnsi="Times New Roman"/>
          <w:noProof/>
        </w:rPr>
        <w:t xml:space="preserve"> dans le strict respect des droits de l’homme. Cela suppose de coopérer en matière de gestion des frontières, de réadmission des migrants en situation irrégulière et de réintégration des personnes faisant l'objet d'une décision de retour, de </w:t>
      </w:r>
      <w:r>
        <w:rPr>
          <w:rFonts w:ascii="Times New Roman" w:hAnsi="Times New Roman"/>
          <w:b/>
          <w:noProof/>
        </w:rPr>
        <w:t>lutter contre les causes profondes de la migration irrégulière</w:t>
      </w:r>
      <w:r>
        <w:rPr>
          <w:rFonts w:ascii="Times New Roman" w:hAnsi="Times New Roman"/>
          <w:noProof/>
        </w:rPr>
        <w:t xml:space="preserve"> par la promotion de la formation professionnelle, de conditions de travail décentes et d’emplois de qualité dans le pays d’origine, de soutenir les voies de migration légales et d’établir une législation et des systèmes permettant d'aider efficacement les victimes de la traite des êtres humains et les personnes ayant besoin d’une protection internationale.</w:t>
      </w:r>
    </w:p>
    <w:p>
      <w:pPr>
        <w:jc w:val="both"/>
        <w:rPr>
          <w:rFonts w:ascii="Times New Roman" w:hAnsi="Times New Roman" w:cs="Times New Roman"/>
          <w:noProof/>
        </w:rPr>
      </w:pPr>
      <w:r>
        <w:rPr>
          <w:rFonts w:ascii="Times New Roman" w:hAnsi="Times New Roman"/>
          <w:noProof/>
        </w:rPr>
        <w:t xml:space="preserve">À cet effet, l’UE encouragera les pays d’Asie centrale à </w:t>
      </w:r>
      <w:r>
        <w:rPr>
          <w:rFonts w:ascii="Times New Roman" w:hAnsi="Times New Roman"/>
          <w:b/>
          <w:noProof/>
        </w:rPr>
        <w:t>élaborer des politiques migratoires nationales</w:t>
      </w:r>
      <w:r>
        <w:rPr>
          <w:rFonts w:ascii="Times New Roman" w:hAnsi="Times New Roman"/>
          <w:noProof/>
        </w:rPr>
        <w:t xml:space="preserve">, à </w:t>
      </w:r>
      <w:r>
        <w:rPr>
          <w:rFonts w:ascii="Times New Roman" w:hAnsi="Times New Roman"/>
          <w:b/>
          <w:noProof/>
        </w:rPr>
        <w:t>collaborer au niveau régional</w:t>
      </w:r>
      <w:r>
        <w:rPr>
          <w:rFonts w:ascii="Times New Roman" w:hAnsi="Times New Roman"/>
          <w:noProof/>
        </w:rPr>
        <w:t xml:space="preserve"> et à </w:t>
      </w:r>
      <w:r>
        <w:rPr>
          <w:rFonts w:ascii="Times New Roman" w:hAnsi="Times New Roman"/>
          <w:b/>
          <w:noProof/>
        </w:rPr>
        <w:t>coopérer dans le domaine de la gouvernance multilatérale de la mobilité et de la migration</w:t>
      </w:r>
      <w:r>
        <w:rPr>
          <w:rFonts w:ascii="Times New Roman" w:hAnsi="Times New Roman"/>
          <w:noProof/>
        </w:rPr>
        <w:t>, dans le respect des principes directeurs des Nations unies. Parallèlement, l’UE intensifiera également son dialogue et sa coopération au niveau bilatéral dans le domaine de la migration et de la mobilité avec les pays d’Asie centrale, en particulier dans le cadre des APC renforcés.</w:t>
      </w:r>
    </w:p>
    <w:p>
      <w:pPr>
        <w:jc w:val="both"/>
        <w:rPr>
          <w:rFonts w:ascii="Times New Roman" w:hAnsi="Times New Roman" w:cs="Times New Roman"/>
          <w:noProof/>
        </w:rPr>
      </w:pPr>
      <w:r>
        <w:rPr>
          <w:rFonts w:ascii="Times New Roman" w:hAnsi="Times New Roman"/>
          <w:noProof/>
        </w:rPr>
        <w:t xml:space="preserve">L’UE œuvrera avec les États d’Asie centrale pour promouvoir un </w:t>
      </w:r>
      <w:r>
        <w:rPr>
          <w:rFonts w:ascii="Times New Roman" w:hAnsi="Times New Roman"/>
          <w:b/>
          <w:noProof/>
        </w:rPr>
        <w:t>cyberespace</w:t>
      </w:r>
      <w:r>
        <w:rPr>
          <w:rFonts w:ascii="Times New Roman" w:hAnsi="Times New Roman"/>
          <w:noProof/>
        </w:rPr>
        <w:t xml:space="preserve"> ouvert, libre et sûr et améliorer la </w:t>
      </w:r>
      <w:r>
        <w:rPr>
          <w:rFonts w:ascii="Times New Roman" w:hAnsi="Times New Roman"/>
          <w:b/>
          <w:noProof/>
        </w:rPr>
        <w:t>cybersécurité</w:t>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L’UE continuera de coopérer avec la région en ce qui concerne la </w:t>
      </w:r>
      <w:r>
        <w:rPr>
          <w:rFonts w:ascii="Times New Roman" w:hAnsi="Times New Roman"/>
          <w:b/>
          <w:noProof/>
        </w:rPr>
        <w:t>non-prolifération des armes de destruction massive</w:t>
      </w:r>
      <w:r>
        <w:rPr>
          <w:rFonts w:ascii="Times New Roman" w:hAnsi="Times New Roman"/>
          <w:noProof/>
        </w:rPr>
        <w:t xml:space="preserve">, le </w:t>
      </w:r>
      <w:r>
        <w:rPr>
          <w:rFonts w:ascii="Times New Roman" w:hAnsi="Times New Roman"/>
          <w:b/>
          <w:noProof/>
        </w:rPr>
        <w:t>contrôle des exportations de biens à double usage</w:t>
      </w:r>
      <w:r>
        <w:rPr>
          <w:rFonts w:ascii="Times New Roman" w:hAnsi="Times New Roman"/>
          <w:noProof/>
        </w:rPr>
        <w:t xml:space="preserve"> ainsi que la </w:t>
      </w:r>
      <w:r>
        <w:rPr>
          <w:rFonts w:ascii="Times New Roman" w:hAnsi="Times New Roman"/>
          <w:b/>
          <w:noProof/>
        </w:rPr>
        <w:t>sûreté</w:t>
      </w:r>
      <w:r>
        <w:rPr>
          <w:rFonts w:ascii="Times New Roman" w:hAnsi="Times New Roman"/>
          <w:noProof/>
        </w:rPr>
        <w:t xml:space="preserve"> et la </w:t>
      </w:r>
      <w:r>
        <w:rPr>
          <w:rFonts w:ascii="Times New Roman" w:hAnsi="Times New Roman"/>
          <w:b/>
          <w:noProof/>
        </w:rPr>
        <w:t>sécurité nucléaires</w:t>
      </w:r>
      <w:r>
        <w:rPr>
          <w:rFonts w:ascii="Times New Roman" w:hAnsi="Times New Roman"/>
          <w:noProof/>
        </w:rPr>
        <w:t xml:space="preserve">, en tirant pleinement parti du </w:t>
      </w:r>
      <w:r>
        <w:rPr>
          <w:rFonts w:ascii="Times New Roman" w:hAnsi="Times New Roman"/>
          <w:i/>
          <w:noProof/>
        </w:rPr>
        <w:t>centre d’excellence pour l'atténuation des risques chimiques, biologiques, radiologiques et nucléaires en Asie centrale</w:t>
      </w:r>
      <w:r>
        <w:rPr>
          <w:rFonts w:ascii="Times New Roman" w:hAnsi="Times New Roman"/>
          <w:noProof/>
        </w:rPr>
        <w:t xml:space="preserve">. Elle entamera un dialogue plus étroit avec les États d'Asie centrale dans le domaine de la </w:t>
      </w:r>
      <w:r>
        <w:rPr>
          <w:rFonts w:ascii="Times New Roman" w:hAnsi="Times New Roman"/>
          <w:b/>
          <w:noProof/>
        </w:rPr>
        <w:t>gestion des crises</w:t>
      </w:r>
      <w:r>
        <w:rPr>
          <w:rFonts w:ascii="Times New Roman" w:hAnsi="Times New Roman"/>
          <w:noProof/>
        </w:rPr>
        <w:t xml:space="preserve"> et du </w:t>
      </w:r>
      <w:r>
        <w:rPr>
          <w:rFonts w:ascii="Times New Roman" w:hAnsi="Times New Roman"/>
          <w:b/>
          <w:noProof/>
        </w:rPr>
        <w:t>maintien de la paix</w:t>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Il est également dans l’intérêt de l’UE de continuer à suivre les évolutions au sein des structures de sécurité régionales telles que l’</w:t>
      </w:r>
      <w:r>
        <w:rPr>
          <w:rFonts w:ascii="Times New Roman" w:hAnsi="Times New Roman"/>
          <w:b/>
          <w:i/>
          <w:noProof/>
        </w:rPr>
        <w:t>Organisation de coopération de Shanghai</w:t>
      </w:r>
      <w:r>
        <w:rPr>
          <w:rFonts w:ascii="Times New Roman" w:hAnsi="Times New Roman"/>
          <w:noProof/>
        </w:rPr>
        <w:t xml:space="preserve"> et l’</w:t>
      </w:r>
      <w:r>
        <w:rPr>
          <w:rFonts w:ascii="Times New Roman" w:hAnsi="Times New Roman"/>
          <w:b/>
          <w:i/>
          <w:noProof/>
        </w:rPr>
        <w:t>Organisation du traité de sécurité collective</w:t>
      </w:r>
      <w:r>
        <w:rPr>
          <w:rFonts w:ascii="Times New Roman" w:hAnsi="Times New Roman"/>
          <w:noProof/>
        </w:rPr>
        <w:t>.</w:t>
      </w:r>
    </w:p>
    <w:tbl>
      <w:tblPr>
        <w:tblStyle w:val="TableGrid"/>
        <w:tblW w:w="9072" w:type="dxa"/>
        <w:tblInd w:w="108" w:type="dxa"/>
        <w:tblLook w:val="04A0" w:firstRow="1" w:lastRow="0" w:firstColumn="1" w:lastColumn="0" w:noHBand="0" w:noVBand="1"/>
      </w:tblPr>
      <w:tblGrid>
        <w:gridCol w:w="9072"/>
      </w:tblGrid>
      <w:tr>
        <w:tc>
          <w:tcPr>
            <w:tcW w:w="9072" w:type="dxa"/>
          </w:tcPr>
          <w:p>
            <w:pPr>
              <w:jc w:val="both"/>
              <w:rPr>
                <w:rFonts w:ascii="Times New Roman" w:hAnsi="Times New Roman" w:cs="Times New Roman"/>
                <w:i/>
                <w:noProof/>
              </w:rPr>
            </w:pPr>
            <w:r>
              <w:rPr>
                <w:rFonts w:ascii="Times New Roman" w:hAnsi="Times New Roman"/>
                <w:i/>
                <w:noProof/>
              </w:rPr>
              <w:t xml:space="preserve">Parmi les initiatives spécifiques pouvant être menées dans ce domaine, citons:  </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 xml:space="preserve">l’utilisation du dialogue à haut niveau UE-Asie centrale en matière de politique et de sécurité et du poste nouvellement créé d’expert de l’UE en matière de sécurité et de lutte contre le terrorisme, doté d’une compétence régionale pour l’Asie centrale, pour renforcer la coopération pratique sur les grands enjeux prioritaires en matière de sécurité, notamment la gouvernance et la réforme du secteur de la sécurité, les menaces hybrides et le lien entre eau et sécurité;    </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 xml:space="preserve">l’organisation de réunions ad hoc d’experts de l’UE et de l’Asie centrale sur la prévention de l’extrémisme violent et la lutte contre le terrorisme, afin de promouvoir le partage des bonnes pratiques et de renforcer la coopération transfrontière, dans le respect des engagements internationaux en la matière; </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l’intensification de la coopération et le renforcement des synergies avec l’OSCE en matière de prévention des menaces transnationales en Asie centrale et de lutte contre ces dernières;</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 xml:space="preserve">la poursuite de la coopération sur la politique de lutte contre la drogue afin de renforcer davantage les politiques nationales de réduction de la demande de drogue et de lutter contre l'offre illicite de drogue et la criminalité organisée qui y est liée; </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 xml:space="preserve">le partage du savoir-faire en matière de cybersécurité et de menaces hybrides, notamment en donnant la possibilité à l’Asie centrale de participer au recensement conjoint des menaces hybrides dans le cadre de l’étude de l’UE sur les risques hybrides;  </w:t>
            </w:r>
          </w:p>
          <w:p>
            <w:pPr>
              <w:pStyle w:val="ListParagraph"/>
              <w:numPr>
                <w:ilvl w:val="0"/>
                <w:numId w:val="4"/>
              </w:numPr>
              <w:jc w:val="both"/>
              <w:rPr>
                <w:rFonts w:ascii="Times New Roman" w:hAnsi="Times New Roman" w:cs="Times New Roman"/>
                <w:i/>
                <w:noProof/>
              </w:rPr>
            </w:pPr>
            <w:r>
              <w:rPr>
                <w:rFonts w:ascii="Times New Roman" w:hAnsi="Times New Roman"/>
                <w:i/>
                <w:noProof/>
              </w:rPr>
              <w:t xml:space="preserve">le renforcement de la coopération en matière de gestion moderne et intégrée des frontières, en s’appuyant sur la coopération de longue date entre l’UE et respectivement l’Asie centrale et l’Afghanistan;   </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l’intensification du dialogue et de la coopération en matière de migration et de mobilité dans le cadre des APC renforcés et des Nations unies.</w:t>
            </w:r>
          </w:p>
        </w:tc>
      </w:tr>
    </w:tbl>
    <w:p>
      <w:pPr>
        <w:jc w:val="both"/>
        <w:rPr>
          <w:rFonts w:ascii="Times New Roman" w:hAnsi="Times New Roman" w:cs="Times New Roman"/>
          <w:i/>
          <w:noProof/>
          <w:sz w:val="16"/>
          <w:szCs w:val="16"/>
        </w:rPr>
      </w:pPr>
    </w:p>
    <w:p>
      <w:pPr>
        <w:jc w:val="both"/>
        <w:rPr>
          <w:rFonts w:ascii="Times New Roman" w:hAnsi="Times New Roman" w:cs="Times New Roman"/>
          <w:b/>
          <w:i/>
          <w:noProof/>
        </w:rPr>
      </w:pPr>
      <w:r>
        <w:rPr>
          <w:rFonts w:ascii="Times New Roman" w:hAnsi="Times New Roman"/>
          <w:b/>
          <w:i/>
          <w:noProof/>
        </w:rPr>
        <w:t xml:space="preserve">1.3. </w:t>
      </w:r>
      <w:r>
        <w:rPr>
          <w:noProof/>
        </w:rPr>
        <w:tab/>
      </w:r>
      <w:r>
        <w:rPr>
          <w:rFonts w:ascii="Times New Roman" w:hAnsi="Times New Roman"/>
          <w:b/>
          <w:i/>
          <w:noProof/>
        </w:rPr>
        <w:t>Améliorer la résilience dans les domaines de l’environnement, du climat et de l’eau</w:t>
      </w:r>
    </w:p>
    <w:p>
      <w:pPr>
        <w:jc w:val="both"/>
        <w:rPr>
          <w:rFonts w:ascii="Times New Roman" w:hAnsi="Times New Roman" w:cs="Times New Roman"/>
          <w:noProof/>
        </w:rPr>
      </w:pPr>
      <w:r>
        <w:rPr>
          <w:rFonts w:ascii="Times New Roman" w:hAnsi="Times New Roman"/>
          <w:noProof/>
        </w:rPr>
        <w:t>L’Asie centrale doit faire face à des problèmes environnementaux de plus en plus graves. L’effet conjugué du changement climatique, qui a commencé à réduire le débit des eaux en raison du retrait des glaciers qui alimentent les fleuves et rivières d’Asie centrale, et de la croissance démographique rapide aggravera certains des problèmes environnementaux que connaît la région, ce qui pourrait avoir des répercussions sur le développement économique, la sécurité et la migration.</w:t>
      </w:r>
    </w:p>
    <w:p>
      <w:pPr>
        <w:jc w:val="both"/>
        <w:rPr>
          <w:rFonts w:ascii="Times New Roman" w:hAnsi="Times New Roman" w:cs="Times New Roman"/>
          <w:noProof/>
        </w:rPr>
      </w:pPr>
      <w:r>
        <w:rPr>
          <w:rFonts w:ascii="Times New Roman" w:hAnsi="Times New Roman"/>
          <w:noProof/>
        </w:rPr>
        <w:t>L’UE peut aider la région à transformer ces problèmes en opportunités. Ces problèmes étant transfrontières par nature et exigeant une confiance mutuelle et des solutions concertées, l’UE continuera à adopter une</w:t>
      </w:r>
      <w:r>
        <w:rPr>
          <w:rFonts w:ascii="Times New Roman" w:hAnsi="Times New Roman"/>
          <w:b/>
          <w:noProof/>
        </w:rPr>
        <w:t xml:space="preserve"> approche régionale</w:t>
      </w:r>
      <w:r>
        <w:rPr>
          <w:rFonts w:ascii="Times New Roman" w:hAnsi="Times New Roman"/>
          <w:noProof/>
        </w:rPr>
        <w:t xml:space="preserve"> de la coopération dans le domaine de l’environnement, de l’eau et de la lutte contre le changement climatique.</w:t>
      </w:r>
    </w:p>
    <w:p>
      <w:pPr>
        <w:jc w:val="both"/>
        <w:rPr>
          <w:rFonts w:ascii="Times New Roman" w:hAnsi="Times New Roman" w:cs="Times New Roman"/>
          <w:noProof/>
        </w:rPr>
      </w:pPr>
      <w:r>
        <w:rPr>
          <w:rFonts w:ascii="Times New Roman" w:hAnsi="Times New Roman"/>
          <w:noProof/>
        </w:rPr>
        <w:t>L’UE coopérera avec ses partenaires d’Asie centrale à la mise en œuvre de l’</w:t>
      </w:r>
      <w:r>
        <w:rPr>
          <w:rFonts w:ascii="Times New Roman" w:hAnsi="Times New Roman"/>
          <w:b/>
          <w:i/>
          <w:noProof/>
        </w:rPr>
        <w:t>accord de Paris sur le climat</w:t>
      </w:r>
      <w:r>
        <w:rPr>
          <w:rStyle w:val="FootnoteReference"/>
          <w:rFonts w:ascii="Times New Roman" w:hAnsi="Times New Roman"/>
          <w:b/>
          <w:i/>
          <w:noProof/>
        </w:rPr>
        <w:footnoteReference w:id="10"/>
      </w:r>
      <w:r>
        <w:rPr>
          <w:rFonts w:ascii="Times New Roman" w:hAnsi="Times New Roman"/>
          <w:noProof/>
        </w:rPr>
        <w:t xml:space="preserve"> et des </w:t>
      </w:r>
      <w:r>
        <w:rPr>
          <w:rFonts w:ascii="Times New Roman" w:hAnsi="Times New Roman"/>
          <w:i/>
          <w:noProof/>
        </w:rPr>
        <w:t>contributions déterminées au niveau national</w:t>
      </w:r>
      <w:r>
        <w:rPr>
          <w:rFonts w:ascii="Times New Roman" w:hAnsi="Times New Roman"/>
          <w:noProof/>
        </w:rPr>
        <w:t xml:space="preserve"> au moyen de mesures concrètes destinées à atténuer le changement climatique, à s'adapter aux effets de celui-ci et à réduire les risques de catastrophe.</w:t>
      </w:r>
    </w:p>
    <w:p>
      <w:pPr>
        <w:jc w:val="both"/>
        <w:rPr>
          <w:rFonts w:ascii="Times New Roman" w:hAnsi="Times New Roman" w:cs="Times New Roman"/>
          <w:noProof/>
        </w:rPr>
      </w:pPr>
      <w:r>
        <w:rPr>
          <w:rFonts w:ascii="Times New Roman" w:hAnsi="Times New Roman"/>
          <w:noProof/>
        </w:rPr>
        <w:t xml:space="preserve">L’UE aidera les pays d’Asie centrale à adopter des normes environnementales élevées et les encouragera à abandonner les modèles de production linéaire au profit d’une </w:t>
      </w:r>
      <w:r>
        <w:rPr>
          <w:rFonts w:ascii="Times New Roman" w:hAnsi="Times New Roman"/>
          <w:b/>
          <w:noProof/>
        </w:rPr>
        <w:t>économie circulaire</w:t>
      </w:r>
      <w:r>
        <w:rPr>
          <w:rFonts w:ascii="Times New Roman" w:hAnsi="Times New Roman"/>
          <w:noProof/>
        </w:rPr>
        <w:t xml:space="preserve"> dans laquelle la valeur des produits est maintenue aussi longtemps que possible, l’efficacité énergétique est améliorée, les ressources sont utilisées plus efficacement et les déchets et les émissions de carbone et de polluants sont réduits au minimum. Cette transition vers des modes de production et de consommation durables peut avoir des effets très bénéfiques sur la santé humaine et la qualité de vie, tout en contribuant à favoriser la diversification de l’économie, en ouvrant de nouveaux débouchés commerciaux et en stimulant la croissance économique.</w:t>
      </w:r>
    </w:p>
    <w:p>
      <w:pPr>
        <w:jc w:val="both"/>
        <w:rPr>
          <w:rFonts w:ascii="Times New Roman" w:hAnsi="Times New Roman" w:cs="Times New Roman"/>
          <w:noProof/>
        </w:rPr>
      </w:pPr>
      <w:r>
        <w:rPr>
          <w:rFonts w:ascii="Times New Roman" w:hAnsi="Times New Roman"/>
          <w:noProof/>
        </w:rPr>
        <w:t xml:space="preserve">S'appuyant sur le potentiel de la région dans le domaine de l’énergie solaire, éolienne et hydroélectrique, l’UE encouragera les </w:t>
      </w:r>
      <w:r>
        <w:rPr>
          <w:rFonts w:ascii="Times New Roman" w:hAnsi="Times New Roman"/>
          <w:b/>
          <w:noProof/>
        </w:rPr>
        <w:t>réformes du secteur de l’énergie</w:t>
      </w:r>
      <w:r>
        <w:rPr>
          <w:rFonts w:ascii="Times New Roman" w:hAnsi="Times New Roman"/>
          <w:noProof/>
        </w:rPr>
        <w:t xml:space="preserve"> et la </w:t>
      </w:r>
      <w:r>
        <w:rPr>
          <w:rFonts w:ascii="Times New Roman" w:hAnsi="Times New Roman"/>
          <w:b/>
          <w:noProof/>
        </w:rPr>
        <w:t>transition vers une économie à faible intensité de carbone</w:t>
      </w:r>
      <w:r>
        <w:rPr>
          <w:rFonts w:ascii="Times New Roman" w:hAnsi="Times New Roman"/>
          <w:noProof/>
        </w:rPr>
        <w:t xml:space="preserve"> en Asie centrale. La mise à disposition de la technologie et du savoir-faire de l’UE en matière d’</w:t>
      </w:r>
      <w:r>
        <w:rPr>
          <w:rFonts w:ascii="Times New Roman" w:hAnsi="Times New Roman"/>
          <w:b/>
          <w:noProof/>
        </w:rPr>
        <w:t>énergies renouvelables</w:t>
      </w:r>
      <w:r>
        <w:rPr>
          <w:rFonts w:ascii="Times New Roman" w:hAnsi="Times New Roman"/>
          <w:noProof/>
        </w:rPr>
        <w:t xml:space="preserve"> et d’</w:t>
      </w:r>
      <w:r>
        <w:rPr>
          <w:rFonts w:ascii="Times New Roman" w:hAnsi="Times New Roman"/>
          <w:b/>
          <w:noProof/>
        </w:rPr>
        <w:t>efficacité énergétique</w:t>
      </w:r>
      <w:r>
        <w:rPr>
          <w:rFonts w:ascii="Times New Roman" w:hAnsi="Times New Roman"/>
          <w:noProof/>
        </w:rPr>
        <w:t xml:space="preserve"> de même que l’apport de conseils sur les réformes de la réglementation devraient contribuer à renforcer la résilience énergétique de la région, aider cette dernière à atteindre ses objectifs en matière de climat et créer des emplois et des débouchés commerciaux dans l’UE comme en Asie centrale.</w:t>
      </w:r>
    </w:p>
    <w:p>
      <w:pPr>
        <w:jc w:val="both"/>
        <w:rPr>
          <w:rFonts w:ascii="Times New Roman" w:hAnsi="Times New Roman" w:cs="Times New Roman"/>
          <w:noProof/>
        </w:rPr>
      </w:pPr>
      <w:r>
        <w:rPr>
          <w:rFonts w:ascii="Times New Roman" w:hAnsi="Times New Roman"/>
          <w:noProof/>
        </w:rPr>
        <w:t xml:space="preserve">L’UE encouragera également une </w:t>
      </w:r>
      <w:r>
        <w:rPr>
          <w:rFonts w:ascii="Times New Roman" w:hAnsi="Times New Roman"/>
          <w:b/>
          <w:noProof/>
        </w:rPr>
        <w:t>meilleure gouvernance environnementale</w:t>
      </w:r>
      <w:r>
        <w:rPr>
          <w:rFonts w:ascii="Times New Roman" w:hAnsi="Times New Roman"/>
          <w:noProof/>
        </w:rPr>
        <w:t xml:space="preserve"> et soutiendra le renforcement de la capacité des États d’Asie centrale à intégrer les préoccupations environnementales dans d'autres politiques et dans le processus décisionnel public, ce qui passera notamment par des évaluations adéquates des incidences sur l'environnement. Elle favorisera la durabilité, sur le plan environnemental, des investissements dans les infrastructures de connectivité et l’adhésion de tous les pays d’Asie centrale aux accords multilatéraux sur l’environnement conclus au niveau régional et mondial.</w:t>
      </w:r>
    </w:p>
    <w:p>
      <w:pPr>
        <w:jc w:val="both"/>
        <w:rPr>
          <w:rFonts w:ascii="Times New Roman" w:hAnsi="Times New Roman" w:cs="Times New Roman"/>
          <w:noProof/>
        </w:rPr>
      </w:pPr>
      <w:r>
        <w:rPr>
          <w:rFonts w:ascii="Times New Roman" w:hAnsi="Times New Roman"/>
          <w:noProof/>
        </w:rPr>
        <w:t xml:space="preserve">Le partage d’expériences en matière de </w:t>
      </w:r>
      <w:r>
        <w:rPr>
          <w:rFonts w:ascii="Times New Roman" w:hAnsi="Times New Roman"/>
          <w:b/>
          <w:noProof/>
        </w:rPr>
        <w:t>gestion durable des ressources naturelles</w:t>
      </w:r>
      <w:r>
        <w:rPr>
          <w:rFonts w:ascii="Times New Roman" w:hAnsi="Times New Roman"/>
          <w:noProof/>
        </w:rPr>
        <w:t xml:space="preserve">, de </w:t>
      </w:r>
      <w:r>
        <w:rPr>
          <w:rFonts w:ascii="Times New Roman" w:hAnsi="Times New Roman"/>
          <w:b/>
          <w:noProof/>
        </w:rPr>
        <w:t>protection de la biodiversité</w:t>
      </w:r>
      <w:r>
        <w:rPr>
          <w:rFonts w:ascii="Times New Roman" w:hAnsi="Times New Roman"/>
          <w:noProof/>
        </w:rPr>
        <w:t xml:space="preserve"> et de </w:t>
      </w:r>
      <w:r>
        <w:rPr>
          <w:rFonts w:ascii="Times New Roman" w:hAnsi="Times New Roman"/>
          <w:b/>
          <w:noProof/>
        </w:rPr>
        <w:t>tourisme écologique</w:t>
      </w:r>
      <w:r>
        <w:rPr>
          <w:rFonts w:ascii="Times New Roman" w:hAnsi="Times New Roman"/>
          <w:noProof/>
        </w:rPr>
        <w:t xml:space="preserve"> peut contribuer à atteindre toute une série d’objectifs tels que le développement rural, la préservation des écosystèmes et la sensibilisation à l’environnement.</w:t>
      </w:r>
    </w:p>
    <w:p>
      <w:pPr>
        <w:jc w:val="both"/>
        <w:rPr>
          <w:rFonts w:ascii="Times New Roman" w:hAnsi="Times New Roman" w:cs="Times New Roman"/>
          <w:noProof/>
        </w:rPr>
      </w:pPr>
      <w:r>
        <w:rPr>
          <w:rFonts w:ascii="Times New Roman" w:hAnsi="Times New Roman"/>
          <w:noProof/>
        </w:rPr>
        <w:t xml:space="preserve">Dans le droit fil des </w:t>
      </w:r>
      <w:r>
        <w:rPr>
          <w:rFonts w:ascii="Times New Roman" w:hAnsi="Times New Roman"/>
          <w:i/>
          <w:noProof/>
        </w:rPr>
        <w:t>conclusions du Conseil de l’UE sur la diplomatie de l'eau</w:t>
      </w:r>
      <w:r>
        <w:rPr>
          <w:rStyle w:val="FootnoteReference"/>
          <w:rFonts w:ascii="Times New Roman" w:hAnsi="Times New Roman"/>
          <w:i/>
          <w:noProof/>
        </w:rPr>
        <w:footnoteReference w:id="11"/>
      </w:r>
      <w:r>
        <w:rPr>
          <w:rFonts w:ascii="Times New Roman" w:hAnsi="Times New Roman"/>
          <w:noProof/>
        </w:rPr>
        <w:t xml:space="preserve">, la promotion d’un </w:t>
      </w:r>
      <w:r>
        <w:rPr>
          <w:rFonts w:ascii="Times New Roman" w:hAnsi="Times New Roman"/>
          <w:b/>
          <w:noProof/>
        </w:rPr>
        <w:t>programme régional pour l’eau, la paix et la prospérité</w:t>
      </w:r>
      <w:r>
        <w:rPr>
          <w:rFonts w:ascii="Times New Roman" w:hAnsi="Times New Roman"/>
          <w:noProof/>
        </w:rPr>
        <w:t xml:space="preserve"> restera une priorité essentielle dans la région. L’UE continuera de favoriser des solutions mutuellement acceptables pour améliorer la coopération régionale sur une gestion équitable des ressources hydriques transfrontières, en concertation avec les agences des Nations unies et d'autres partenaires concernés. Elle encouragera l'adhésion à la </w:t>
      </w:r>
      <w:r>
        <w:rPr>
          <w:rFonts w:ascii="Times New Roman" w:hAnsi="Times New Roman"/>
          <w:i/>
          <w:noProof/>
        </w:rPr>
        <w:t>convention sur l’eau de la Commission économique des Nations unies pour l'Europe</w:t>
      </w:r>
      <w:r>
        <w:rPr>
          <w:rStyle w:val="FootnoteReference"/>
          <w:rFonts w:ascii="Times New Roman" w:hAnsi="Times New Roman"/>
          <w:i/>
          <w:noProof/>
        </w:rPr>
        <w:footnoteReference w:id="12"/>
      </w:r>
      <w:r>
        <w:rPr>
          <w:rFonts w:ascii="Times New Roman" w:hAnsi="Times New Roman"/>
          <w:noProof/>
        </w:rPr>
        <w:t xml:space="preserve"> et la mise en œuvre de cette dernière, de même que la coopération autour de la </w:t>
      </w:r>
      <w:r>
        <w:rPr>
          <w:rFonts w:ascii="Times New Roman" w:hAnsi="Times New Roman"/>
          <w:b/>
          <w:noProof/>
        </w:rPr>
        <w:t>mer d’Aral</w:t>
      </w:r>
      <w:r>
        <w:rPr>
          <w:rFonts w:ascii="Times New Roman" w:hAnsi="Times New Roman"/>
          <w:noProof/>
        </w:rPr>
        <w:t xml:space="preserve"> et la mise en œuvre de l’</w:t>
      </w:r>
      <w:r>
        <w:rPr>
          <w:rFonts w:ascii="Times New Roman" w:hAnsi="Times New Roman"/>
          <w:b/>
          <w:noProof/>
        </w:rPr>
        <w:t>accord sur le statut juridique de la mer Caspienne</w:t>
      </w:r>
      <w:r>
        <w:rPr>
          <w:rStyle w:val="FootnoteReference"/>
          <w:rFonts w:ascii="Times New Roman" w:hAnsi="Times New Roman"/>
          <w:b/>
          <w:noProof/>
        </w:rPr>
        <w:footnoteReference w:id="13"/>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L’UE continuera de favoriser la coopération avec la région, notamment par la formation d'experts, afin de promouvoir la </w:t>
      </w:r>
      <w:r>
        <w:rPr>
          <w:rFonts w:ascii="Times New Roman" w:hAnsi="Times New Roman"/>
          <w:b/>
          <w:noProof/>
        </w:rPr>
        <w:t>gestion intégrée des ressources hydriques</w:t>
      </w:r>
      <w:r>
        <w:rPr>
          <w:rFonts w:ascii="Times New Roman" w:hAnsi="Times New Roman"/>
          <w:noProof/>
        </w:rPr>
        <w:t>, de réduire les eaux résiduaires, d’améliorer la qualité de l’eau ainsi que de moderniser les infrastructures et d’encourager la mise en place de systèmes d’irrigation agricole modernes.</w:t>
      </w:r>
    </w:p>
    <w:p>
      <w:pPr>
        <w:jc w:val="both"/>
        <w:rPr>
          <w:rFonts w:ascii="Times New Roman" w:hAnsi="Times New Roman" w:cs="Times New Roman"/>
          <w:noProof/>
        </w:rPr>
      </w:pPr>
      <w:r>
        <w:rPr>
          <w:rFonts w:ascii="Times New Roman" w:hAnsi="Times New Roman"/>
          <w:noProof/>
        </w:rPr>
        <w:t>La région étant particulièrement exposée aux risques naturels et d’origine humaine, l’UE soutiendra les efforts déployés à l’échelle nationale et régionale en vue de l’adoption de nouvelles politiques et législations portant sur la</w:t>
      </w:r>
      <w:r>
        <w:rPr>
          <w:rFonts w:ascii="Times New Roman" w:hAnsi="Times New Roman"/>
          <w:b/>
          <w:noProof/>
        </w:rPr>
        <w:t xml:space="preserve"> réduction des risques de catastrophe</w:t>
      </w:r>
      <w:r>
        <w:rPr>
          <w:rFonts w:ascii="Times New Roman" w:hAnsi="Times New Roman"/>
          <w:noProof/>
        </w:rPr>
        <w:t>. Elle mettra également à disposition son savoir-faire en matière de protection civile et de réaction d’urgence pour favoriser une approche régionale, plus structurelle, de la résilience et de la préparation.</w:t>
      </w:r>
    </w:p>
    <w:p>
      <w:pPr>
        <w:jc w:val="both"/>
        <w:rPr>
          <w:rFonts w:ascii="Times New Roman" w:hAnsi="Times New Roman" w:cs="Times New Roman"/>
          <w:noProof/>
        </w:rPr>
      </w:pPr>
      <w:r>
        <w:rPr>
          <w:rFonts w:ascii="Times New Roman" w:hAnsi="Times New Roman"/>
          <w:noProof/>
        </w:rPr>
        <w:t xml:space="preserve">L’UE continuera de coopérer aux mesures de restauration de l’environnement afin de remédier au problème que représentent les </w:t>
      </w:r>
      <w:r>
        <w:rPr>
          <w:rFonts w:ascii="Times New Roman" w:hAnsi="Times New Roman"/>
          <w:b/>
          <w:noProof/>
        </w:rPr>
        <w:t>déchets radioactifs et chimiques toxiques</w:t>
      </w:r>
      <w:r>
        <w:rPr>
          <w:rFonts w:ascii="Times New Roman" w:hAnsi="Times New Roman"/>
          <w:noProof/>
        </w:rPr>
        <w:t>, héritage de l’extraction d’uranium dans la région par le passé.</w:t>
      </w:r>
    </w:p>
    <w:p>
      <w:pPr>
        <w:jc w:val="both"/>
        <w:rPr>
          <w:rFonts w:ascii="Times New Roman" w:hAnsi="Times New Roman" w:cs="Times New Roman"/>
          <w:noProof/>
        </w:rPr>
      </w:pPr>
      <w:r>
        <w:rPr>
          <w:rFonts w:ascii="Times New Roman" w:hAnsi="Times New Roman"/>
          <w:noProof/>
        </w:rPr>
        <w:t xml:space="preserve">L’UE utilisera ses instruments, subventions et garanties de nature financière, en particulier ceux mis à disposition par la </w:t>
      </w:r>
      <w:r>
        <w:rPr>
          <w:rFonts w:ascii="Times New Roman" w:hAnsi="Times New Roman"/>
          <w:i/>
          <w:noProof/>
        </w:rPr>
        <w:t>Banque européenne d’investissement</w:t>
      </w:r>
      <w:r>
        <w:rPr>
          <w:rFonts w:ascii="Times New Roman" w:hAnsi="Times New Roman"/>
          <w:noProof/>
        </w:rPr>
        <w:t xml:space="preserve"> (BEI), en coopération avec la </w:t>
      </w:r>
      <w:r>
        <w:rPr>
          <w:rFonts w:ascii="Times New Roman" w:hAnsi="Times New Roman"/>
          <w:i/>
          <w:noProof/>
        </w:rPr>
        <w:t>Banque européenne pour la reconstruction</w:t>
      </w:r>
      <w:r>
        <w:rPr>
          <w:rFonts w:ascii="Times New Roman" w:hAnsi="Times New Roman"/>
          <w:noProof/>
        </w:rPr>
        <w:t xml:space="preserve"> (BERD) et d'autres banques multilatérales de développement, afin de </w:t>
      </w:r>
      <w:r>
        <w:rPr>
          <w:rFonts w:ascii="Times New Roman" w:hAnsi="Times New Roman"/>
          <w:b/>
          <w:noProof/>
        </w:rPr>
        <w:t>mobiliser des capitaux publics et surtout privés pour des projets environnementaux et des activités économiques durables sur le plan environnemental</w:t>
      </w:r>
      <w:r>
        <w:rPr>
          <w:rFonts w:ascii="Times New Roman" w:hAnsi="Times New Roman"/>
          <w:noProof/>
        </w:rPr>
        <w:t>. La promotion d’un cadre réglementaire sain sera d’une importance cruciale pour attirer les investissements privés.</w:t>
      </w:r>
    </w:p>
    <w:tbl>
      <w:tblPr>
        <w:tblStyle w:val="TableGrid"/>
        <w:tblW w:w="9072" w:type="dxa"/>
        <w:tblInd w:w="108" w:type="dxa"/>
        <w:tblLook w:val="04A0" w:firstRow="1" w:lastRow="0" w:firstColumn="1" w:lastColumn="0" w:noHBand="0" w:noVBand="1"/>
      </w:tblPr>
      <w:tblGrid>
        <w:gridCol w:w="9072"/>
      </w:tblGrid>
      <w:tr>
        <w:tc>
          <w:tcPr>
            <w:tcW w:w="9072" w:type="dxa"/>
          </w:tcPr>
          <w:p>
            <w:pPr>
              <w:jc w:val="both"/>
              <w:rPr>
                <w:rFonts w:ascii="Times New Roman" w:hAnsi="Times New Roman" w:cs="Times New Roman"/>
                <w:i/>
                <w:noProof/>
              </w:rPr>
            </w:pPr>
            <w:r>
              <w:rPr>
                <w:rFonts w:ascii="Times New Roman" w:hAnsi="Times New Roman"/>
                <w:i/>
                <w:noProof/>
              </w:rPr>
              <w:t xml:space="preserve">Parmi les initiatives spécifiques pouvant être menées dans ce domaine, citons:  </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 xml:space="preserve">le renforcement des enceintes et des mécanismes de coopération inter- et intrarégionaux dans les domaines de l’environnement, de l’eau et du changement climatique; </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le développement du partage d’expériences et des modes de financement innovants à l’appui des énergies renouvelables;</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 xml:space="preserve">la promotion de la recherche et de la coopération scientifiques dans le domaine de la gestion de l’eau, ainsi que de la disponibilité de données fiables en libre accès sur le climat et sur l’eau, susceptibles de sous-tendre des politiques efficaces; </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 xml:space="preserve">le renforcement de la coopération sur le lien entre eau et sécurité avec le Centre régional des Nations unies pour la diplomatie préventive en Asie centrale; </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 xml:space="preserve">le soutien de la gestion durable des ressources naturelles et des écosystèmes et de la mise en œuvre du plan stratégique pour la biodiversité et du futur cadre en matière de diversité biologique mondiale pour l'après-2020; </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 xml:space="preserve">la promotion du partage d’expériences et de la coopération en matière d’économie circulaire, en particulier en ce qui concerne les systèmes de gestion durable de l’eau et la lutte contre la pollution atmosphérique. </w:t>
            </w:r>
          </w:p>
        </w:tc>
      </w:tr>
    </w:tbl>
    <w:p>
      <w:pPr>
        <w:jc w:val="both"/>
        <w:rPr>
          <w:rFonts w:ascii="Times New Roman" w:hAnsi="Times New Roman" w:cs="Times New Roman"/>
          <w:noProof/>
          <w:sz w:val="16"/>
          <w:szCs w:val="16"/>
        </w:rPr>
      </w:pPr>
    </w:p>
    <w:p>
      <w:pPr>
        <w:jc w:val="both"/>
        <w:rPr>
          <w:rFonts w:ascii="Times New Roman" w:hAnsi="Times New Roman" w:cs="Times New Roman"/>
          <w:b/>
          <w:noProof/>
          <w:u w:val="single"/>
        </w:rPr>
      </w:pPr>
      <w:r>
        <w:rPr>
          <w:rFonts w:ascii="Times New Roman" w:hAnsi="Times New Roman" w:cs="Times New Roman"/>
          <w:b/>
          <w:noProof/>
          <w:u w:val="single"/>
        </w:rPr>
        <w:t xml:space="preserve">2. </w:t>
      </w:r>
      <w:r>
        <w:rPr>
          <w:rFonts w:ascii="Times New Roman" w:hAnsi="Times New Roman" w:cs="Times New Roman"/>
          <w:b/>
          <w:noProof/>
          <w:u w:val="single"/>
        </w:rPr>
        <w:tab/>
        <w:t xml:space="preserve">S'ASSOCIER POUR LA PROSPÉRITÉ </w:t>
      </w:r>
    </w:p>
    <w:p>
      <w:pPr>
        <w:jc w:val="both"/>
        <w:rPr>
          <w:rFonts w:ascii="Times New Roman" w:hAnsi="Times New Roman" w:cs="Times New Roman"/>
          <w:noProof/>
        </w:rPr>
      </w:pPr>
      <w:r>
        <w:rPr>
          <w:rFonts w:ascii="Times New Roman" w:hAnsi="Times New Roman"/>
          <w:noProof/>
        </w:rPr>
        <w:t>Bénéficiant d’une situation de plus en plus stratégique au carrefour de l’Europe et de l’Asie, avec une population jeune</w:t>
      </w:r>
      <w:r>
        <w:rPr>
          <w:rStyle w:val="FootnoteReference"/>
          <w:rFonts w:ascii="Times New Roman" w:hAnsi="Times New Roman" w:cs="Times New Roman"/>
          <w:noProof/>
        </w:rPr>
        <w:footnoteReference w:id="14"/>
      </w:r>
      <w:r>
        <w:rPr>
          <w:rFonts w:ascii="Times New Roman" w:hAnsi="Times New Roman"/>
          <w:noProof/>
        </w:rPr>
        <w:t>, des taux d’alphabétisation élevés et des ressources naturelles abondantes, l’Asie centrale dispose d’un potentiel de croissance et de développement considérable. Dans le même temps, on s’accorde de plus en plus dans la région à reconnaître la nécessité d’adopter de nouveaux modèles de développement économique et de diversifier les économies pour faire face aux enjeux de la mondialisation et profiter des perspectives qui en découlent. L’UE collaborera avec les pays d’Asie centrale pour les aider à produire des résultats durables, notamment en développant le marché privé, en instaurant un climat plus propice aux investissements, en accélérant la transition vers une économie verte et circulaire, en réduisant les inégalités socio</w:t>
      </w:r>
      <w:r>
        <w:rPr>
          <w:rFonts w:ascii="Times New Roman" w:hAnsi="Times New Roman"/>
          <w:noProof/>
        </w:rPr>
        <w:noBreakHyphen/>
        <w:t xml:space="preserve">économiques, en investissant dans le capital humain et en faisant en sorte que chacun ait accès à un travail décent, en libérant le potentiel des échanges intra- et interrégionaux et en favorisant une connectivité durable. </w:t>
      </w:r>
    </w:p>
    <w:p>
      <w:pPr>
        <w:jc w:val="both"/>
        <w:rPr>
          <w:rFonts w:ascii="Times New Roman" w:hAnsi="Times New Roman" w:cs="Times New Roman"/>
          <w:b/>
          <w:i/>
          <w:noProof/>
        </w:rPr>
      </w:pPr>
      <w:r>
        <w:rPr>
          <w:rFonts w:ascii="Times New Roman" w:hAnsi="Times New Roman"/>
          <w:b/>
          <w:i/>
          <w:noProof/>
        </w:rPr>
        <w:t xml:space="preserve">2.1. </w:t>
      </w:r>
      <w:r>
        <w:rPr>
          <w:rFonts w:ascii="Times New Roman" w:hAnsi="Times New Roman"/>
          <w:b/>
          <w:i/>
          <w:noProof/>
        </w:rPr>
        <w:tab/>
        <w:t>Consolider le partenariat pour la réforme économique</w:t>
      </w:r>
    </w:p>
    <w:p>
      <w:pPr>
        <w:jc w:val="both"/>
        <w:rPr>
          <w:rFonts w:ascii="Times New Roman" w:hAnsi="Times New Roman" w:cs="Times New Roman"/>
          <w:noProof/>
        </w:rPr>
      </w:pPr>
      <w:r>
        <w:rPr>
          <w:rFonts w:ascii="Times New Roman" w:hAnsi="Times New Roman"/>
          <w:noProof/>
        </w:rPr>
        <w:t>L’UE a tout intérêt à soutenir la transformation d'économies d’Asie centrale aujourd’hui trop tributaires des exportations de produits de base ou à faible valeur ajoutée</w:t>
      </w:r>
      <w:r>
        <w:rPr>
          <w:rStyle w:val="FootnoteReference"/>
          <w:rFonts w:ascii="Times New Roman" w:hAnsi="Times New Roman" w:cs="Times New Roman"/>
          <w:noProof/>
        </w:rPr>
        <w:footnoteReference w:id="15"/>
      </w:r>
      <w:r>
        <w:rPr>
          <w:rFonts w:ascii="Times New Roman" w:hAnsi="Times New Roman"/>
          <w:noProof/>
        </w:rPr>
        <w:t xml:space="preserve"> et des transferts de fonds effectués par les migrants, en économies diversifiées et compétitives, tirées par le secteur privé, susceptibles de générer des emplois, de s’intégrer dans des chaînes de valeur régionales et mondiales, ainsi que de créer des conditions de concurrence équitables et d'ouvrir de nouvelles perspectives à tous les opérateurs économiques. </w:t>
      </w:r>
    </w:p>
    <w:p>
      <w:pPr>
        <w:jc w:val="both"/>
        <w:rPr>
          <w:rFonts w:ascii="Times New Roman" w:hAnsi="Times New Roman" w:cs="Times New Roman"/>
          <w:noProof/>
        </w:rPr>
      </w:pPr>
      <w:r>
        <w:rPr>
          <w:rFonts w:ascii="Times New Roman" w:hAnsi="Times New Roman"/>
          <w:noProof/>
        </w:rPr>
        <w:t xml:space="preserve">L’UE aura pour objectif d’encourager des </w:t>
      </w:r>
      <w:r>
        <w:rPr>
          <w:rFonts w:ascii="Times New Roman" w:hAnsi="Times New Roman"/>
          <w:b/>
          <w:noProof/>
        </w:rPr>
        <w:t>modèles de croissance plus durables et inclusifs</w:t>
      </w:r>
      <w:r>
        <w:rPr>
          <w:rFonts w:ascii="Times New Roman" w:hAnsi="Times New Roman"/>
          <w:noProof/>
        </w:rPr>
        <w:t xml:space="preserve"> dans la région. La réforme et la modernisation économiques devraient profiter à la société tout entière et contribuer à réduire les inégalités ainsi que les disparités régionales et la fracture entre zones urbaines et zones rurales. L’expérience de l’UE en matière de développement rural, de politique régionale et de cohésion sera particulièrement utile à cet égard.  </w:t>
      </w:r>
    </w:p>
    <w:p>
      <w:pPr>
        <w:jc w:val="both"/>
        <w:rPr>
          <w:rFonts w:ascii="Times New Roman" w:hAnsi="Times New Roman" w:cs="Times New Roman"/>
          <w:noProof/>
        </w:rPr>
      </w:pPr>
      <w:r>
        <w:rPr>
          <w:rFonts w:ascii="Times New Roman" w:hAnsi="Times New Roman"/>
          <w:noProof/>
        </w:rPr>
        <w:t xml:space="preserve">La participation de l’UE sera axée en priorité sur le développement d’un </w:t>
      </w:r>
      <w:r>
        <w:rPr>
          <w:rFonts w:ascii="Times New Roman" w:hAnsi="Times New Roman"/>
          <w:b/>
          <w:noProof/>
        </w:rPr>
        <w:t>secteur privé compétitif</w:t>
      </w:r>
      <w:r>
        <w:rPr>
          <w:rFonts w:ascii="Times New Roman" w:hAnsi="Times New Roman"/>
          <w:noProof/>
        </w:rPr>
        <w:t xml:space="preserve">, en particulier des petites et moyennes entreprises (PME), en raison du rôle essentiel que ce secteur peut jouer dans le soutien à la croissance économique, le renforcement de l’autonomie des femmes, la promotion d’emplois décents et la lutte contre la pauvreté. L’UE encouragera le développement de marchés des capitaux et un accès plus large des PME au financement, de même que la mise en place de cadres réglementaires et de politiques budgétaires solides ainsi que de politiques efficaces de lutte contre la corruption. Le développement du secteur privé restera une des principales priorités de la </w:t>
      </w:r>
      <w:r>
        <w:rPr>
          <w:rFonts w:ascii="Times New Roman" w:hAnsi="Times New Roman"/>
          <w:i/>
          <w:noProof/>
        </w:rPr>
        <w:t>facilité d’investissement de l’UE pour l’Asie centrale</w:t>
      </w:r>
      <w:r>
        <w:rPr>
          <w:rFonts w:ascii="Times New Roman" w:hAnsi="Times New Roman"/>
          <w:noProof/>
        </w:rPr>
        <w:t xml:space="preserve">. </w:t>
      </w:r>
    </w:p>
    <w:p>
      <w:pPr>
        <w:jc w:val="both"/>
        <w:rPr>
          <w:rFonts w:ascii="Times New Roman" w:hAnsi="Times New Roman" w:cs="Times New Roman"/>
          <w:noProof/>
        </w:rPr>
      </w:pPr>
      <w:r>
        <w:rPr>
          <w:rFonts w:ascii="Times New Roman" w:hAnsi="Times New Roman"/>
          <w:noProof/>
        </w:rPr>
        <w:t xml:space="preserve">En tant que source principale des investissements privés dans le monde, l’UE est particulièrement bien placée pour intensifier le dialogue au niveau stratégique avec les gouvernements et les représentants des entreprises de la région, ainsi qu’avec les institutions financières internationales, en vue de favoriser un </w:t>
      </w:r>
      <w:r>
        <w:rPr>
          <w:rFonts w:ascii="Times New Roman" w:hAnsi="Times New Roman"/>
          <w:b/>
          <w:noProof/>
        </w:rPr>
        <w:t>contexte politique et réglementaire sain, transparent, ouvert, non discriminatoire et prévisible</w:t>
      </w:r>
      <w:r>
        <w:rPr>
          <w:rFonts w:ascii="Times New Roman" w:hAnsi="Times New Roman"/>
          <w:noProof/>
        </w:rPr>
        <w:t xml:space="preserve"> pour les opérateurs économiques européens qui commercent avec l’Asie centrale ou y investissent. </w:t>
      </w:r>
    </w:p>
    <w:p>
      <w:pPr>
        <w:jc w:val="both"/>
        <w:rPr>
          <w:rFonts w:ascii="Times New Roman" w:hAnsi="Times New Roman" w:cs="Times New Roman"/>
          <w:i/>
          <w:noProof/>
        </w:rPr>
      </w:pPr>
      <w:r>
        <w:rPr>
          <w:rFonts w:ascii="Times New Roman" w:hAnsi="Times New Roman"/>
          <w:noProof/>
        </w:rPr>
        <w:t xml:space="preserve">Il convient d’axer en priorité le soutien au développement du secteur privé et aux investissements sur les secteurs générateurs de croissance et d’emploi dans lesquels l’UE possède </w:t>
      </w:r>
      <w:r>
        <w:rPr>
          <w:rFonts w:ascii="Times New Roman" w:hAnsi="Times New Roman"/>
          <w:b/>
          <w:noProof/>
        </w:rPr>
        <w:t>une expertise et des avantages comparatifs particuliers</w:t>
      </w:r>
      <w:r>
        <w:rPr>
          <w:rFonts w:ascii="Times New Roman" w:hAnsi="Times New Roman"/>
          <w:noProof/>
        </w:rPr>
        <w:t>, tels que le secteur agricole et l’agro-industrie, l’environnement et l’eau, l’énergie, le transport et le tourisme durable.</w:t>
      </w:r>
      <w:r>
        <w:rPr>
          <w:rFonts w:ascii="Times New Roman" w:hAnsi="Times New Roman"/>
          <w:i/>
          <w:noProof/>
        </w:rPr>
        <w:t xml:space="preserve"> </w:t>
      </w:r>
    </w:p>
    <w:p>
      <w:pPr>
        <w:jc w:val="both"/>
        <w:rPr>
          <w:rFonts w:ascii="Times New Roman" w:hAnsi="Times New Roman" w:cs="Times New Roman"/>
          <w:noProof/>
        </w:rPr>
      </w:pPr>
      <w:r>
        <w:rPr>
          <w:rFonts w:ascii="Times New Roman" w:hAnsi="Times New Roman"/>
          <w:noProof/>
        </w:rPr>
        <w:t xml:space="preserve">L’UE encouragera </w:t>
      </w:r>
      <w:r>
        <w:rPr>
          <w:rFonts w:ascii="Times New Roman" w:hAnsi="Times New Roman"/>
          <w:b/>
          <w:noProof/>
        </w:rPr>
        <w:t>le dialogue et la coopération interentreprises</w:t>
      </w:r>
      <w:r>
        <w:rPr>
          <w:rFonts w:ascii="Times New Roman" w:hAnsi="Times New Roman"/>
          <w:noProof/>
        </w:rPr>
        <w:t xml:space="preserve"> avec l’Asie centrale, notamment parmi les jeunes entreprises </w:t>
      </w:r>
      <w:r>
        <w:rPr>
          <w:rFonts w:ascii="Times New Roman" w:hAnsi="Times New Roman"/>
          <w:i/>
          <w:noProof/>
        </w:rPr>
        <w:t>(start-ups)</w:t>
      </w:r>
      <w:r>
        <w:rPr>
          <w:rFonts w:ascii="Times New Roman" w:hAnsi="Times New Roman"/>
          <w:noProof/>
        </w:rPr>
        <w:t xml:space="preserve"> et les incubateurs d’entreprises. Elle contribuera à créer des forums bilatéraux et régionaux pour le dialogue et la coopération interentreprises dans les pays d’Asie centrale, comme les </w:t>
      </w:r>
      <w:r>
        <w:rPr>
          <w:rFonts w:ascii="Times New Roman" w:hAnsi="Times New Roman"/>
          <w:i/>
          <w:noProof/>
        </w:rPr>
        <w:t>chambres de commerce européennes</w:t>
      </w:r>
      <w:r>
        <w:rPr>
          <w:rFonts w:ascii="Times New Roman" w:hAnsi="Times New Roman"/>
          <w:noProof/>
        </w:rPr>
        <w:t xml:space="preserve">. L’UE veillera à ce que les associations d’employeurs et de travailleurs d’Asie centrale participent au dialogue sur des questions allant du climat d’investissement à l’éducation, en passant par l’employabilité (y compris des femmes et des filles) et la réforme du marché du travail </w:t>
      </w:r>
    </w:p>
    <w:p>
      <w:pPr>
        <w:jc w:val="both"/>
        <w:rPr>
          <w:rFonts w:ascii="Times New Roman" w:hAnsi="Times New Roman" w:cs="Times New Roman"/>
          <w:noProof/>
        </w:rPr>
      </w:pPr>
      <w:r>
        <w:rPr>
          <w:rFonts w:ascii="Times New Roman" w:hAnsi="Times New Roman"/>
          <w:noProof/>
        </w:rPr>
        <w:t xml:space="preserve">Étant donné que la disponibilité de </w:t>
      </w:r>
      <w:r>
        <w:rPr>
          <w:rFonts w:ascii="Times New Roman" w:hAnsi="Times New Roman"/>
          <w:b/>
          <w:noProof/>
        </w:rPr>
        <w:t>statistiques de qualité</w:t>
      </w:r>
      <w:r>
        <w:rPr>
          <w:rFonts w:ascii="Times New Roman" w:hAnsi="Times New Roman"/>
          <w:noProof/>
        </w:rPr>
        <w:t xml:space="preserve"> est une condition préalable à l’élaboration de politiques publiques efficaces, l’UE continuera d’œuvrer au développement des systèmes statistiques des pays d’Asie centrale. </w:t>
      </w:r>
    </w:p>
    <w:p>
      <w:pPr>
        <w:jc w:val="both"/>
        <w:rPr>
          <w:rFonts w:ascii="Times New Roman" w:hAnsi="Times New Roman" w:cs="Times New Roman"/>
          <w:noProof/>
        </w:rPr>
      </w:pPr>
      <w:r>
        <w:rPr>
          <w:rFonts w:ascii="Times New Roman" w:hAnsi="Times New Roman"/>
          <w:noProof/>
        </w:rPr>
        <w:t xml:space="preserve">Dans le cadre de ses consultations bilatérales régulières avec les pays d’Asie centrale, l’UE renforcera les échanges et la coopération dans les domaines des réformes macroéconomiques, </w:t>
      </w:r>
      <w:r>
        <w:rPr>
          <w:rFonts w:ascii="Times New Roman" w:hAnsi="Times New Roman"/>
          <w:b/>
          <w:noProof/>
        </w:rPr>
        <w:t>des politiques financières, monétaires et budgétaires ainsi que de la gestion des finances publiques</w:t>
      </w:r>
      <w:r>
        <w:rPr>
          <w:rFonts w:ascii="Times New Roman" w:hAnsi="Times New Roman"/>
          <w:noProof/>
        </w:rPr>
        <w:t xml:space="preserve">. Elle encouragera les stratégies de gestion de la dette et les marchés obligataires nationaux et facilitera les réformes des cadres de politique monétaire et la surveillance du système financier. </w:t>
      </w:r>
    </w:p>
    <w:tbl>
      <w:tblPr>
        <w:tblStyle w:val="TableGrid"/>
        <w:tblW w:w="9072" w:type="dxa"/>
        <w:tblInd w:w="108" w:type="dxa"/>
        <w:tblLook w:val="04A0" w:firstRow="1" w:lastRow="0" w:firstColumn="1" w:lastColumn="0" w:noHBand="0" w:noVBand="1"/>
      </w:tblPr>
      <w:tblGrid>
        <w:gridCol w:w="9072"/>
      </w:tblGrid>
      <w:tr>
        <w:tc>
          <w:tcPr>
            <w:tcW w:w="9072"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cs="Times New Roman"/>
                <w:i/>
                <w:noProof/>
              </w:rPr>
            </w:pPr>
            <w:r>
              <w:rPr>
                <w:rFonts w:ascii="Times New Roman" w:hAnsi="Times New Roman"/>
                <w:i/>
                <w:noProof/>
              </w:rPr>
              <w:t xml:space="preserve">Les initiatives spécifiques dans ce domaine devraient viser, notamment: </w:t>
            </w:r>
          </w:p>
          <w:p>
            <w:pPr>
              <w:pStyle w:val="ListParagraph"/>
              <w:numPr>
                <w:ilvl w:val="0"/>
                <w:numId w:val="21"/>
              </w:numPr>
              <w:spacing w:after="0" w:line="240" w:lineRule="auto"/>
              <w:jc w:val="both"/>
              <w:rPr>
                <w:rFonts w:ascii="Times New Roman" w:hAnsi="Times New Roman" w:cs="Times New Roman"/>
                <w:i/>
                <w:noProof/>
              </w:rPr>
            </w:pPr>
            <w:r>
              <w:rPr>
                <w:rFonts w:ascii="Times New Roman" w:hAnsi="Times New Roman"/>
                <w:i/>
                <w:noProof/>
              </w:rPr>
              <w:t>à favoriser l’amélioration de l’environnement des entreprises et des investissements et à soutenir le développement du secteur privé, en particulier des petites et moyennes entreprises, grâce au dialogue et à la coopération interentreprises UE-Asie centrale, au dialogue sectoriel et à l’assistance technique;</w:t>
            </w:r>
          </w:p>
          <w:p>
            <w:pPr>
              <w:pStyle w:val="ListParagraph"/>
              <w:numPr>
                <w:ilvl w:val="0"/>
                <w:numId w:val="21"/>
              </w:numPr>
              <w:spacing w:after="120" w:line="240" w:lineRule="auto"/>
              <w:ind w:left="714" w:hanging="357"/>
              <w:jc w:val="both"/>
              <w:rPr>
                <w:rFonts w:ascii="Times New Roman" w:hAnsi="Times New Roman" w:cs="Times New Roman"/>
                <w:i/>
                <w:noProof/>
              </w:rPr>
            </w:pPr>
            <w:r>
              <w:rPr>
                <w:rFonts w:ascii="Times New Roman" w:hAnsi="Times New Roman"/>
                <w:i/>
                <w:noProof/>
              </w:rPr>
              <w:t>à encourager les jumelages afin de partager les savoir-faire et de renforcer les capacités des administrations d’Asie centrale en ce qui concerne des aspects fondamentaux des réformes économiques;</w:t>
            </w:r>
          </w:p>
          <w:p>
            <w:pPr>
              <w:pStyle w:val="ListParagraph"/>
              <w:numPr>
                <w:ilvl w:val="0"/>
                <w:numId w:val="21"/>
              </w:numPr>
              <w:spacing w:after="120" w:line="240" w:lineRule="auto"/>
              <w:ind w:left="714" w:hanging="357"/>
              <w:jc w:val="both"/>
              <w:rPr>
                <w:rFonts w:ascii="Times New Roman" w:hAnsi="Times New Roman" w:cs="Times New Roman"/>
                <w:i/>
                <w:noProof/>
                <w:lang w:eastAsia="en-US"/>
              </w:rPr>
            </w:pPr>
            <w:r>
              <w:rPr>
                <w:rFonts w:ascii="Times New Roman" w:hAnsi="Times New Roman"/>
                <w:i/>
                <w:noProof/>
              </w:rPr>
              <w:t xml:space="preserve">à partager les savoir-faire en matière de développement de systèmes statistiques.  </w:t>
            </w:r>
          </w:p>
        </w:tc>
      </w:tr>
    </w:tbl>
    <w:p>
      <w:pPr>
        <w:jc w:val="both"/>
        <w:rPr>
          <w:rFonts w:ascii="Times New Roman" w:hAnsi="Times New Roman" w:cs="Times New Roman"/>
          <w:b/>
          <w:i/>
          <w:noProof/>
          <w:sz w:val="16"/>
          <w:szCs w:val="16"/>
          <w:lang w:eastAsia="en-US"/>
        </w:rPr>
      </w:pPr>
    </w:p>
    <w:p>
      <w:pPr>
        <w:jc w:val="both"/>
        <w:rPr>
          <w:rFonts w:ascii="Times New Roman" w:hAnsi="Times New Roman" w:cs="Times New Roman"/>
          <w:b/>
          <w:i/>
          <w:noProof/>
        </w:rPr>
      </w:pPr>
      <w:r>
        <w:rPr>
          <w:rFonts w:ascii="Times New Roman" w:hAnsi="Times New Roman"/>
          <w:b/>
          <w:i/>
          <w:noProof/>
        </w:rPr>
        <w:t xml:space="preserve">2.2. </w:t>
      </w:r>
      <w:r>
        <w:rPr>
          <w:rFonts w:ascii="Times New Roman" w:hAnsi="Times New Roman"/>
          <w:b/>
          <w:i/>
          <w:noProof/>
        </w:rPr>
        <w:tab/>
        <w:t>Faciliter les échanges et les investissements intra- et interrégionaux</w:t>
      </w:r>
    </w:p>
    <w:p>
      <w:pPr>
        <w:jc w:val="both"/>
        <w:rPr>
          <w:rFonts w:ascii="Times New Roman" w:hAnsi="Times New Roman" w:cs="Times New Roman"/>
          <w:noProof/>
        </w:rPr>
      </w:pPr>
      <w:r>
        <w:rPr>
          <w:rFonts w:ascii="Times New Roman" w:hAnsi="Times New Roman"/>
          <w:noProof/>
        </w:rPr>
        <w:t>Il convient de collaborer davantage pour faire face aux contraintes structurelles qui limitent encore le potentiel des échanges et des investissements entre l’UE et l’Asie centrale</w:t>
      </w:r>
      <w:r>
        <w:rPr>
          <w:rStyle w:val="FootnoteReference"/>
          <w:rFonts w:ascii="Times New Roman" w:hAnsi="Times New Roman" w:cs="Times New Roman"/>
          <w:noProof/>
        </w:rPr>
        <w:footnoteReference w:id="16"/>
      </w:r>
      <w:r>
        <w:rPr>
          <w:rFonts w:ascii="Times New Roman" w:hAnsi="Times New Roman"/>
          <w:noProof/>
        </w:rPr>
        <w:t>, pour stimuler les échanges et les investissements intrarégionaux</w:t>
      </w:r>
      <w:r>
        <w:rPr>
          <w:rStyle w:val="FootnoteReference"/>
          <w:rFonts w:ascii="Times New Roman" w:hAnsi="Times New Roman" w:cs="Times New Roman"/>
          <w:noProof/>
        </w:rPr>
        <w:footnoteReference w:id="17"/>
      </w:r>
      <w:r>
        <w:rPr>
          <w:rFonts w:ascii="Times New Roman" w:hAnsi="Times New Roman"/>
          <w:noProof/>
        </w:rPr>
        <w:t xml:space="preserve">, et pour veiller à une plus grande intégration de l’Asie centrale dans l’économie mondiale. </w:t>
      </w:r>
    </w:p>
    <w:p>
      <w:pPr>
        <w:jc w:val="both"/>
        <w:rPr>
          <w:rFonts w:ascii="Times New Roman" w:hAnsi="Times New Roman" w:cs="Times New Roman"/>
          <w:noProof/>
        </w:rPr>
      </w:pPr>
      <w:r>
        <w:rPr>
          <w:rFonts w:ascii="Times New Roman" w:hAnsi="Times New Roman"/>
          <w:noProof/>
        </w:rPr>
        <w:t>L’UE continuera d’encourager et de soutenir l’</w:t>
      </w:r>
      <w:r>
        <w:rPr>
          <w:rFonts w:ascii="Times New Roman" w:hAnsi="Times New Roman"/>
          <w:b/>
          <w:noProof/>
        </w:rPr>
        <w:t>adhésion</w:t>
      </w:r>
      <w:r>
        <w:rPr>
          <w:rFonts w:ascii="Times New Roman" w:hAnsi="Times New Roman"/>
          <w:noProof/>
        </w:rPr>
        <w:t xml:space="preserve"> de tous les États d’Asie centrale </w:t>
      </w:r>
      <w:r>
        <w:rPr>
          <w:rFonts w:ascii="Times New Roman" w:hAnsi="Times New Roman"/>
          <w:b/>
          <w:noProof/>
        </w:rPr>
        <w:t>à l’OMC</w:t>
      </w:r>
      <w:r>
        <w:rPr>
          <w:rFonts w:ascii="Times New Roman" w:hAnsi="Times New Roman"/>
          <w:noProof/>
        </w:rPr>
        <w:t>. La mise en œuvre des engagements de l’OMC aidera ces derniers à ouvrir leurs économies, à renforcer leur compétitivité sur la scène internationale, à s’intégrer dans les chaînes de valeur mondiales et à participer à la construction de la gouvernance économique mondiale. Dans le cadre de la mise en place de conditions de concurrence équitables dans la région et de l’accroissement de la confiance dans ses entreprises, il conviendra notamment de promouvoir l’adhésion à l’</w:t>
      </w:r>
      <w:r>
        <w:rPr>
          <w:rFonts w:ascii="Times New Roman" w:hAnsi="Times New Roman"/>
          <w:i/>
          <w:noProof/>
        </w:rPr>
        <w:t>accord sur les marchés publics</w:t>
      </w:r>
      <w:r>
        <w:rPr>
          <w:rFonts w:ascii="Times New Roman" w:hAnsi="Times New Roman"/>
          <w:noProof/>
        </w:rPr>
        <w:t xml:space="preserve"> (AMP) de l’OMC. </w:t>
      </w:r>
    </w:p>
    <w:p>
      <w:pPr>
        <w:jc w:val="both"/>
        <w:rPr>
          <w:rFonts w:ascii="Times New Roman" w:hAnsi="Times New Roman" w:cs="Times New Roman"/>
          <w:noProof/>
        </w:rPr>
      </w:pPr>
      <w:r>
        <w:rPr>
          <w:rFonts w:ascii="Times New Roman" w:hAnsi="Times New Roman"/>
          <w:noProof/>
        </w:rPr>
        <w:t xml:space="preserve">S’appuyant sur son expérience en matière de mécanismes d’intégration régionale, l’UE soutiendra les efforts visant à faciliter </w:t>
      </w:r>
      <w:r>
        <w:rPr>
          <w:rFonts w:ascii="Times New Roman" w:hAnsi="Times New Roman"/>
          <w:b/>
          <w:noProof/>
        </w:rPr>
        <w:t>les échanges et les investissements intrarégionaux en Asie centrale</w:t>
      </w:r>
      <w:r>
        <w:rPr>
          <w:rFonts w:ascii="Times New Roman" w:hAnsi="Times New Roman"/>
          <w:noProof/>
        </w:rPr>
        <w:t>, notamment par le partage d’expériences et de bonnes pratiques en matière de lutte contre les barrières non tarifaires au commerce, et en encourageant la convergence et l’harmonisation des réglementations; l’intégration dans le système international de normalisation, dont les principaux organismes sont l’</w:t>
      </w:r>
      <w:r>
        <w:rPr>
          <w:rFonts w:ascii="Times New Roman" w:hAnsi="Times New Roman"/>
          <w:i/>
          <w:noProof/>
        </w:rPr>
        <w:t>Organisation internationale de normalisation</w:t>
      </w:r>
      <w:r>
        <w:rPr>
          <w:rFonts w:ascii="Times New Roman" w:hAnsi="Times New Roman"/>
          <w:noProof/>
        </w:rPr>
        <w:t xml:space="preserve"> et la </w:t>
      </w:r>
      <w:r>
        <w:rPr>
          <w:rFonts w:ascii="Times New Roman" w:hAnsi="Times New Roman"/>
          <w:i/>
          <w:noProof/>
        </w:rPr>
        <w:t>Commission électrotechnique internationale</w:t>
      </w:r>
      <w:r>
        <w:rPr>
          <w:rFonts w:ascii="Times New Roman" w:hAnsi="Times New Roman"/>
          <w:noProof/>
        </w:rPr>
        <w:t xml:space="preserve">, de même qu’un solide système qualité, se sont avérés des éléments essentiels à cet égard.  </w:t>
      </w:r>
    </w:p>
    <w:p>
      <w:pPr>
        <w:jc w:val="both"/>
        <w:rPr>
          <w:rFonts w:ascii="Times New Roman" w:hAnsi="Times New Roman" w:cs="Times New Roman"/>
          <w:noProof/>
        </w:rPr>
      </w:pPr>
      <w:r>
        <w:rPr>
          <w:rFonts w:ascii="Times New Roman" w:hAnsi="Times New Roman"/>
          <w:noProof/>
        </w:rPr>
        <w:t xml:space="preserve">L’UE utilisera les APC renforcés et les programmes de coopération technique pour promouvoir la </w:t>
      </w:r>
      <w:r>
        <w:rPr>
          <w:rFonts w:ascii="Times New Roman" w:hAnsi="Times New Roman"/>
          <w:b/>
          <w:noProof/>
        </w:rPr>
        <w:t>convergence ou la compatibilité avec les règles de l’UE et les normes techniques internationales et européennes</w:t>
      </w:r>
      <w:r>
        <w:rPr>
          <w:rFonts w:ascii="Times New Roman" w:hAnsi="Times New Roman"/>
          <w:noProof/>
        </w:rPr>
        <w:t xml:space="preserve"> et pour </w:t>
      </w:r>
      <w:r>
        <w:rPr>
          <w:rFonts w:ascii="Times New Roman" w:hAnsi="Times New Roman"/>
          <w:b/>
          <w:noProof/>
        </w:rPr>
        <w:t>supprimer les entraves techniques aux échanges</w:t>
      </w:r>
      <w:r>
        <w:rPr>
          <w:rFonts w:ascii="Times New Roman" w:hAnsi="Times New Roman"/>
          <w:noProof/>
        </w:rPr>
        <w:t>. Ces efforts faciliteront un accès réciproque au marché et créeront des possibilités d’accès au marché pour les opérateurs économiques d’Asie centrale à l’échelle mondiale, étant donné que les règles et les normes de l’UE sont reconnues dans le monde entier. L’intensification du dialogue sur les mesures sanitaires et phytosanitaires pour renforcer les systèmes de sécurité alimentaire dans les pays d’Asie centrale serait bénéfique aux entreprises et consommateurs locaux et faciliterait les échanges avec l’UE.</w:t>
      </w:r>
    </w:p>
    <w:p>
      <w:pPr>
        <w:jc w:val="both"/>
        <w:rPr>
          <w:rFonts w:ascii="Times New Roman" w:hAnsi="Times New Roman" w:cs="Times New Roman"/>
          <w:b/>
          <w:noProof/>
        </w:rPr>
      </w:pPr>
      <w:r>
        <w:rPr>
          <w:rFonts w:ascii="Times New Roman" w:hAnsi="Times New Roman"/>
          <w:noProof/>
        </w:rPr>
        <w:t xml:space="preserve">L’UE continuera de coopérer avec les États d’Asie centrale en vue d’améliorer la </w:t>
      </w:r>
      <w:r>
        <w:rPr>
          <w:rFonts w:ascii="Times New Roman" w:hAnsi="Times New Roman"/>
          <w:b/>
          <w:noProof/>
        </w:rPr>
        <w:t>réciprocité de l’accès aux marchés pour les biens et les services</w:t>
      </w:r>
      <w:r>
        <w:rPr>
          <w:rFonts w:ascii="Times New Roman" w:hAnsi="Times New Roman"/>
          <w:noProof/>
        </w:rPr>
        <w:t xml:space="preserve">. L’UE redoublera d’efforts pour aider les pays bénéficiaires d’Asie centrale à faire un meilleur usage de l’accès préférentiel unilatéral au marché de l’Union fourni par le </w:t>
      </w:r>
      <w:r>
        <w:rPr>
          <w:rFonts w:ascii="Times New Roman" w:hAnsi="Times New Roman"/>
          <w:b/>
          <w:noProof/>
        </w:rPr>
        <w:t>SPG</w:t>
      </w:r>
      <w:r>
        <w:rPr>
          <w:rFonts w:ascii="Times New Roman" w:hAnsi="Times New Roman"/>
          <w:noProof/>
        </w:rPr>
        <w:t xml:space="preserve"> et le </w:t>
      </w:r>
      <w:r>
        <w:rPr>
          <w:rFonts w:ascii="Times New Roman" w:hAnsi="Times New Roman"/>
          <w:b/>
          <w:noProof/>
        </w:rPr>
        <w:t>SPG+</w:t>
      </w:r>
      <w:r>
        <w:rPr>
          <w:rFonts w:ascii="Times New Roman" w:hAnsi="Times New Roman"/>
          <w:noProof/>
        </w:rPr>
        <w:t>, qui peuvent stimuler les exportations et la diversification économique, mener à une amélioration des normes et des conditions de travail, et compléter utilement les APC renforcés.</w:t>
      </w:r>
    </w:p>
    <w:p>
      <w:pPr>
        <w:jc w:val="both"/>
        <w:rPr>
          <w:rFonts w:ascii="Times New Roman" w:hAnsi="Times New Roman" w:cs="Times New Roman"/>
          <w:noProof/>
        </w:rPr>
      </w:pPr>
      <w:r>
        <w:rPr>
          <w:rFonts w:ascii="Times New Roman" w:hAnsi="Times New Roman"/>
          <w:noProof/>
        </w:rPr>
        <w:t xml:space="preserve">L’UE renforcera la coopération avec l’Asie centrale afin de promouvoir le respect des </w:t>
      </w:r>
      <w:r>
        <w:rPr>
          <w:rFonts w:ascii="Times New Roman" w:hAnsi="Times New Roman"/>
          <w:b/>
          <w:noProof/>
        </w:rPr>
        <w:t>normes douanières internationales</w:t>
      </w:r>
      <w:r>
        <w:rPr>
          <w:rFonts w:ascii="Times New Roman" w:hAnsi="Times New Roman"/>
          <w:noProof/>
        </w:rPr>
        <w:t xml:space="preserve"> de l’UE, de l’</w:t>
      </w:r>
      <w:r>
        <w:rPr>
          <w:rFonts w:ascii="Times New Roman" w:hAnsi="Times New Roman"/>
          <w:i/>
          <w:noProof/>
        </w:rPr>
        <w:t>Organisation mondiale des douanes</w:t>
      </w:r>
      <w:r>
        <w:rPr>
          <w:rFonts w:ascii="Times New Roman" w:hAnsi="Times New Roman"/>
          <w:noProof/>
        </w:rPr>
        <w:t xml:space="preserve"> et de l’OMC, afin de faire progresser la simplification et l’harmonisation des régimes douaniers. Elle renforcera sa coopération avec la région pour lutter contre le commerce transfrontière illicite et la fraude fiscale, l’évasion fiscale et les atteintes aux droits de propriété intellectuelle. Elle encouragera une intensification de l’échange d’informations en vue de renforcer la lutte contre le blanchiment de capitaux, la corruption et le financement du terrorisme.   </w:t>
      </w:r>
    </w:p>
    <w:p>
      <w:pPr>
        <w:jc w:val="both"/>
        <w:rPr>
          <w:rFonts w:ascii="Times New Roman" w:hAnsi="Times New Roman" w:cs="Times New Roman"/>
          <w:noProof/>
        </w:rPr>
      </w:pPr>
      <w:r>
        <w:rPr>
          <w:rFonts w:ascii="Times New Roman" w:hAnsi="Times New Roman"/>
          <w:noProof/>
        </w:rPr>
        <w:t xml:space="preserve">Sur la base de son expérience, l’UE continuera de promouvoir l’utilisation et le développement des </w:t>
      </w:r>
      <w:r>
        <w:rPr>
          <w:rFonts w:ascii="Times New Roman" w:hAnsi="Times New Roman"/>
          <w:b/>
          <w:noProof/>
        </w:rPr>
        <w:t>indications géographiques</w:t>
      </w:r>
      <w:r>
        <w:rPr>
          <w:rFonts w:ascii="Times New Roman" w:hAnsi="Times New Roman"/>
          <w:noProof/>
        </w:rPr>
        <w:t xml:space="preserve"> par les pays d’Asie centrale, ce qui peut les aider à diversifier leur production agricole et à lui donner une plus grande valeur ajoutée. </w:t>
      </w:r>
    </w:p>
    <w:tbl>
      <w:tblPr>
        <w:tblStyle w:val="TableGrid"/>
        <w:tblW w:w="9072" w:type="dxa"/>
        <w:tblInd w:w="108" w:type="dxa"/>
        <w:tblLook w:val="04A0" w:firstRow="1" w:lastRow="0" w:firstColumn="1" w:lastColumn="0" w:noHBand="0" w:noVBand="1"/>
      </w:tblPr>
      <w:tblGrid>
        <w:gridCol w:w="9072"/>
      </w:tblGrid>
      <w:tr>
        <w:trPr>
          <w:trHeight w:val="269"/>
        </w:trPr>
        <w:tc>
          <w:tcPr>
            <w:tcW w:w="9072"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cs="Times New Roman"/>
                <w:i/>
                <w:noProof/>
              </w:rPr>
            </w:pPr>
            <w:r>
              <w:rPr>
                <w:rFonts w:ascii="Times New Roman" w:hAnsi="Times New Roman"/>
                <w:i/>
                <w:noProof/>
              </w:rPr>
              <w:t xml:space="preserve">Les initiatives spécifiques dans ce domaine devraient viser, notamment:  </w:t>
            </w:r>
          </w:p>
          <w:p>
            <w:pPr>
              <w:pStyle w:val="ListParagraph"/>
              <w:numPr>
                <w:ilvl w:val="0"/>
                <w:numId w:val="21"/>
              </w:numPr>
              <w:spacing w:after="0" w:line="240" w:lineRule="auto"/>
              <w:jc w:val="both"/>
              <w:rPr>
                <w:rFonts w:ascii="Times New Roman" w:hAnsi="Times New Roman" w:cs="Times New Roman"/>
                <w:i/>
                <w:noProof/>
              </w:rPr>
            </w:pPr>
            <w:r>
              <w:rPr>
                <w:rFonts w:ascii="Times New Roman" w:hAnsi="Times New Roman"/>
                <w:i/>
                <w:noProof/>
              </w:rPr>
              <w:t xml:space="preserve">à intensifier le partage des expériences et des bonnes pratiques de l’UE en matière de lutte contre les obstacles non tarifaires au commerce et de promotion de la convergence et de l’harmonisation des réglementations;  </w:t>
            </w:r>
          </w:p>
          <w:p>
            <w:pPr>
              <w:pStyle w:val="ListParagraph"/>
              <w:numPr>
                <w:ilvl w:val="0"/>
                <w:numId w:val="21"/>
              </w:numPr>
              <w:spacing w:after="0" w:line="240" w:lineRule="auto"/>
              <w:jc w:val="both"/>
              <w:rPr>
                <w:rFonts w:ascii="Times New Roman" w:hAnsi="Times New Roman" w:cs="Times New Roman"/>
                <w:i/>
                <w:noProof/>
              </w:rPr>
            </w:pPr>
            <w:r>
              <w:rPr>
                <w:rFonts w:ascii="Times New Roman" w:hAnsi="Times New Roman"/>
                <w:i/>
                <w:noProof/>
              </w:rPr>
              <w:t xml:space="preserve">à soutenir l’adhésion à l’OMC et à l’AMP, notamment par une assistance technique; </w:t>
            </w:r>
          </w:p>
          <w:p>
            <w:pPr>
              <w:pStyle w:val="ListParagraph"/>
              <w:numPr>
                <w:ilvl w:val="0"/>
                <w:numId w:val="21"/>
              </w:numPr>
              <w:spacing w:line="254" w:lineRule="auto"/>
              <w:jc w:val="both"/>
              <w:rPr>
                <w:rFonts w:ascii="Times New Roman" w:hAnsi="Times New Roman" w:cs="Times New Roman"/>
                <w:i/>
                <w:noProof/>
              </w:rPr>
            </w:pPr>
            <w:r>
              <w:rPr>
                <w:rFonts w:ascii="Times New Roman" w:hAnsi="Times New Roman"/>
                <w:i/>
                <w:noProof/>
              </w:rPr>
              <w:t>à intensifier le dialogue sur les mesures sanitaires et phytosanitaires pour renforcer les systèmes de sécurité alimentaire;</w:t>
            </w:r>
          </w:p>
          <w:p>
            <w:pPr>
              <w:pStyle w:val="ListParagraph"/>
              <w:numPr>
                <w:ilvl w:val="0"/>
                <w:numId w:val="21"/>
              </w:numPr>
              <w:spacing w:after="0" w:line="240" w:lineRule="auto"/>
              <w:jc w:val="both"/>
              <w:rPr>
                <w:rFonts w:ascii="Times New Roman" w:hAnsi="Times New Roman" w:cs="Times New Roman"/>
                <w:i/>
                <w:noProof/>
              </w:rPr>
            </w:pPr>
            <w:r>
              <w:rPr>
                <w:rFonts w:ascii="Times New Roman" w:hAnsi="Times New Roman"/>
                <w:i/>
                <w:noProof/>
              </w:rPr>
              <w:t xml:space="preserve">à partager les expériences dans les domaines de la normalisation et des infrastructures de mesure de la qualité afin de faciliter les échanges intrarégionaux et le commerce avec l’UE;  </w:t>
            </w:r>
          </w:p>
          <w:p>
            <w:pPr>
              <w:pStyle w:val="ListParagraph"/>
              <w:numPr>
                <w:ilvl w:val="0"/>
                <w:numId w:val="21"/>
              </w:numPr>
              <w:spacing w:after="0" w:line="240" w:lineRule="auto"/>
              <w:jc w:val="both"/>
              <w:rPr>
                <w:rFonts w:ascii="Times New Roman" w:hAnsi="Times New Roman" w:cs="Times New Roman"/>
                <w:i/>
                <w:noProof/>
              </w:rPr>
            </w:pPr>
            <w:r>
              <w:rPr>
                <w:rFonts w:ascii="Times New Roman" w:hAnsi="Times New Roman"/>
                <w:i/>
                <w:noProof/>
              </w:rPr>
              <w:t xml:space="preserve">à encourager la simplification et l’harmonisation des procédures douanières et à soutenir le développement du commerce transfrontière en ligne;  </w:t>
            </w:r>
          </w:p>
          <w:p>
            <w:pPr>
              <w:pStyle w:val="ListParagraph"/>
              <w:numPr>
                <w:ilvl w:val="0"/>
                <w:numId w:val="21"/>
              </w:numPr>
              <w:spacing w:after="0" w:line="240" w:lineRule="auto"/>
              <w:jc w:val="both"/>
              <w:rPr>
                <w:rFonts w:ascii="Times New Roman" w:hAnsi="Times New Roman" w:cs="Times New Roman"/>
                <w:i/>
                <w:noProof/>
              </w:rPr>
            </w:pPr>
            <w:r>
              <w:rPr>
                <w:rFonts w:ascii="Times New Roman" w:hAnsi="Times New Roman"/>
                <w:i/>
                <w:noProof/>
              </w:rPr>
              <w:t xml:space="preserve">à renforcer la coopération technique en vue d’une meilleure utilisation de l’accès préférentiel unilatéral au marché de l’Union fourni par le SPG et le SPG+; </w:t>
            </w:r>
          </w:p>
          <w:p>
            <w:pPr>
              <w:pStyle w:val="ListParagraph"/>
              <w:numPr>
                <w:ilvl w:val="0"/>
                <w:numId w:val="21"/>
              </w:numPr>
              <w:spacing w:after="0" w:line="240" w:lineRule="auto"/>
              <w:jc w:val="both"/>
              <w:rPr>
                <w:rFonts w:ascii="Times New Roman" w:hAnsi="Times New Roman" w:cs="Times New Roman"/>
                <w:i/>
                <w:noProof/>
                <w:lang w:eastAsia="en-US"/>
              </w:rPr>
            </w:pPr>
            <w:r>
              <w:rPr>
                <w:rFonts w:ascii="Times New Roman" w:hAnsi="Times New Roman"/>
                <w:i/>
                <w:noProof/>
              </w:rPr>
              <w:t xml:space="preserve">à partager les expériences en matière d’indications géographiques afin d’aider à la diversification de la production agricole. </w:t>
            </w:r>
          </w:p>
        </w:tc>
      </w:tr>
    </w:tbl>
    <w:p>
      <w:pPr>
        <w:jc w:val="both"/>
        <w:rPr>
          <w:rFonts w:ascii="Times New Roman" w:hAnsi="Times New Roman" w:cs="Times New Roman"/>
          <w:i/>
          <w:noProof/>
          <w:sz w:val="16"/>
          <w:szCs w:val="16"/>
          <w:lang w:eastAsia="en-US"/>
        </w:rPr>
      </w:pPr>
    </w:p>
    <w:p>
      <w:pPr>
        <w:jc w:val="both"/>
        <w:rPr>
          <w:rFonts w:ascii="Times New Roman" w:hAnsi="Times New Roman" w:cs="Times New Roman"/>
          <w:b/>
          <w:i/>
          <w:noProof/>
        </w:rPr>
      </w:pPr>
      <w:r>
        <w:rPr>
          <w:rFonts w:ascii="Times New Roman" w:hAnsi="Times New Roman"/>
          <w:b/>
          <w:i/>
          <w:noProof/>
        </w:rPr>
        <w:t xml:space="preserve">2.3. </w:t>
      </w:r>
      <w:r>
        <w:rPr>
          <w:rFonts w:ascii="Times New Roman" w:hAnsi="Times New Roman"/>
          <w:b/>
          <w:i/>
          <w:noProof/>
        </w:rPr>
        <w:tab/>
        <w:t>Promouvoir une connectivité durable</w:t>
      </w:r>
    </w:p>
    <w:p>
      <w:pPr>
        <w:pStyle w:val="NormalWeb"/>
        <w:spacing w:before="0" w:beforeAutospacing="0" w:after="200" w:afterAutospacing="0" w:line="276" w:lineRule="auto"/>
        <w:jc w:val="both"/>
        <w:rPr>
          <w:noProof/>
          <w:sz w:val="22"/>
          <w:szCs w:val="22"/>
        </w:rPr>
      </w:pPr>
      <w:r>
        <w:rPr>
          <w:noProof/>
          <w:sz w:val="22"/>
          <w:szCs w:val="22"/>
        </w:rPr>
        <w:t xml:space="preserve">Le développement de la </w:t>
      </w:r>
      <w:r>
        <w:rPr>
          <w:b/>
          <w:noProof/>
          <w:sz w:val="22"/>
          <w:szCs w:val="22"/>
        </w:rPr>
        <w:t>connectivité entre l’Europe et l’Asie</w:t>
      </w:r>
      <w:r>
        <w:rPr>
          <w:noProof/>
          <w:sz w:val="22"/>
          <w:szCs w:val="22"/>
        </w:rPr>
        <w:t xml:space="preserve"> est susceptible d’apporter des avantages significatifs à l’Asie centrale grâce à l’amélioration des infrastructures, à la diversification de l’économie et à son intégration dans les chaînes de valeur régionales et mondiales. L’UE a tout intérêt à développer des couloirs commerciaux opérationnels entre l’Europe et l’Asie ainsi qu’à veiller à ce que la connectivité se développe d’une manière durable, ouverte, inclusive et fondée sur des règles, créant ainsi un environnement propice à des investissements durables et des conditions de concurrence équitables pour les entreprises en Asie centrale.</w:t>
      </w:r>
    </w:p>
    <w:p>
      <w:pPr>
        <w:pStyle w:val="NormalWeb"/>
        <w:spacing w:before="0" w:beforeAutospacing="0" w:after="200" w:afterAutospacing="0" w:line="276" w:lineRule="auto"/>
        <w:jc w:val="both"/>
        <w:rPr>
          <w:noProof/>
          <w:sz w:val="22"/>
          <w:szCs w:val="22"/>
        </w:rPr>
      </w:pPr>
      <w:r>
        <w:rPr>
          <w:noProof/>
          <w:sz w:val="22"/>
          <w:szCs w:val="22"/>
        </w:rPr>
        <w:t>Conformément à sa</w:t>
      </w:r>
      <w:r>
        <w:rPr>
          <w:b/>
          <w:bCs/>
          <w:i/>
          <w:iCs/>
          <w:noProof/>
          <w:sz w:val="22"/>
          <w:szCs w:val="22"/>
        </w:rPr>
        <w:t xml:space="preserve"> </w:t>
      </w:r>
      <w:r>
        <w:rPr>
          <w:bCs/>
          <w:i/>
          <w:iCs/>
          <w:noProof/>
          <w:sz w:val="22"/>
          <w:szCs w:val="22"/>
        </w:rPr>
        <w:t>Stratégie visant à relier l’Europe à l’Asie</w:t>
      </w:r>
      <w:r>
        <w:rPr>
          <w:rStyle w:val="FootnoteReference"/>
          <w:bCs/>
          <w:i/>
          <w:iCs/>
          <w:noProof/>
          <w:sz w:val="22"/>
          <w:szCs w:val="22"/>
        </w:rPr>
        <w:footnoteReference w:id="18"/>
      </w:r>
      <w:r>
        <w:rPr>
          <w:bCs/>
          <w:iCs/>
          <w:noProof/>
          <w:sz w:val="22"/>
          <w:szCs w:val="22"/>
        </w:rPr>
        <w:t>, et en utilisant les cadres de coopération existants</w:t>
      </w:r>
      <w:r>
        <w:rPr>
          <w:noProof/>
          <w:sz w:val="22"/>
          <w:szCs w:val="22"/>
        </w:rPr>
        <w:t xml:space="preserve">, l’UE établira, le cas échéant, des </w:t>
      </w:r>
      <w:r>
        <w:rPr>
          <w:b/>
          <w:noProof/>
          <w:sz w:val="22"/>
          <w:szCs w:val="22"/>
        </w:rPr>
        <w:t>partenariats en matière de connectivité durable</w:t>
      </w:r>
      <w:r>
        <w:rPr>
          <w:noProof/>
          <w:sz w:val="22"/>
          <w:szCs w:val="22"/>
        </w:rPr>
        <w:t xml:space="preserve"> avec les pays d’Asie centrale, qui seront fondés sur les principes du marché et les normes internationales et garantiront la transparence. La coopération dans ce domaine devrait être axée principalement sur </w:t>
      </w:r>
      <w:r>
        <w:rPr>
          <w:b/>
          <w:noProof/>
          <w:sz w:val="22"/>
          <w:szCs w:val="22"/>
        </w:rPr>
        <w:t>le transport, l’énergie et les connexions numériques, ainsi que sur les contacts interpersonnels</w:t>
      </w:r>
      <w:r>
        <w:rPr>
          <w:noProof/>
          <w:sz w:val="22"/>
          <w:szCs w:val="22"/>
        </w:rPr>
        <w:t>. Cette coopération contribuera à apporter des avantages durables à l’Asie centrale au-delà des avantages liés à leur statut de pays de transit, et aidera les pays d’Asie centrale à atteindre les objectifs de développement durable (ODD) et les objectifs en matière de climat.</w:t>
      </w:r>
    </w:p>
    <w:p>
      <w:pPr>
        <w:pStyle w:val="NormalWeb"/>
        <w:spacing w:before="0" w:beforeAutospacing="0" w:after="200" w:afterAutospacing="0" w:line="276" w:lineRule="auto"/>
        <w:jc w:val="both"/>
        <w:rPr>
          <w:noProof/>
          <w:sz w:val="22"/>
          <w:szCs w:val="22"/>
        </w:rPr>
      </w:pPr>
      <w:r>
        <w:rPr>
          <w:noProof/>
          <w:sz w:val="22"/>
          <w:szCs w:val="22"/>
        </w:rPr>
        <w:t>La combinaison de l’investissement privé européen et des programmes de coopération régionale de l’Union qui ont contribué à relier l’Europe à ses voisins et à l’Asie centrale depuis le début des années 90 a fait de l’UE un acteur majeur de la promotion de la connectivité euro-asiatique. De nouveaux efforts au niveau international dans ce domaine, notamment l’extension des</w:t>
      </w:r>
      <w:r>
        <w:rPr>
          <w:i/>
          <w:iCs/>
          <w:noProof/>
          <w:sz w:val="22"/>
          <w:szCs w:val="22"/>
        </w:rPr>
        <w:t xml:space="preserve"> réseaux transeuropéens de transport (RTE-T)</w:t>
      </w:r>
      <w:r>
        <w:rPr>
          <w:noProof/>
          <w:sz w:val="22"/>
          <w:szCs w:val="22"/>
        </w:rPr>
        <w:t xml:space="preserve"> aux pays voisins de l’Union, l’initiative chinoise «</w:t>
      </w:r>
      <w:r>
        <w:rPr>
          <w:i/>
          <w:iCs/>
          <w:noProof/>
          <w:sz w:val="22"/>
          <w:szCs w:val="22"/>
        </w:rPr>
        <w:t>Une ceinture, une route</w:t>
      </w:r>
      <w:r>
        <w:rPr>
          <w:iCs/>
          <w:noProof/>
          <w:sz w:val="22"/>
          <w:szCs w:val="22"/>
        </w:rPr>
        <w:t>» ainsi que d’autres initiatives</w:t>
      </w:r>
      <w:r>
        <w:rPr>
          <w:i/>
          <w:iCs/>
          <w:noProof/>
          <w:sz w:val="22"/>
          <w:szCs w:val="22"/>
        </w:rPr>
        <w:t xml:space="preserve"> </w:t>
      </w:r>
      <w:r>
        <w:rPr>
          <w:noProof/>
          <w:sz w:val="22"/>
          <w:szCs w:val="22"/>
        </w:rPr>
        <w:t xml:space="preserve">peuvent fournir d’excellentes occasions de répondre aux principaux besoins de l’Asie centrale. </w:t>
      </w:r>
    </w:p>
    <w:p>
      <w:pPr>
        <w:pStyle w:val="NormalWeb"/>
        <w:spacing w:before="0" w:beforeAutospacing="0" w:after="200" w:afterAutospacing="0" w:line="276" w:lineRule="auto"/>
        <w:jc w:val="both"/>
        <w:rPr>
          <w:noProof/>
          <w:sz w:val="22"/>
          <w:szCs w:val="22"/>
        </w:rPr>
      </w:pPr>
      <w:r>
        <w:rPr>
          <w:noProof/>
          <w:sz w:val="22"/>
          <w:szCs w:val="22"/>
        </w:rPr>
        <w:t xml:space="preserve">L’UE et les pays d’Asie centrale renforceront leur coopération et instaureront des synergies dans la planification de la </w:t>
      </w:r>
      <w:r>
        <w:rPr>
          <w:b/>
          <w:bCs/>
          <w:noProof/>
          <w:sz w:val="22"/>
          <w:szCs w:val="22"/>
        </w:rPr>
        <w:t>connectivité des transports</w:t>
      </w:r>
      <w:r>
        <w:rPr>
          <w:noProof/>
          <w:sz w:val="22"/>
          <w:szCs w:val="22"/>
        </w:rPr>
        <w:t xml:space="preserve"> et dans la mise en place des cadres réglementaires nécessaires, notamment pour connecter le cadre RTE-T, bien développé, avec les réseaux d’Asie centrale, passant notamment par le Caucase du Sud, et avec d’autres réseaux régionaux</w:t>
      </w:r>
      <w:r>
        <w:rPr>
          <w:rStyle w:val="FootnoteReference"/>
          <w:noProof/>
          <w:sz w:val="22"/>
          <w:szCs w:val="22"/>
        </w:rPr>
        <w:footnoteReference w:id="19"/>
      </w:r>
      <w:r>
        <w:rPr>
          <w:noProof/>
          <w:sz w:val="22"/>
          <w:szCs w:val="22"/>
        </w:rPr>
        <w:t>. L’objectif est de parvenir à établir des liaisons de transport terrestre équilibrées et durables est</w:t>
      </w:r>
      <w:r>
        <w:rPr>
          <w:noProof/>
          <w:sz w:val="22"/>
          <w:szCs w:val="22"/>
        </w:rPr>
        <w:noBreakHyphen/>
        <w:t>-ouest et nord</w:t>
      </w:r>
      <w:r>
        <w:rPr>
          <w:noProof/>
          <w:sz w:val="22"/>
          <w:szCs w:val="22"/>
        </w:rPr>
        <w:noBreakHyphen/>
        <w:t xml:space="preserve">-sud, notamment en s’appuyant sur la </w:t>
      </w:r>
      <w:r>
        <w:rPr>
          <w:i/>
          <w:iCs/>
          <w:noProof/>
          <w:sz w:val="22"/>
          <w:szCs w:val="22"/>
        </w:rPr>
        <w:t>coopération économique régionale pour l’Asie centrale</w:t>
      </w:r>
      <w:r>
        <w:rPr>
          <w:noProof/>
          <w:sz w:val="22"/>
          <w:szCs w:val="22"/>
        </w:rPr>
        <w:t xml:space="preserve">. Pour atteindre cet objectif, l’UE pourrait, le cas échéant, offrir une assistance technique et contribuer au développement d’infrastructures durables afin d’aider ses partenaires à planifier leurs systèmes de transport et à assurer leur interconnexion. L’UE contribuera à la décarbonisation du transport terrestre en favorisant la </w:t>
      </w:r>
      <w:r>
        <w:rPr>
          <w:b/>
          <w:noProof/>
          <w:sz w:val="22"/>
          <w:szCs w:val="22"/>
        </w:rPr>
        <w:t>mobilité électrique</w:t>
      </w:r>
      <w:r>
        <w:rPr>
          <w:noProof/>
          <w:sz w:val="22"/>
          <w:szCs w:val="22"/>
        </w:rPr>
        <w:t xml:space="preserve">, que ce soit par route ou par chemin de fer, et accordera toute l’attention voulue au développement </w:t>
      </w:r>
      <w:r>
        <w:rPr>
          <w:b/>
          <w:noProof/>
          <w:sz w:val="22"/>
          <w:szCs w:val="22"/>
        </w:rPr>
        <w:t>du transport aérien et de l’aviation civile</w:t>
      </w:r>
      <w:r>
        <w:rPr>
          <w:noProof/>
          <w:sz w:val="22"/>
          <w:szCs w:val="22"/>
        </w:rPr>
        <w:t>, y compris en ce qui concerne les questions de sécurité.</w:t>
      </w:r>
    </w:p>
    <w:p>
      <w:pPr>
        <w:pStyle w:val="NormalWeb"/>
        <w:spacing w:before="0" w:beforeAutospacing="0" w:after="200" w:afterAutospacing="0" w:line="276" w:lineRule="auto"/>
        <w:jc w:val="both"/>
        <w:rPr>
          <w:noProof/>
          <w:sz w:val="22"/>
          <w:szCs w:val="22"/>
        </w:rPr>
      </w:pPr>
      <w:r>
        <w:rPr>
          <w:noProof/>
          <w:sz w:val="22"/>
          <w:szCs w:val="22"/>
        </w:rPr>
        <w:t>La poursuite de la coopération entre l’UE et l’Asie centrale dans le domaine de la</w:t>
      </w:r>
      <w:r>
        <w:rPr>
          <w:b/>
          <w:bCs/>
          <w:noProof/>
          <w:sz w:val="22"/>
          <w:szCs w:val="22"/>
        </w:rPr>
        <w:t xml:space="preserve"> gestion des frontières</w:t>
      </w:r>
      <w:r>
        <w:rPr>
          <w:bCs/>
          <w:noProof/>
          <w:sz w:val="22"/>
          <w:szCs w:val="22"/>
        </w:rPr>
        <w:t>, y compris la coopération renforcée en matière de gestion moderne intégrée des frontières,</w:t>
      </w:r>
      <w:r>
        <w:rPr>
          <w:noProof/>
          <w:sz w:val="22"/>
          <w:szCs w:val="22"/>
        </w:rPr>
        <w:t xml:space="preserve"> ainsi que la promotion de</w:t>
      </w:r>
      <w:r>
        <w:rPr>
          <w:b/>
          <w:bCs/>
          <w:noProof/>
          <w:sz w:val="22"/>
          <w:szCs w:val="22"/>
        </w:rPr>
        <w:t xml:space="preserve"> systèmes de transit douanier compatibles</w:t>
      </w:r>
      <w:r>
        <w:rPr>
          <w:noProof/>
          <w:sz w:val="22"/>
          <w:szCs w:val="22"/>
        </w:rPr>
        <w:t xml:space="preserve"> appuieront les efforts visant à développer la connectivité dans le secteur des transports.  </w:t>
      </w:r>
    </w:p>
    <w:p>
      <w:pPr>
        <w:jc w:val="both"/>
        <w:rPr>
          <w:rFonts w:ascii="Times New Roman" w:hAnsi="Times New Roman" w:cs="Times New Roman"/>
          <w:noProof/>
        </w:rPr>
      </w:pPr>
      <w:r>
        <w:rPr>
          <w:rFonts w:ascii="Times New Roman" w:hAnsi="Times New Roman"/>
          <w:noProof/>
        </w:rPr>
        <w:t xml:space="preserve">L’UE poursuivra ses efforts en vue de renforcer le rôle de l’Asie centrale dans sa contribution à </w:t>
      </w:r>
      <w:r>
        <w:rPr>
          <w:rFonts w:ascii="Times New Roman" w:hAnsi="Times New Roman"/>
          <w:b/>
          <w:noProof/>
        </w:rPr>
        <w:t>la sécurité de l'approvisionnement énergétique et à la diversification des fournisseurs, des sources et des voies d’approvisionnement de l’UE</w:t>
      </w:r>
      <w:r>
        <w:rPr>
          <w:rFonts w:ascii="Times New Roman" w:hAnsi="Times New Roman"/>
          <w:noProof/>
        </w:rPr>
        <w:t xml:space="preserve">, notamment en évaluant la possibilité de construire le </w:t>
      </w:r>
      <w:r>
        <w:rPr>
          <w:rFonts w:ascii="Times New Roman" w:hAnsi="Times New Roman"/>
          <w:i/>
          <w:noProof/>
        </w:rPr>
        <w:t>gazoduc transcaspien</w:t>
      </w:r>
      <w:r>
        <w:rPr>
          <w:rFonts w:ascii="Times New Roman" w:hAnsi="Times New Roman"/>
          <w:noProof/>
        </w:rPr>
        <w:t xml:space="preserve">. Elle coopérera avec l’Asie centrale pour renforcer les cadres réglementaires, technologies et compétences nécessaires pour réduire les coûts, développer des sources d’énergie renouvelable et des technologies permettant d'économiser l'énergie, et mobiliser les investissements par des mixages et autres incitations financières. L’UE contribuera à la modernisation de la distribution d’électricité grâce à des réseaux décentralisés intelligents et résilients et au </w:t>
      </w:r>
      <w:r>
        <w:rPr>
          <w:rFonts w:ascii="Times New Roman" w:hAnsi="Times New Roman"/>
          <w:b/>
          <w:noProof/>
        </w:rPr>
        <w:t>développement d’interconnexions entre les pays</w:t>
      </w:r>
      <w:r>
        <w:rPr>
          <w:rFonts w:ascii="Times New Roman" w:hAnsi="Times New Roman"/>
          <w:noProof/>
        </w:rPr>
        <w:t xml:space="preserve">, afin de stimuler les échanges d’électricité régionaux et interrégionaux.    </w:t>
      </w:r>
    </w:p>
    <w:p>
      <w:pPr>
        <w:jc w:val="both"/>
        <w:rPr>
          <w:rFonts w:ascii="Times New Roman" w:hAnsi="Times New Roman" w:cs="Times New Roman"/>
          <w:noProof/>
        </w:rPr>
      </w:pPr>
      <w:r>
        <w:rPr>
          <w:rFonts w:ascii="Times New Roman" w:hAnsi="Times New Roman"/>
          <w:noProof/>
        </w:rPr>
        <w:t>L’UE et l’Asie centrale renforceront leur coopération en matière d’</w:t>
      </w:r>
      <w:r>
        <w:rPr>
          <w:rFonts w:ascii="Times New Roman" w:hAnsi="Times New Roman"/>
          <w:b/>
          <w:noProof/>
        </w:rPr>
        <w:t>économie numérique</w:t>
      </w:r>
      <w:r>
        <w:rPr>
          <w:rFonts w:ascii="Times New Roman" w:hAnsi="Times New Roman"/>
          <w:noProof/>
        </w:rPr>
        <w:t xml:space="preserve">, en mettant l’accent sur la promotion de l’accès à une connectivité à haut débit abordable, ouverte et sûre et aux infrastructures numériques, y compris par l’adoption des réformes réglementaires nécessaires; en soutenant la création de réseaux à haute capacité pour la recherche et l’éducation, ainsi que leur maintenance; en favorisant l'habileté numérique et les compétences numériques; en encourageant l’entrepreneuriat numérique et la création d’emplois, et en stimulant des domaines tels que l’administration et l’éducation en ligne. Compte tenu de sa nature transversale, la numérisation sera un aspect essentiel de la coopération entre l’UE et l’Asie centrale dans des domaines tels que la gestion intégrée des frontières, la réforme de l’administration publique, le commerce, le transport et les infrastructures énergétiques, ainsi que le soutien aux PME. L’UE multipliera les échanges d’expériences sur la liberté de l’internet et la lutte contre la désinformation au sein des enceintes appropriées. </w:t>
      </w:r>
    </w:p>
    <w:p>
      <w:pPr>
        <w:jc w:val="both"/>
        <w:rPr>
          <w:rFonts w:ascii="Times New Roman" w:hAnsi="Times New Roman" w:cs="Times New Roman"/>
          <w:noProof/>
        </w:rPr>
      </w:pPr>
      <w:r>
        <w:rPr>
          <w:rFonts w:ascii="Times New Roman" w:hAnsi="Times New Roman"/>
          <w:noProof/>
        </w:rPr>
        <w:t xml:space="preserve">La coopération relative à l’utilisation des services de positionnement, de navigation et de datation par satellite fournis par </w:t>
      </w:r>
      <w:r>
        <w:rPr>
          <w:rFonts w:ascii="Times New Roman" w:hAnsi="Times New Roman"/>
          <w:b/>
          <w:i/>
          <w:noProof/>
        </w:rPr>
        <w:t>Galileo</w:t>
      </w:r>
      <w:r>
        <w:rPr>
          <w:rFonts w:ascii="Times New Roman" w:hAnsi="Times New Roman"/>
          <w:b/>
          <w:noProof/>
        </w:rPr>
        <w:t xml:space="preserve"> </w:t>
      </w:r>
      <w:r>
        <w:rPr>
          <w:rFonts w:ascii="Times New Roman" w:hAnsi="Times New Roman"/>
          <w:noProof/>
        </w:rPr>
        <w:t>pourrait</w:t>
      </w:r>
      <w:r>
        <w:rPr>
          <w:rFonts w:ascii="Times New Roman" w:hAnsi="Times New Roman"/>
          <w:b/>
          <w:noProof/>
        </w:rPr>
        <w:t xml:space="preserve"> </w:t>
      </w:r>
      <w:r>
        <w:rPr>
          <w:rFonts w:ascii="Times New Roman" w:hAnsi="Times New Roman"/>
          <w:noProof/>
        </w:rPr>
        <w:t xml:space="preserve">faciliter la connectivité en matière de transport et avoir des applications dans le cadre des réseaux d’énergie et de télécommunications. </w:t>
      </w:r>
    </w:p>
    <w:p>
      <w:pPr>
        <w:jc w:val="both"/>
        <w:rPr>
          <w:rFonts w:ascii="Times New Roman" w:hAnsi="Times New Roman" w:cs="Times New Roman"/>
          <w:noProof/>
        </w:rPr>
      </w:pPr>
      <w:r>
        <w:rPr>
          <w:rFonts w:ascii="Times New Roman" w:hAnsi="Times New Roman"/>
          <w:noProof/>
        </w:rPr>
        <w:t xml:space="preserve">L’UE collaborera étroitement avec </w:t>
      </w:r>
      <w:r>
        <w:rPr>
          <w:rFonts w:ascii="Times New Roman" w:hAnsi="Times New Roman"/>
          <w:b/>
          <w:noProof/>
        </w:rPr>
        <w:t>les pays tiers, les organisations régionales et les institutions financières internationales</w:t>
      </w:r>
      <w:r>
        <w:rPr>
          <w:rFonts w:ascii="Times New Roman" w:hAnsi="Times New Roman"/>
          <w:noProof/>
        </w:rPr>
        <w:t xml:space="preserve"> pour favoriser la durabilité et des conditions de concurrence équitables en matière de connectivité et défendre les intérêts communs de l’Asie centrale et de l’UE. L’UE cherchera à instaurer des synergies avec d’autres partenaires clés œuvrant en faveur de la connectivité euro-asiatique, notamment dans le cadre du processus ASEM (</w:t>
      </w:r>
      <w:r>
        <w:rPr>
          <w:rFonts w:ascii="Times New Roman" w:hAnsi="Times New Roman"/>
          <w:i/>
          <w:noProof/>
        </w:rPr>
        <w:t>rencontres Asie</w:t>
      </w:r>
      <w:r>
        <w:rPr>
          <w:rFonts w:ascii="Times New Roman" w:hAnsi="Times New Roman"/>
          <w:i/>
          <w:noProof/>
        </w:rPr>
        <w:noBreakHyphen/>
        <w:t>Europe</w:t>
      </w:r>
      <w:r>
        <w:rPr>
          <w:rFonts w:ascii="Times New Roman" w:hAnsi="Times New Roman"/>
          <w:noProof/>
        </w:rPr>
        <w:t>). L’engagement de l’UE à soutenir des projets de connectivité durable devrait contribuer à améliorer la qualité globale des projets d’investissement d’autres acteurs de la région.</w:t>
      </w:r>
    </w:p>
    <w:p>
      <w:pPr>
        <w:jc w:val="both"/>
        <w:rPr>
          <w:rFonts w:ascii="Times New Roman" w:hAnsi="Times New Roman" w:cs="Times New Roman"/>
          <w:noProof/>
        </w:rPr>
      </w:pPr>
      <w:r>
        <w:rPr>
          <w:rFonts w:ascii="Times New Roman" w:hAnsi="Times New Roman"/>
          <w:noProof/>
        </w:rPr>
        <w:t xml:space="preserve">L’UE utilisera ses instruments financiers, subventions et garanties ainsi que des prêts BEI, et elle collaborera avec des institutions financières internationales et des banques multilatérales de développement pour </w:t>
      </w:r>
      <w:r>
        <w:rPr>
          <w:rFonts w:ascii="Times New Roman" w:hAnsi="Times New Roman"/>
          <w:b/>
          <w:noProof/>
        </w:rPr>
        <w:t>mobiliser des capitaux publics, et surtout privés</w:t>
      </w:r>
      <w:r>
        <w:rPr>
          <w:rFonts w:ascii="Times New Roman" w:hAnsi="Times New Roman"/>
          <w:noProof/>
        </w:rPr>
        <w:t xml:space="preserve"> en faveur de projets de connectivité durable en Asie centrale. </w:t>
      </w:r>
    </w:p>
    <w:tbl>
      <w:tblPr>
        <w:tblStyle w:val="TableGrid"/>
        <w:tblW w:w="9072" w:type="dxa"/>
        <w:tblInd w:w="108" w:type="dxa"/>
        <w:tblLook w:val="04A0" w:firstRow="1" w:lastRow="0" w:firstColumn="1" w:lastColumn="0" w:noHBand="0" w:noVBand="1"/>
      </w:tblPr>
      <w:tblGrid>
        <w:gridCol w:w="9072"/>
      </w:tblGrid>
      <w:tr>
        <w:trPr>
          <w:trHeight w:val="2610"/>
        </w:trPr>
        <w:tc>
          <w:tcPr>
            <w:tcW w:w="9072"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cs="Times New Roman"/>
                <w:i/>
                <w:noProof/>
              </w:rPr>
            </w:pPr>
            <w:r>
              <w:rPr>
                <w:rFonts w:ascii="Times New Roman" w:hAnsi="Times New Roman"/>
                <w:i/>
                <w:noProof/>
              </w:rPr>
              <w:t xml:space="preserve">Les initiatives spécifiques dans ce domaine devraient viser, notamment: </w:t>
            </w:r>
          </w:p>
          <w:p>
            <w:pPr>
              <w:pStyle w:val="ListParagraph"/>
              <w:numPr>
                <w:ilvl w:val="0"/>
                <w:numId w:val="21"/>
              </w:numPr>
              <w:spacing w:after="0" w:line="240" w:lineRule="auto"/>
              <w:jc w:val="both"/>
              <w:rPr>
                <w:rFonts w:ascii="Times New Roman" w:hAnsi="Times New Roman" w:cs="Times New Roman"/>
                <w:i/>
                <w:noProof/>
              </w:rPr>
            </w:pPr>
            <w:r>
              <w:rPr>
                <w:rFonts w:ascii="Times New Roman" w:hAnsi="Times New Roman"/>
                <w:i/>
                <w:noProof/>
              </w:rPr>
              <w:t>à renforcer la coopération bilatérale et interrégionale pour garantir une connectivité durable et efficace</w:t>
            </w:r>
          </w:p>
          <w:p>
            <w:pPr>
              <w:pStyle w:val="ListParagraph"/>
              <w:numPr>
                <w:ilvl w:val="0"/>
                <w:numId w:val="21"/>
              </w:numPr>
              <w:spacing w:after="0" w:line="240" w:lineRule="auto"/>
              <w:jc w:val="both"/>
              <w:rPr>
                <w:rFonts w:ascii="Times New Roman" w:hAnsi="Times New Roman" w:cs="Times New Roman"/>
                <w:i/>
                <w:noProof/>
              </w:rPr>
            </w:pPr>
            <w:r>
              <w:rPr>
                <w:rFonts w:ascii="Times New Roman" w:hAnsi="Times New Roman"/>
                <w:i/>
                <w:noProof/>
              </w:rPr>
              <w:t>à contribuer au développement de corridors de transport entre l’UE et l’Asie centrale, fondé sur l’extension des réseaux RTE-T;</w:t>
            </w:r>
          </w:p>
          <w:p>
            <w:pPr>
              <w:pStyle w:val="ListParagraph"/>
              <w:numPr>
                <w:ilvl w:val="0"/>
                <w:numId w:val="21"/>
              </w:numPr>
              <w:spacing w:after="0" w:line="240" w:lineRule="auto"/>
              <w:jc w:val="both"/>
              <w:rPr>
                <w:rFonts w:ascii="Times New Roman" w:hAnsi="Times New Roman" w:cs="Times New Roman"/>
                <w:i/>
                <w:noProof/>
              </w:rPr>
            </w:pPr>
            <w:r>
              <w:rPr>
                <w:rFonts w:ascii="Times New Roman" w:hAnsi="Times New Roman"/>
                <w:i/>
                <w:noProof/>
              </w:rPr>
              <w:t xml:space="preserve">à intensifier les dialogues bilatéraux dans le cadre des protocoles d’accord existants en matière de coopération énergétique et à organiser, le cas échéant, des conférences régionales ad hoc sur l’énergie;  </w:t>
            </w:r>
          </w:p>
          <w:p>
            <w:pPr>
              <w:pStyle w:val="ListParagraph"/>
              <w:numPr>
                <w:ilvl w:val="0"/>
                <w:numId w:val="21"/>
              </w:numPr>
              <w:spacing w:after="0" w:line="240" w:lineRule="auto"/>
              <w:jc w:val="both"/>
              <w:rPr>
                <w:rFonts w:ascii="Times New Roman" w:hAnsi="Times New Roman" w:cs="Times New Roman"/>
                <w:i/>
                <w:noProof/>
              </w:rPr>
            </w:pPr>
            <w:r>
              <w:rPr>
                <w:rFonts w:ascii="Times New Roman" w:hAnsi="Times New Roman"/>
                <w:i/>
                <w:noProof/>
              </w:rPr>
              <w:t>à utiliser des financements et des mixages innovants pour encourager davantage les investissements verts, en particulier en matière d’énergies renouvelables et d’efficacité énergétique;</w:t>
            </w:r>
          </w:p>
          <w:p>
            <w:pPr>
              <w:pStyle w:val="ListParagraph"/>
              <w:numPr>
                <w:ilvl w:val="0"/>
                <w:numId w:val="21"/>
              </w:numPr>
              <w:spacing w:after="0" w:line="240" w:lineRule="auto"/>
              <w:jc w:val="both"/>
              <w:rPr>
                <w:rFonts w:ascii="Times New Roman" w:hAnsi="Times New Roman" w:cs="Times New Roman"/>
                <w:i/>
                <w:noProof/>
                <w:lang w:eastAsia="en-US"/>
              </w:rPr>
            </w:pPr>
            <w:r>
              <w:rPr>
                <w:rFonts w:ascii="Times New Roman" w:hAnsi="Times New Roman"/>
                <w:i/>
                <w:noProof/>
              </w:rPr>
              <w:t xml:space="preserve">à utiliser les instruments de l’UE (tels que les subventions, mixages et garanties) et à multiplier les consultations avec les organisations financières internationales et d’autres acteurs du secteur afin de soutenir des projets durables en matière de connectivité.     </w:t>
            </w:r>
          </w:p>
        </w:tc>
      </w:tr>
    </w:tbl>
    <w:p>
      <w:pPr>
        <w:jc w:val="both"/>
        <w:rPr>
          <w:rFonts w:ascii="Times New Roman" w:hAnsi="Times New Roman" w:cs="Times New Roman"/>
          <w:b/>
          <w:i/>
          <w:noProof/>
          <w:sz w:val="16"/>
          <w:szCs w:val="16"/>
          <w:lang w:eastAsia="en-US"/>
        </w:rPr>
      </w:pPr>
    </w:p>
    <w:p>
      <w:pPr>
        <w:jc w:val="both"/>
        <w:rPr>
          <w:rFonts w:ascii="Times New Roman" w:hAnsi="Times New Roman" w:cs="Times New Roman"/>
          <w:b/>
          <w:i/>
          <w:noProof/>
        </w:rPr>
      </w:pPr>
      <w:r>
        <w:rPr>
          <w:rFonts w:ascii="Times New Roman" w:hAnsi="Times New Roman"/>
          <w:b/>
          <w:i/>
          <w:noProof/>
        </w:rPr>
        <w:t xml:space="preserve">2.4. </w:t>
      </w:r>
      <w:r>
        <w:rPr>
          <w:rFonts w:ascii="Times New Roman" w:hAnsi="Times New Roman"/>
          <w:b/>
          <w:i/>
          <w:noProof/>
        </w:rPr>
        <w:tab/>
        <w:t xml:space="preserve">Investir dans la jeunesse, l’éducation, l’innovation et la culture </w:t>
      </w:r>
    </w:p>
    <w:p>
      <w:pPr>
        <w:jc w:val="both"/>
        <w:rPr>
          <w:rFonts w:ascii="Times New Roman" w:hAnsi="Times New Roman" w:cs="Times New Roman"/>
          <w:noProof/>
        </w:rPr>
      </w:pPr>
      <w:r>
        <w:rPr>
          <w:rFonts w:ascii="Times New Roman" w:hAnsi="Times New Roman"/>
          <w:noProof/>
        </w:rPr>
        <w:t>Le développement des compétences sera un élément essentiel pour garantir la compétitivité et la cohésion sociale de l’Asie centrale. La promotion d’une éducation de qualité, l’amélioration de l’employabilité et l’offre de perspectives d’emplois décents pour les jeunes et les femmes en Asie centrale devraient aider la région à répondre aux exigences de technologies qui évoluent rapidement et à fournir la main</w:t>
      </w:r>
      <w:r>
        <w:rPr>
          <w:rFonts w:ascii="Times New Roman" w:hAnsi="Times New Roman"/>
          <w:noProof/>
        </w:rPr>
        <w:noBreakHyphen/>
        <w:t>d’œuvre qualifiée nécessaire afin de diversifier l’économie et d’attirer les investisseurs étrangers. La fourniture d’une éducation et d’emplois de qualité, notamment dans les zones rurales, y compris pour les filles et les femmes, demeurera une condition essentielle pour empêcher l’émigration de la main</w:t>
      </w:r>
      <w:r>
        <w:rPr>
          <w:rFonts w:ascii="Times New Roman" w:hAnsi="Times New Roman"/>
          <w:noProof/>
        </w:rPr>
        <w:noBreakHyphen/>
        <w:t xml:space="preserve">d’œuvre qualifiée ainsi que la radicalisation et l’extrémisme violent. </w:t>
      </w:r>
    </w:p>
    <w:p>
      <w:pPr>
        <w:jc w:val="both"/>
        <w:rPr>
          <w:rFonts w:ascii="Times New Roman" w:hAnsi="Times New Roman" w:cs="Times New Roman"/>
          <w:noProof/>
        </w:rPr>
      </w:pPr>
      <w:r>
        <w:rPr>
          <w:rFonts w:ascii="Times New Roman" w:hAnsi="Times New Roman"/>
          <w:noProof/>
        </w:rPr>
        <w:t xml:space="preserve">L’UE soutiendra la coopération inter- et intrarégionale afin de renforcer les capacités et d’améliorer la </w:t>
      </w:r>
      <w:r>
        <w:rPr>
          <w:rFonts w:ascii="Times New Roman" w:hAnsi="Times New Roman"/>
          <w:b/>
          <w:noProof/>
        </w:rPr>
        <w:t>qualité de l’éducation, de l’enseignement supérieur et de l’enseignement et de la formation professionnels</w:t>
      </w:r>
      <w:r>
        <w:rPr>
          <w:rFonts w:ascii="Times New Roman" w:hAnsi="Times New Roman"/>
          <w:noProof/>
        </w:rPr>
        <w:t xml:space="preserve">. Elle favorisera </w:t>
      </w:r>
      <w:r>
        <w:rPr>
          <w:rFonts w:ascii="Times New Roman" w:hAnsi="Times New Roman"/>
          <w:b/>
          <w:noProof/>
        </w:rPr>
        <w:t>les synergies entre les systèmes éducatifs et le marché du travail</w:t>
      </w:r>
      <w:r>
        <w:rPr>
          <w:rFonts w:ascii="Times New Roman" w:hAnsi="Times New Roman"/>
          <w:noProof/>
        </w:rPr>
        <w:t xml:space="preserve">, ainsi que </w:t>
      </w:r>
      <w:r>
        <w:rPr>
          <w:rFonts w:ascii="Times New Roman" w:hAnsi="Times New Roman"/>
          <w:b/>
          <w:noProof/>
        </w:rPr>
        <w:t>l’enseignement numérique</w:t>
      </w:r>
      <w:r>
        <w:rPr>
          <w:rFonts w:ascii="Times New Roman" w:hAnsi="Times New Roman"/>
          <w:noProof/>
        </w:rPr>
        <w:t xml:space="preserve">. </w:t>
      </w:r>
    </w:p>
    <w:p>
      <w:pPr>
        <w:jc w:val="both"/>
        <w:rPr>
          <w:rFonts w:ascii="Times New Roman" w:hAnsi="Times New Roman" w:cs="Times New Roman"/>
          <w:noProof/>
        </w:rPr>
      </w:pPr>
      <w:r>
        <w:rPr>
          <w:rFonts w:ascii="Times New Roman" w:hAnsi="Times New Roman"/>
          <w:noProof/>
        </w:rPr>
        <w:t xml:space="preserve">L’UE peut s’appuyer sur le programme </w:t>
      </w:r>
      <w:r>
        <w:rPr>
          <w:rFonts w:ascii="Times New Roman" w:hAnsi="Times New Roman"/>
          <w:i/>
          <w:noProof/>
        </w:rPr>
        <w:t>Erasmus+</w:t>
      </w:r>
      <w:r>
        <w:rPr>
          <w:rFonts w:ascii="Times New Roman" w:hAnsi="Times New Roman"/>
          <w:noProof/>
        </w:rPr>
        <w:t xml:space="preserve"> pour aider les universités d’Asie centrale à se moderniser et à atteindre les objectifs du </w:t>
      </w:r>
      <w:r>
        <w:rPr>
          <w:rFonts w:ascii="Times New Roman" w:hAnsi="Times New Roman"/>
          <w:b/>
          <w:i/>
          <w:noProof/>
        </w:rPr>
        <w:t>processus de Bologne</w:t>
      </w:r>
      <w:r>
        <w:rPr>
          <w:rFonts w:ascii="Times New Roman" w:hAnsi="Times New Roman"/>
          <w:b/>
          <w:noProof/>
        </w:rPr>
        <w:t xml:space="preserve"> pour l’enseignement supérieur</w:t>
      </w:r>
      <w:r>
        <w:rPr>
          <w:rFonts w:ascii="Times New Roman" w:hAnsi="Times New Roman"/>
          <w:noProof/>
        </w:rPr>
        <w:t xml:space="preserve"> et du </w:t>
      </w:r>
      <w:r>
        <w:rPr>
          <w:rFonts w:ascii="Times New Roman" w:hAnsi="Times New Roman"/>
          <w:b/>
          <w:i/>
          <w:noProof/>
        </w:rPr>
        <w:t>processus de Turin</w:t>
      </w:r>
      <w:r>
        <w:rPr>
          <w:rFonts w:ascii="Times New Roman" w:hAnsi="Times New Roman"/>
          <w:b/>
          <w:noProof/>
        </w:rPr>
        <w:t xml:space="preserve"> pour l'enseignement et de la formation professionnels</w:t>
      </w:r>
      <w:r>
        <w:rPr>
          <w:rFonts w:ascii="Times New Roman" w:hAnsi="Times New Roman"/>
          <w:noProof/>
        </w:rPr>
        <w:t xml:space="preserve">. L’UE devrait chercher à développer des </w:t>
      </w:r>
      <w:r>
        <w:rPr>
          <w:rFonts w:ascii="Times New Roman" w:hAnsi="Times New Roman"/>
          <w:b/>
          <w:noProof/>
        </w:rPr>
        <w:t>études européennes</w:t>
      </w:r>
      <w:r>
        <w:rPr>
          <w:rFonts w:ascii="Times New Roman" w:hAnsi="Times New Roman"/>
          <w:noProof/>
        </w:rPr>
        <w:t xml:space="preserve"> dans les universités d’Asie centrale. Il conviendrait d’encourager les universités des États membres de l’UE à mettre en place davantage de </w:t>
      </w:r>
      <w:r>
        <w:rPr>
          <w:rFonts w:ascii="Times New Roman" w:hAnsi="Times New Roman"/>
          <w:b/>
          <w:noProof/>
        </w:rPr>
        <w:t>partenariats et de sections spécialisées</w:t>
      </w:r>
      <w:r>
        <w:rPr>
          <w:rFonts w:ascii="Times New Roman" w:hAnsi="Times New Roman"/>
          <w:noProof/>
        </w:rPr>
        <w:t xml:space="preserve"> avec les universités d’Asie centrale et à développer la </w:t>
      </w:r>
      <w:r>
        <w:rPr>
          <w:rFonts w:ascii="Times New Roman" w:hAnsi="Times New Roman"/>
          <w:b/>
          <w:noProof/>
        </w:rPr>
        <w:t>formation linguistique</w:t>
      </w:r>
      <w:r>
        <w:rPr>
          <w:rFonts w:ascii="Times New Roman" w:hAnsi="Times New Roman"/>
          <w:noProof/>
        </w:rPr>
        <w:t xml:space="preserve"> dans la région. </w:t>
      </w:r>
    </w:p>
    <w:p>
      <w:pPr>
        <w:jc w:val="both"/>
        <w:rPr>
          <w:rFonts w:ascii="Times New Roman" w:hAnsi="Times New Roman" w:cs="Times New Roman"/>
          <w:noProof/>
        </w:rPr>
      </w:pPr>
      <w:r>
        <w:rPr>
          <w:rFonts w:ascii="Times New Roman" w:hAnsi="Times New Roman"/>
          <w:noProof/>
        </w:rPr>
        <w:t xml:space="preserve">L’UE étudiera la possibilité d’aider l’Asie centrale à construire un </w:t>
      </w:r>
      <w:r>
        <w:rPr>
          <w:rFonts w:ascii="Times New Roman" w:hAnsi="Times New Roman"/>
          <w:b/>
          <w:noProof/>
        </w:rPr>
        <w:t>espace régional d’enseignement supérieur</w:t>
      </w:r>
      <w:r>
        <w:rPr>
          <w:rFonts w:ascii="Times New Roman" w:hAnsi="Times New Roman"/>
          <w:noProof/>
        </w:rPr>
        <w:t>, inspiré de l’exemple de l’</w:t>
      </w:r>
      <w:r>
        <w:rPr>
          <w:rFonts w:ascii="Times New Roman" w:hAnsi="Times New Roman"/>
          <w:i/>
          <w:noProof/>
        </w:rPr>
        <w:t>espace européen de l’enseignement supérieur</w:t>
      </w:r>
      <w:r>
        <w:rPr>
          <w:rFonts w:ascii="Times New Roman" w:hAnsi="Times New Roman"/>
          <w:noProof/>
        </w:rPr>
        <w:t xml:space="preserve"> (EEES). Cela permettrait aux pays de la région de moderniser leurs systèmes d’enseignement supérieur et de les rendre compatibles entre eux, tout en renforçant leurs mécanismes d’assurance de la qualité et de reconnaissance mutuelle. </w:t>
      </w:r>
    </w:p>
    <w:p>
      <w:pPr>
        <w:jc w:val="both"/>
        <w:rPr>
          <w:rFonts w:ascii="Times New Roman" w:hAnsi="Times New Roman" w:cs="Times New Roman"/>
          <w:noProof/>
        </w:rPr>
      </w:pPr>
      <w:r>
        <w:rPr>
          <w:rFonts w:ascii="Times New Roman" w:hAnsi="Times New Roman"/>
          <w:noProof/>
        </w:rPr>
        <w:t>L’UE renforcera la coopération en matière d’</w:t>
      </w:r>
      <w:r>
        <w:rPr>
          <w:rFonts w:ascii="Times New Roman" w:hAnsi="Times New Roman"/>
          <w:b/>
          <w:noProof/>
        </w:rPr>
        <w:t>enseignement et de formation professionnels</w:t>
      </w:r>
      <w:r>
        <w:rPr>
          <w:rFonts w:ascii="Times New Roman" w:hAnsi="Times New Roman"/>
          <w:noProof/>
        </w:rPr>
        <w:t xml:space="preserve">, en collaboration avec la </w:t>
      </w:r>
      <w:r>
        <w:rPr>
          <w:rFonts w:ascii="Times New Roman" w:hAnsi="Times New Roman"/>
          <w:i/>
          <w:noProof/>
        </w:rPr>
        <w:t>Fondation européenne pour la formation</w:t>
      </w:r>
      <w:r>
        <w:rPr>
          <w:rFonts w:ascii="Times New Roman" w:hAnsi="Times New Roman"/>
          <w:noProof/>
        </w:rPr>
        <w:t xml:space="preserve">, afin de favoriser l’employabilité des jeunes et des adultes dans une perspective d’apprentissage tout au long de la vie, pour répondre aux besoins découlant de la transformation des économies de l’Asie centrale et à ceux des investisseurs européens dans la région. </w:t>
      </w:r>
    </w:p>
    <w:p>
      <w:pPr>
        <w:jc w:val="both"/>
        <w:rPr>
          <w:rFonts w:ascii="Times New Roman" w:hAnsi="Times New Roman" w:cs="Times New Roman"/>
          <w:noProof/>
        </w:rPr>
      </w:pPr>
      <w:r>
        <w:rPr>
          <w:rFonts w:ascii="Times New Roman" w:hAnsi="Times New Roman"/>
          <w:noProof/>
        </w:rPr>
        <w:t xml:space="preserve">La coopération de l’UE avec l’Asie centrale dans le domaine </w:t>
      </w:r>
      <w:r>
        <w:rPr>
          <w:rFonts w:ascii="Times New Roman" w:hAnsi="Times New Roman"/>
          <w:b/>
          <w:noProof/>
        </w:rPr>
        <w:t>de la recherche et de l’innovation</w:t>
      </w:r>
      <w:r>
        <w:rPr>
          <w:rFonts w:ascii="Times New Roman" w:hAnsi="Times New Roman"/>
          <w:noProof/>
        </w:rPr>
        <w:t xml:space="preserve"> peut contribuer à mieux surmonter les défis auxquels doit faire face la région tout en renforçant les contacts interpersonnels. L’échange de savoir</w:t>
      </w:r>
      <w:r>
        <w:rPr>
          <w:rFonts w:ascii="Times New Roman" w:hAnsi="Times New Roman"/>
          <w:noProof/>
        </w:rPr>
        <w:noBreakHyphen/>
        <w:t xml:space="preserve">faire et de technologies innovantes pour relever les défis liés au climat, à l’eau et à l’environnement, ainsi qu’à la sécurité alimentaire et aux énergies renouvelables et propres, contribuerait à faire progresser la coopération régionale en fondant les politiques à mener sur des données solides, fiables et accessibles. Le renforcement de la coopération en matière de recherche dans les domaines de l’agriculture, de la santé, du transport «vert» et du développement urbain durable serait également bénéfique aux deux parties. Les universités et les organismes de recherche de l’UE et de l’Asie centrale devraient encourager davantage la mobilité des chercheurs et les échanges de personnel, notamment dans le cadre des </w:t>
      </w:r>
      <w:r>
        <w:rPr>
          <w:rFonts w:ascii="Times New Roman" w:hAnsi="Times New Roman"/>
          <w:i/>
          <w:noProof/>
        </w:rPr>
        <w:t>actions Marie Skłodowska</w:t>
      </w:r>
      <w:r>
        <w:rPr>
          <w:rFonts w:ascii="Times New Roman" w:hAnsi="Times New Roman"/>
          <w:i/>
          <w:noProof/>
        </w:rPr>
        <w:noBreakHyphen/>
        <w:t>Curie</w:t>
      </w:r>
      <w:r>
        <w:rPr>
          <w:rFonts w:ascii="Times New Roman" w:hAnsi="Times New Roman"/>
          <w:noProof/>
        </w:rPr>
        <w:t xml:space="preserve">. </w:t>
      </w:r>
    </w:p>
    <w:p>
      <w:pPr>
        <w:jc w:val="both"/>
        <w:rPr>
          <w:rFonts w:ascii="Times New Roman" w:hAnsi="Times New Roman" w:cs="Times New Roman"/>
          <w:noProof/>
        </w:rPr>
      </w:pPr>
      <w:r>
        <w:rPr>
          <w:rFonts w:ascii="Times New Roman" w:hAnsi="Times New Roman"/>
          <w:noProof/>
        </w:rPr>
        <w:t>Conformément à la</w:t>
      </w:r>
      <w:r>
        <w:rPr>
          <w:rFonts w:ascii="Times New Roman" w:hAnsi="Times New Roman"/>
          <w:i/>
          <w:noProof/>
        </w:rPr>
        <w:t xml:space="preserve"> stratégie culturelle de l’UE dans le cadre de ses relations extérieures</w:t>
      </w:r>
      <w:r>
        <w:rPr>
          <w:rStyle w:val="FootnoteReference"/>
          <w:rFonts w:ascii="Times New Roman" w:hAnsi="Times New Roman" w:cs="Times New Roman"/>
          <w:i/>
          <w:noProof/>
        </w:rPr>
        <w:footnoteReference w:id="20"/>
      </w:r>
      <w:r>
        <w:rPr>
          <w:rFonts w:ascii="Times New Roman" w:hAnsi="Times New Roman"/>
          <w:noProof/>
        </w:rPr>
        <w:t xml:space="preserve">, et en s’appuyant sur le patrimoine culturel du corridor de la «route de la soie» de l’Asie centrale, l’UE mettra en place une </w:t>
      </w:r>
      <w:r>
        <w:rPr>
          <w:rFonts w:ascii="Times New Roman" w:hAnsi="Times New Roman"/>
          <w:b/>
          <w:noProof/>
        </w:rPr>
        <w:t>coopération culturelle</w:t>
      </w:r>
      <w:r>
        <w:rPr>
          <w:rFonts w:ascii="Times New Roman" w:hAnsi="Times New Roman"/>
          <w:noProof/>
        </w:rPr>
        <w:t xml:space="preserve"> avec la région afin de promouvoir des partenariats, des coproductions et des échanges dans les secteurs de la culture et de la création, d’encourager le dialogue interculturel et la préservation du patrimoine culturel. À cette fin, l’UE renforcera sa coopération avec l’</w:t>
      </w:r>
      <w:r>
        <w:rPr>
          <w:rFonts w:ascii="Times New Roman" w:hAnsi="Times New Roman"/>
          <w:i/>
          <w:noProof/>
        </w:rPr>
        <w:t>Organisation des Nations unies pour l’éducation, la science et la culture</w:t>
      </w:r>
      <w:r>
        <w:rPr>
          <w:rFonts w:ascii="Times New Roman" w:hAnsi="Times New Roman"/>
          <w:noProof/>
        </w:rPr>
        <w:t xml:space="preserve"> et les principales institutions culturelles européennes. Elle encouragera la mobilité des artistes et des professionnels du secteur culturel grâce à des échanges, des formations et des résidences d’artistes, et pourrait aussi envisager de favoriser la mobilité et les échanges dans le domaine sportif.  </w:t>
      </w:r>
    </w:p>
    <w:p>
      <w:pPr>
        <w:jc w:val="both"/>
        <w:rPr>
          <w:rFonts w:ascii="Times New Roman" w:hAnsi="Times New Roman" w:cs="Times New Roman"/>
          <w:noProof/>
        </w:rPr>
      </w:pPr>
      <w:r>
        <w:rPr>
          <w:rFonts w:ascii="Times New Roman" w:hAnsi="Times New Roman"/>
          <w:noProof/>
        </w:rPr>
        <w:t xml:space="preserve">L’UE soutiendra la recherche sur l’Asie centrale et sur les relations entre l’UE et l’Asie centrale et multipliera les occasions d’interactions entre </w:t>
      </w:r>
      <w:r>
        <w:rPr>
          <w:rFonts w:ascii="Times New Roman" w:hAnsi="Times New Roman"/>
          <w:b/>
          <w:noProof/>
        </w:rPr>
        <w:t>les chercheurs et les groupes de réflexion</w:t>
      </w:r>
      <w:r>
        <w:rPr>
          <w:rFonts w:ascii="Times New Roman" w:hAnsi="Times New Roman"/>
          <w:noProof/>
        </w:rPr>
        <w:t xml:space="preserve"> de l’UE et de l’Asie centrale. </w:t>
      </w:r>
    </w:p>
    <w:tbl>
      <w:tblPr>
        <w:tblStyle w:val="TableGrid"/>
        <w:tblW w:w="9072" w:type="dxa"/>
        <w:tblInd w:w="108" w:type="dxa"/>
        <w:tblLook w:val="04A0" w:firstRow="1" w:lastRow="0" w:firstColumn="1" w:lastColumn="0" w:noHBand="0" w:noVBand="1"/>
      </w:tblPr>
      <w:tblGrid>
        <w:gridCol w:w="9072"/>
      </w:tblGrid>
      <w:tr>
        <w:trPr>
          <w:trHeight w:val="2698"/>
        </w:trPr>
        <w:tc>
          <w:tcPr>
            <w:tcW w:w="9072"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cs="Times New Roman"/>
                <w:i/>
                <w:noProof/>
              </w:rPr>
            </w:pPr>
            <w:r>
              <w:rPr>
                <w:rFonts w:ascii="Times New Roman" w:hAnsi="Times New Roman"/>
                <w:i/>
                <w:noProof/>
              </w:rPr>
              <w:t xml:space="preserve">Les initiatives spécifiques dans ce domaine devraient viser, notamment:  </w:t>
            </w:r>
          </w:p>
          <w:p>
            <w:pPr>
              <w:pStyle w:val="ListParagraph"/>
              <w:numPr>
                <w:ilvl w:val="0"/>
                <w:numId w:val="21"/>
              </w:numPr>
              <w:spacing w:after="0" w:line="240" w:lineRule="auto"/>
              <w:jc w:val="both"/>
              <w:rPr>
                <w:rFonts w:ascii="Times New Roman" w:hAnsi="Times New Roman" w:cs="Times New Roman"/>
                <w:i/>
                <w:noProof/>
              </w:rPr>
            </w:pPr>
            <w:r>
              <w:rPr>
                <w:rFonts w:ascii="Times New Roman" w:hAnsi="Times New Roman"/>
                <w:i/>
                <w:noProof/>
              </w:rPr>
              <w:t>à augmenter le nombre de ressortissants d’Asie centrale bénéficiant des programmes Horizon, Erasmus+ et Marie Skłodowska</w:t>
            </w:r>
            <w:r>
              <w:rPr>
                <w:rFonts w:ascii="Times New Roman" w:hAnsi="Times New Roman"/>
                <w:i/>
                <w:noProof/>
              </w:rPr>
              <w:noBreakHyphen/>
              <w:t>Curie, et à diversifier leur profil;</w:t>
            </w:r>
          </w:p>
          <w:p>
            <w:pPr>
              <w:pStyle w:val="ListParagraph"/>
              <w:numPr>
                <w:ilvl w:val="0"/>
                <w:numId w:val="21"/>
              </w:numPr>
              <w:spacing w:after="0" w:line="240" w:lineRule="auto"/>
              <w:jc w:val="both"/>
              <w:rPr>
                <w:rFonts w:ascii="Times New Roman" w:hAnsi="Times New Roman" w:cs="Times New Roman"/>
                <w:i/>
                <w:noProof/>
              </w:rPr>
            </w:pPr>
            <w:r>
              <w:rPr>
                <w:rFonts w:ascii="Times New Roman" w:hAnsi="Times New Roman"/>
                <w:i/>
                <w:noProof/>
              </w:rPr>
              <w:t>à intensifier la coopération inter- et intrarégionale en matière de recherche et d’innovation dans les domaines de l’eau, de l’alimentation et de l’environnement;</w:t>
            </w:r>
          </w:p>
          <w:p>
            <w:pPr>
              <w:pStyle w:val="ListParagraph"/>
              <w:numPr>
                <w:ilvl w:val="0"/>
                <w:numId w:val="21"/>
              </w:numPr>
              <w:spacing w:after="0" w:line="240" w:lineRule="auto"/>
              <w:jc w:val="both"/>
              <w:rPr>
                <w:rFonts w:ascii="Times New Roman" w:hAnsi="Times New Roman" w:cs="Times New Roman"/>
                <w:i/>
                <w:noProof/>
              </w:rPr>
            </w:pPr>
            <w:r>
              <w:rPr>
                <w:rFonts w:ascii="Times New Roman" w:hAnsi="Times New Roman"/>
                <w:i/>
                <w:noProof/>
              </w:rPr>
              <w:t xml:space="preserve">à stimuler la mobilité intrarégionale et internationale des étudiants, du personnel et des chercheurs, ainsi que des apprenants et des formateurs dans l’enseignement et la formation professionnels; </w:t>
            </w:r>
          </w:p>
          <w:p>
            <w:pPr>
              <w:pStyle w:val="ListParagraph"/>
              <w:numPr>
                <w:ilvl w:val="0"/>
                <w:numId w:val="21"/>
              </w:numPr>
              <w:spacing w:after="0" w:line="240" w:lineRule="auto"/>
              <w:jc w:val="both"/>
              <w:rPr>
                <w:rFonts w:ascii="Times New Roman" w:hAnsi="Times New Roman" w:cs="Times New Roman"/>
                <w:i/>
                <w:noProof/>
              </w:rPr>
            </w:pPr>
            <w:r>
              <w:rPr>
                <w:rFonts w:ascii="Times New Roman" w:hAnsi="Times New Roman"/>
                <w:i/>
                <w:noProof/>
              </w:rPr>
              <w:t>à aider l’Asie centrale à mettre sur pied un programme de coopération régionale inspiré de l’EEES;</w:t>
            </w:r>
          </w:p>
          <w:p>
            <w:pPr>
              <w:pStyle w:val="ListParagraph"/>
              <w:numPr>
                <w:ilvl w:val="0"/>
                <w:numId w:val="21"/>
              </w:numPr>
              <w:spacing w:after="0" w:line="240" w:lineRule="auto"/>
              <w:jc w:val="both"/>
              <w:rPr>
                <w:rFonts w:ascii="Times New Roman" w:hAnsi="Times New Roman" w:cs="Times New Roman"/>
                <w:i/>
                <w:noProof/>
              </w:rPr>
            </w:pPr>
            <w:r>
              <w:rPr>
                <w:rFonts w:ascii="Times New Roman" w:hAnsi="Times New Roman"/>
                <w:i/>
                <w:noProof/>
              </w:rPr>
              <w:t>à instaurer un dialogue et à promouvoir l’échange de bonnes pratiques dans les domaines de l’employabilité des jeunes, du renforcement de l’autonomie des femmes et des politiques d’emploi;</w:t>
            </w:r>
          </w:p>
          <w:p>
            <w:pPr>
              <w:pStyle w:val="ListParagraph"/>
              <w:numPr>
                <w:ilvl w:val="0"/>
                <w:numId w:val="21"/>
              </w:numPr>
              <w:spacing w:after="0" w:line="240" w:lineRule="auto"/>
              <w:jc w:val="both"/>
              <w:rPr>
                <w:rFonts w:ascii="Times New Roman" w:hAnsi="Times New Roman" w:cs="Times New Roman"/>
                <w:noProof/>
                <w:lang w:eastAsia="en-US"/>
              </w:rPr>
            </w:pPr>
            <w:r>
              <w:rPr>
                <w:rFonts w:ascii="Times New Roman" w:hAnsi="Times New Roman"/>
                <w:i/>
                <w:noProof/>
              </w:rPr>
              <w:t>à encourager un dialogue renforcé entre l’UE, les autorités d’Asie centrale, les organisations professionnelles et les partenaires sociaux en ce qui concerne les déficits de compétences et la modernisation du marché du travail.</w:t>
            </w:r>
          </w:p>
        </w:tc>
      </w:tr>
    </w:tbl>
    <w:p>
      <w:pPr>
        <w:jc w:val="both"/>
        <w:rPr>
          <w:rFonts w:ascii="Times New Roman" w:hAnsi="Times New Roman" w:cs="Times New Roman"/>
          <w:b/>
          <w:noProof/>
          <w:sz w:val="16"/>
          <w:szCs w:val="16"/>
          <w:u w:val="single"/>
          <w:lang w:eastAsia="en-US"/>
        </w:rPr>
      </w:pPr>
    </w:p>
    <w:p>
      <w:pPr>
        <w:jc w:val="both"/>
        <w:rPr>
          <w:rFonts w:ascii="Times New Roman" w:hAnsi="Times New Roman" w:cs="Times New Roman"/>
          <w:b/>
          <w:noProof/>
          <w:u w:val="single"/>
        </w:rPr>
      </w:pPr>
      <w:r>
        <w:rPr>
          <w:rFonts w:ascii="Times New Roman" w:hAnsi="Times New Roman"/>
          <w:b/>
          <w:noProof/>
          <w:u w:val="single"/>
        </w:rPr>
        <w:t xml:space="preserve">3. </w:t>
      </w:r>
      <w:r>
        <w:rPr>
          <w:rFonts w:ascii="Times New Roman" w:hAnsi="Times New Roman"/>
          <w:b/>
          <w:noProof/>
          <w:u w:val="single"/>
        </w:rPr>
        <w:tab/>
        <w:t xml:space="preserve">MIEUX COLLABORER </w:t>
      </w:r>
    </w:p>
    <w:p>
      <w:pPr>
        <w:jc w:val="both"/>
        <w:rPr>
          <w:rFonts w:ascii="Times New Roman" w:hAnsi="Times New Roman" w:cs="Times New Roman"/>
          <w:noProof/>
        </w:rPr>
      </w:pPr>
      <w:r>
        <w:rPr>
          <w:rFonts w:ascii="Times New Roman" w:hAnsi="Times New Roman"/>
          <w:noProof/>
        </w:rPr>
        <w:t>L’UE s’efforcera de promouvoir une approche cohérente vis-à-vis de l’Asie centrale, en veillant à ce que les politiques sectorielles contribuent à relever des défis de plus en plus étroitement liés. La nouvelle stratégie de l’UE devrait être mise en œuvre de manière conjointe par les institutions et les États membres de l’UE, et davantage de synergies devraient être établies entre leurs points forts et leurs ressources respectives.</w:t>
      </w:r>
    </w:p>
    <w:p>
      <w:pPr>
        <w:jc w:val="both"/>
        <w:rPr>
          <w:rFonts w:ascii="Times New Roman" w:hAnsi="Times New Roman" w:cs="Times New Roman"/>
          <w:b/>
          <w:i/>
          <w:noProof/>
        </w:rPr>
      </w:pPr>
      <w:r>
        <w:rPr>
          <w:rFonts w:ascii="Times New Roman" w:hAnsi="Times New Roman"/>
          <w:b/>
          <w:i/>
          <w:noProof/>
        </w:rPr>
        <w:t xml:space="preserve">3.1. </w:t>
      </w:r>
      <w:r>
        <w:rPr>
          <w:rFonts w:ascii="Times New Roman" w:hAnsi="Times New Roman"/>
          <w:b/>
          <w:i/>
          <w:noProof/>
        </w:rPr>
        <w:tab/>
        <w:t xml:space="preserve">Renforcer l’architecture du partenariat et faire participer les sociétés civiles et les parlements </w:t>
      </w:r>
    </w:p>
    <w:p>
      <w:pPr>
        <w:jc w:val="both"/>
        <w:rPr>
          <w:rFonts w:ascii="Times New Roman" w:hAnsi="Times New Roman" w:cs="Times New Roman"/>
          <w:noProof/>
        </w:rPr>
      </w:pPr>
      <w:r>
        <w:rPr>
          <w:rFonts w:ascii="Times New Roman" w:hAnsi="Times New Roman"/>
          <w:noProof/>
        </w:rPr>
        <w:t xml:space="preserve">L’organisation institutionnelle actuelle du dialogue interrégional prend la forme d’une </w:t>
      </w:r>
      <w:r>
        <w:rPr>
          <w:rFonts w:ascii="Times New Roman" w:hAnsi="Times New Roman"/>
          <w:b/>
          <w:i/>
          <w:noProof/>
        </w:rPr>
        <w:t>réunion</w:t>
      </w:r>
      <w:r>
        <w:rPr>
          <w:rFonts w:ascii="Times New Roman" w:hAnsi="Times New Roman"/>
          <w:b/>
          <w:noProof/>
        </w:rPr>
        <w:t xml:space="preserve"> annuelle </w:t>
      </w:r>
      <w:r>
        <w:rPr>
          <w:rFonts w:ascii="Times New Roman" w:hAnsi="Times New Roman"/>
          <w:b/>
          <w:i/>
          <w:noProof/>
        </w:rPr>
        <w:t>des ministres des affaires étrangères de l’UE et de l’Asie centrale</w:t>
      </w:r>
      <w:r>
        <w:rPr>
          <w:rFonts w:ascii="Times New Roman" w:hAnsi="Times New Roman"/>
          <w:noProof/>
        </w:rPr>
        <w:t>, à laquelle participe la haute représentante de l’Union pour les affaires étrangères et la politique de sécurité et vice</w:t>
      </w:r>
      <w:r>
        <w:rPr>
          <w:rFonts w:ascii="Times New Roman" w:hAnsi="Times New Roman"/>
          <w:noProof/>
        </w:rPr>
        <w:noBreakHyphen/>
        <w:t xml:space="preserve">présidente de la Commission, qui représente l’UE, et d’un </w:t>
      </w:r>
      <w:r>
        <w:rPr>
          <w:rFonts w:ascii="Times New Roman" w:hAnsi="Times New Roman"/>
          <w:b/>
          <w:i/>
          <w:noProof/>
        </w:rPr>
        <w:t>dialogue de haut niveau en matière de politique et de sécurité entre l’UE et l’Asie centrale</w:t>
      </w:r>
      <w:r>
        <w:rPr>
          <w:rFonts w:ascii="Times New Roman" w:hAnsi="Times New Roman"/>
          <w:noProof/>
        </w:rPr>
        <w:t xml:space="preserve">, qui se tient au niveau des vice-ministres. </w:t>
      </w:r>
    </w:p>
    <w:p>
      <w:pPr>
        <w:jc w:val="both"/>
        <w:rPr>
          <w:rFonts w:ascii="Times New Roman" w:hAnsi="Times New Roman" w:cs="Times New Roman"/>
          <w:noProof/>
        </w:rPr>
      </w:pPr>
      <w:r>
        <w:rPr>
          <w:rFonts w:ascii="Times New Roman" w:hAnsi="Times New Roman"/>
          <w:noProof/>
        </w:rPr>
        <w:t>La haute représentante de l’Union pour les affaires étrangères et la politique de sécurité et vice</w:t>
      </w:r>
      <w:r>
        <w:rPr>
          <w:rFonts w:ascii="Times New Roman" w:hAnsi="Times New Roman"/>
          <w:noProof/>
        </w:rPr>
        <w:noBreakHyphen/>
        <w:t xml:space="preserve">présidente de la Commission et les ministres des affaires étrangères d’Asie centrale se réunissent également de manière informelle, chaque fois que c’est nécessaire, en marge des réunions annuelles de </w:t>
      </w:r>
      <w:r>
        <w:rPr>
          <w:rFonts w:ascii="Times New Roman" w:hAnsi="Times New Roman"/>
          <w:i/>
          <w:noProof/>
        </w:rPr>
        <w:t>l’Assemblée générale des Nations unies</w:t>
      </w:r>
      <w:r>
        <w:rPr>
          <w:rFonts w:ascii="Times New Roman" w:hAnsi="Times New Roman"/>
          <w:noProof/>
        </w:rPr>
        <w:t xml:space="preserve"> (AGNU), des réunions du Conseil ministériel de l’OSCE et d’autres réunions et conférences internationales.</w:t>
      </w:r>
    </w:p>
    <w:p>
      <w:pPr>
        <w:jc w:val="both"/>
        <w:rPr>
          <w:rFonts w:ascii="Times New Roman" w:hAnsi="Times New Roman" w:cs="Times New Roman"/>
          <w:noProof/>
        </w:rPr>
      </w:pPr>
      <w:r>
        <w:rPr>
          <w:rFonts w:ascii="Times New Roman" w:hAnsi="Times New Roman"/>
          <w:noProof/>
        </w:rPr>
        <w:t xml:space="preserve">Il pourrait être envisagé de compléter ces événements avec des </w:t>
      </w:r>
      <w:r>
        <w:rPr>
          <w:rFonts w:ascii="Times New Roman" w:hAnsi="Times New Roman"/>
          <w:b/>
          <w:i/>
          <w:noProof/>
        </w:rPr>
        <w:t>réunions</w:t>
      </w:r>
      <w:r>
        <w:rPr>
          <w:rFonts w:ascii="Times New Roman" w:hAnsi="Times New Roman"/>
          <w:noProof/>
        </w:rPr>
        <w:t xml:space="preserve"> ad hoc de </w:t>
      </w:r>
      <w:r>
        <w:rPr>
          <w:rFonts w:ascii="Times New Roman" w:hAnsi="Times New Roman"/>
          <w:b/>
          <w:i/>
          <w:noProof/>
        </w:rPr>
        <w:t>hauts fonctionnaires</w:t>
      </w:r>
      <w:r>
        <w:rPr>
          <w:rFonts w:ascii="Times New Roman" w:hAnsi="Times New Roman"/>
          <w:noProof/>
        </w:rPr>
        <w:t xml:space="preserve"> UE-Asie centrale. </w:t>
      </w:r>
    </w:p>
    <w:p>
      <w:pPr>
        <w:jc w:val="both"/>
        <w:rPr>
          <w:rFonts w:ascii="Times New Roman" w:hAnsi="Times New Roman" w:cs="Times New Roman"/>
          <w:noProof/>
        </w:rPr>
      </w:pPr>
      <w:r>
        <w:rPr>
          <w:rFonts w:ascii="Times New Roman" w:hAnsi="Times New Roman"/>
          <w:noProof/>
        </w:rPr>
        <w:t xml:space="preserve">Le </w:t>
      </w:r>
      <w:r>
        <w:rPr>
          <w:rFonts w:ascii="Times New Roman" w:hAnsi="Times New Roman"/>
          <w:b/>
          <w:noProof/>
        </w:rPr>
        <w:t>cadre institutionnel régissant les relations bilatérales</w:t>
      </w:r>
      <w:r>
        <w:rPr>
          <w:rFonts w:ascii="Times New Roman" w:hAnsi="Times New Roman"/>
          <w:noProof/>
        </w:rPr>
        <w:t xml:space="preserve"> avec les pays d’Asie centrale sera consolidé avec la conclusion et l’entrée en vigueur d’APC renforcés et la tenue de dialogues réguliers sur les droits de l’homme en complément des réunions régulières au niveau des ministres et des hauts fonctionnaires.</w:t>
      </w:r>
    </w:p>
    <w:p>
      <w:pPr>
        <w:autoSpaceDE w:val="0"/>
        <w:autoSpaceDN w:val="0"/>
        <w:adjustRightInd w:val="0"/>
        <w:jc w:val="both"/>
        <w:rPr>
          <w:rFonts w:ascii="Times New Roman" w:hAnsi="Times New Roman" w:cs="Times New Roman"/>
          <w:noProof/>
        </w:rPr>
      </w:pPr>
      <w:r>
        <w:rPr>
          <w:rFonts w:ascii="Times New Roman" w:hAnsi="Times New Roman"/>
          <w:noProof/>
        </w:rPr>
        <w:t xml:space="preserve">L’UE et l’Asie centrale partageant le même engagement envers le droit international et un ordre mondial fondé sur des règles articulé autour des Nations unies, l’UE </w:t>
      </w:r>
      <w:r>
        <w:rPr>
          <w:rFonts w:ascii="Times New Roman" w:hAnsi="Times New Roman"/>
          <w:b/>
          <w:noProof/>
        </w:rPr>
        <w:t>renforcera la coopération dans les enceintes multilatérales et régionales</w:t>
      </w:r>
      <w:r>
        <w:rPr>
          <w:rFonts w:ascii="Times New Roman" w:hAnsi="Times New Roman"/>
          <w:noProof/>
        </w:rPr>
        <w:t xml:space="preserve">. </w:t>
      </w:r>
    </w:p>
    <w:p>
      <w:pPr>
        <w:jc w:val="both"/>
        <w:rPr>
          <w:rFonts w:ascii="Times New Roman" w:hAnsi="Times New Roman" w:cs="Times New Roman"/>
          <w:noProof/>
        </w:rPr>
      </w:pPr>
      <w:r>
        <w:rPr>
          <w:rFonts w:ascii="Times New Roman" w:hAnsi="Times New Roman"/>
          <w:noProof/>
        </w:rPr>
        <w:t xml:space="preserve">Compte tenu du rôle constructif que le Parlement européen a joué dans l’enrichissement du programme commun de partenariat UE-Asie centrale, il convient d’encourager la poursuite du </w:t>
      </w:r>
      <w:r>
        <w:rPr>
          <w:rFonts w:ascii="Times New Roman" w:hAnsi="Times New Roman"/>
          <w:b/>
          <w:noProof/>
        </w:rPr>
        <w:t>dialogue interparlementaire</w:t>
      </w:r>
      <w:r>
        <w:rPr>
          <w:rFonts w:ascii="Times New Roman" w:hAnsi="Times New Roman"/>
          <w:noProof/>
        </w:rPr>
        <w:t xml:space="preserve">, notamment grâce à des visites régulières. L’UE s’efforcera d’organiser davantage de </w:t>
      </w:r>
      <w:r>
        <w:rPr>
          <w:rFonts w:ascii="Times New Roman" w:hAnsi="Times New Roman"/>
          <w:b/>
          <w:noProof/>
        </w:rPr>
        <w:t>visites à haut niveau dans la région</w:t>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L’UE intensifiera également ses efforts pour promouvoir un dialogue plus étroit avec </w:t>
      </w:r>
      <w:r>
        <w:rPr>
          <w:rFonts w:ascii="Times New Roman" w:hAnsi="Times New Roman"/>
          <w:b/>
          <w:noProof/>
        </w:rPr>
        <w:t>la société civile, les groupes de réflexion, les autorités locales, les milieux d’affaires, les partenaires sociaux, les organisations culturelles, les universitaires et la jeunesse</w:t>
      </w:r>
      <w:r>
        <w:rPr>
          <w:rFonts w:ascii="Times New Roman" w:hAnsi="Times New Roman"/>
          <w:noProof/>
        </w:rPr>
        <w:t xml:space="preserve">. La consultation de la société civile constituera un aspect important de la programmation de la coopération au développement de l’UE, qui visera à renforcer la capacité de la société civile à faire respecter l’obligation de rendre compte et la transparence du gouvernement. </w:t>
      </w:r>
    </w:p>
    <w:p>
      <w:pPr>
        <w:jc w:val="both"/>
        <w:rPr>
          <w:rFonts w:ascii="Times New Roman" w:hAnsi="Times New Roman" w:cs="Times New Roman"/>
          <w:noProof/>
        </w:rPr>
      </w:pPr>
      <w:r>
        <w:rPr>
          <w:rFonts w:ascii="Times New Roman" w:hAnsi="Times New Roman"/>
          <w:noProof/>
        </w:rPr>
        <w:t>La réunion ministérielle annuelle UE-Asie centrale pourrait être complétée par des réunions d’un «</w:t>
      </w:r>
      <w:r>
        <w:rPr>
          <w:rFonts w:ascii="Times New Roman" w:hAnsi="Times New Roman"/>
          <w:b/>
          <w:i/>
          <w:noProof/>
        </w:rPr>
        <w:t>forum UE-Asie centrale</w:t>
      </w:r>
      <w:r>
        <w:rPr>
          <w:rFonts w:ascii="Times New Roman" w:hAnsi="Times New Roman"/>
          <w:noProof/>
        </w:rPr>
        <w:t>» informel réunissant des représentants de la société civile, des universitaires et des groupes de réflexion, ainsi que des représentants de l’UE et de l’Asie centrale. Ces réunions permettraient aux sociétés civiles de contribuer au développement du partenariat UE</w:t>
      </w:r>
      <w:r>
        <w:rPr>
          <w:rFonts w:ascii="Times New Roman" w:hAnsi="Times New Roman"/>
          <w:noProof/>
        </w:rPr>
        <w:noBreakHyphen/>
        <w:t xml:space="preserve">Asie centrale et d’accroître sa visibilité. </w:t>
      </w:r>
    </w:p>
    <w:p>
      <w:pPr>
        <w:jc w:val="both"/>
        <w:rPr>
          <w:rFonts w:ascii="Times New Roman" w:hAnsi="Times New Roman" w:cs="Times New Roman"/>
          <w:noProof/>
        </w:rPr>
      </w:pPr>
      <w:r>
        <w:rPr>
          <w:rFonts w:ascii="Times New Roman" w:hAnsi="Times New Roman"/>
          <w:noProof/>
        </w:rPr>
        <w:t xml:space="preserve">L’UE multipliera les consultations sur les questions relatives à l’Asie centrale avec </w:t>
      </w:r>
      <w:r>
        <w:rPr>
          <w:rFonts w:ascii="Times New Roman" w:hAnsi="Times New Roman"/>
          <w:b/>
          <w:noProof/>
        </w:rPr>
        <w:t>des partenaires partageant les mêmes valeurs et d’autres acteurs du secteur</w:t>
      </w:r>
      <w:r>
        <w:rPr>
          <w:rFonts w:ascii="Times New Roman" w:hAnsi="Times New Roman"/>
          <w:noProof/>
        </w:rPr>
        <w:t xml:space="preserve"> afin de parvenir à une compréhension mutuelle et de coopérer dans les domaines où ils ont des intérêts convergents. </w:t>
      </w:r>
    </w:p>
    <w:tbl>
      <w:tblPr>
        <w:tblStyle w:val="TableGrid"/>
        <w:tblW w:w="9072" w:type="dxa"/>
        <w:tblInd w:w="108" w:type="dxa"/>
        <w:tblLook w:val="04A0" w:firstRow="1" w:lastRow="0" w:firstColumn="1" w:lastColumn="0" w:noHBand="0" w:noVBand="1"/>
      </w:tblPr>
      <w:tblGrid>
        <w:gridCol w:w="9072"/>
      </w:tblGrid>
      <w:tr>
        <w:tc>
          <w:tcPr>
            <w:tcW w:w="9072"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cs="Times New Roman"/>
                <w:i/>
                <w:noProof/>
              </w:rPr>
            </w:pPr>
            <w:r>
              <w:rPr>
                <w:rFonts w:ascii="Times New Roman" w:hAnsi="Times New Roman"/>
                <w:i/>
                <w:noProof/>
              </w:rPr>
              <w:t xml:space="preserve">Les initiatives spécifiques dans ce domaine devraient viser, notamment:  </w:t>
            </w:r>
          </w:p>
          <w:p>
            <w:pPr>
              <w:pStyle w:val="ListParagraph"/>
              <w:numPr>
                <w:ilvl w:val="0"/>
                <w:numId w:val="21"/>
              </w:numPr>
              <w:spacing w:after="0" w:line="240" w:lineRule="auto"/>
              <w:jc w:val="both"/>
              <w:rPr>
                <w:rFonts w:ascii="Times New Roman" w:hAnsi="Times New Roman" w:cs="Times New Roman"/>
                <w:i/>
                <w:noProof/>
              </w:rPr>
            </w:pPr>
            <w:r>
              <w:rPr>
                <w:rFonts w:ascii="Times New Roman" w:hAnsi="Times New Roman"/>
                <w:i/>
                <w:noProof/>
              </w:rPr>
              <w:t>à tenir des réunions ad hoc de hauts fonctionnaires entre les réunions ordinaires du dialogue de haut niveau en matière de politique et de sécurité entre l’UE et l’Asie centrale et des réunions ministérielles;</w:t>
            </w:r>
          </w:p>
          <w:p>
            <w:pPr>
              <w:pStyle w:val="ListParagraph"/>
              <w:numPr>
                <w:ilvl w:val="0"/>
                <w:numId w:val="21"/>
              </w:numPr>
              <w:spacing w:after="0" w:line="240" w:lineRule="auto"/>
              <w:jc w:val="both"/>
              <w:rPr>
                <w:rFonts w:ascii="Times New Roman" w:hAnsi="Times New Roman" w:cs="Times New Roman"/>
                <w:i/>
                <w:noProof/>
              </w:rPr>
            </w:pPr>
            <w:r>
              <w:rPr>
                <w:rFonts w:ascii="Times New Roman" w:hAnsi="Times New Roman"/>
                <w:i/>
                <w:noProof/>
              </w:rPr>
              <w:t>à organiser des consultations ministérielles informelles en marge de l’AGNU et à parvenir à une compréhension commune et à une convergence de positions au sein des Nations unies et dans d’autres enceintes multilatérales;</w:t>
            </w:r>
          </w:p>
          <w:p>
            <w:pPr>
              <w:pStyle w:val="ListParagraph"/>
              <w:numPr>
                <w:ilvl w:val="0"/>
                <w:numId w:val="21"/>
              </w:numPr>
              <w:spacing w:after="120" w:line="240" w:lineRule="auto"/>
              <w:ind w:left="714" w:hanging="357"/>
              <w:jc w:val="both"/>
              <w:rPr>
                <w:rFonts w:ascii="Times New Roman" w:hAnsi="Times New Roman" w:cs="Times New Roman"/>
                <w:noProof/>
              </w:rPr>
            </w:pPr>
            <w:r>
              <w:rPr>
                <w:rFonts w:ascii="Times New Roman" w:hAnsi="Times New Roman"/>
                <w:i/>
                <w:noProof/>
              </w:rPr>
              <w:t>à multiplier les consultations sur les questions relatives à l’Asie centrale avec des partenaires tiers, le cas échéant;</w:t>
            </w:r>
          </w:p>
          <w:p>
            <w:pPr>
              <w:pStyle w:val="ListParagraph"/>
              <w:numPr>
                <w:ilvl w:val="0"/>
                <w:numId w:val="21"/>
              </w:numPr>
              <w:spacing w:after="120" w:line="240" w:lineRule="auto"/>
              <w:ind w:left="714" w:hanging="357"/>
              <w:jc w:val="both"/>
              <w:rPr>
                <w:rFonts w:ascii="Times New Roman" w:hAnsi="Times New Roman" w:cs="Times New Roman"/>
                <w:noProof/>
              </w:rPr>
            </w:pPr>
            <w:r>
              <w:rPr>
                <w:rFonts w:ascii="Times New Roman" w:hAnsi="Times New Roman"/>
                <w:i/>
                <w:noProof/>
              </w:rPr>
              <w:t>à associer davantage la société civile au développement du partenariat UE-Asie centrale, notamment par la mise en place d’un «forum UE-Asie centrale» informel;</w:t>
            </w:r>
          </w:p>
          <w:p>
            <w:pPr>
              <w:pStyle w:val="ListParagraph"/>
              <w:numPr>
                <w:ilvl w:val="0"/>
                <w:numId w:val="21"/>
              </w:numPr>
              <w:spacing w:after="120" w:line="240" w:lineRule="auto"/>
              <w:ind w:left="714" w:hanging="357"/>
              <w:jc w:val="both"/>
              <w:rPr>
                <w:rFonts w:ascii="Times New Roman" w:hAnsi="Times New Roman" w:cs="Times New Roman"/>
                <w:noProof/>
                <w:lang w:eastAsia="en-US"/>
              </w:rPr>
            </w:pPr>
            <w:r>
              <w:rPr>
                <w:rFonts w:ascii="Times New Roman" w:hAnsi="Times New Roman"/>
                <w:i/>
                <w:noProof/>
              </w:rPr>
              <w:t xml:space="preserve">à encourager la multiplication des contacts et des visites interparlementaires. </w:t>
            </w:r>
          </w:p>
        </w:tc>
      </w:tr>
    </w:tbl>
    <w:p>
      <w:pPr>
        <w:jc w:val="both"/>
        <w:rPr>
          <w:rFonts w:ascii="Times New Roman" w:hAnsi="Times New Roman" w:cs="Times New Roman"/>
          <w:b/>
          <w:i/>
          <w:noProof/>
          <w:sz w:val="16"/>
          <w:szCs w:val="16"/>
          <w:lang w:eastAsia="en-US"/>
        </w:rPr>
      </w:pPr>
    </w:p>
    <w:p>
      <w:pPr>
        <w:jc w:val="both"/>
        <w:rPr>
          <w:rFonts w:ascii="Times New Roman" w:hAnsi="Times New Roman" w:cs="Times New Roman"/>
          <w:b/>
          <w:i/>
          <w:noProof/>
        </w:rPr>
      </w:pPr>
      <w:r>
        <w:rPr>
          <w:rFonts w:ascii="Times New Roman" w:hAnsi="Times New Roman"/>
          <w:b/>
          <w:i/>
          <w:noProof/>
        </w:rPr>
        <w:t xml:space="preserve">3.2. </w:t>
      </w:r>
      <w:r>
        <w:rPr>
          <w:rFonts w:ascii="Times New Roman" w:hAnsi="Times New Roman"/>
          <w:b/>
          <w:i/>
          <w:noProof/>
        </w:rPr>
        <w:tab/>
        <w:t>Coopération à fortes répercussions</w:t>
      </w:r>
    </w:p>
    <w:p>
      <w:pPr>
        <w:jc w:val="both"/>
        <w:rPr>
          <w:rFonts w:ascii="Times New Roman" w:hAnsi="Times New Roman" w:cs="Times New Roman"/>
          <w:i/>
          <w:noProof/>
        </w:rPr>
      </w:pPr>
      <w:r>
        <w:rPr>
          <w:rFonts w:ascii="Times New Roman" w:hAnsi="Times New Roman"/>
          <w:noProof/>
        </w:rPr>
        <w:t>Ensemble, l’UE et ses États membres ont été l’un des principaux partenaires de l’Asie centrale en matière de coopération au développement au cours des dix dernières années</w:t>
      </w:r>
      <w:r>
        <w:rPr>
          <w:rStyle w:val="FootnoteReference"/>
          <w:rFonts w:ascii="Times New Roman" w:hAnsi="Times New Roman" w:cs="Times New Roman"/>
          <w:noProof/>
        </w:rPr>
        <w:footnoteReference w:id="21"/>
      </w:r>
      <w:r>
        <w:rPr>
          <w:rFonts w:ascii="Times New Roman" w:hAnsi="Times New Roman"/>
          <w:noProof/>
        </w:rPr>
        <w:t xml:space="preserve">. L’UE continuera à utiliser les instruments financiers disponibles pour soutenir la région et contribuer à relever les défis et à tirer le meilleur parti des possibilités offertes par le partenariat UE-Asie centrale. La </w:t>
      </w:r>
      <w:r>
        <w:rPr>
          <w:rFonts w:ascii="Times New Roman" w:hAnsi="Times New Roman"/>
          <w:b/>
          <w:noProof/>
        </w:rPr>
        <w:t>nouvelle stratégie de l’UE pour l’Asie centrale</w:t>
      </w:r>
      <w:r>
        <w:rPr>
          <w:rFonts w:ascii="Times New Roman" w:hAnsi="Times New Roman"/>
          <w:noProof/>
        </w:rPr>
        <w:t xml:space="preserve"> orientera la coopération de l’UE avec la région dans les années à venir. Le respect des engagements pris dans le cadre du </w:t>
      </w:r>
      <w:r>
        <w:rPr>
          <w:rFonts w:ascii="Times New Roman" w:hAnsi="Times New Roman"/>
          <w:b/>
          <w:i/>
          <w:noProof/>
        </w:rPr>
        <w:t>programme de développement durable</w:t>
      </w:r>
      <w:r>
        <w:rPr>
          <w:rFonts w:ascii="Times New Roman" w:hAnsi="Times New Roman"/>
          <w:noProof/>
        </w:rPr>
        <w:t xml:space="preserve"> </w:t>
      </w:r>
      <w:r>
        <w:rPr>
          <w:rFonts w:ascii="Times New Roman" w:hAnsi="Times New Roman"/>
          <w:i/>
          <w:noProof/>
        </w:rPr>
        <w:t>des Nations unies</w:t>
      </w:r>
      <w:r>
        <w:rPr>
          <w:rFonts w:ascii="Times New Roman" w:hAnsi="Times New Roman"/>
          <w:noProof/>
        </w:rPr>
        <w:t xml:space="preserve"> </w:t>
      </w:r>
      <w:r>
        <w:rPr>
          <w:rFonts w:ascii="Times New Roman" w:hAnsi="Times New Roman"/>
          <w:b/>
          <w:i/>
          <w:noProof/>
        </w:rPr>
        <w:t>à l’horizon 2030</w:t>
      </w:r>
      <w:r>
        <w:rPr>
          <w:rFonts w:ascii="Times New Roman" w:hAnsi="Times New Roman"/>
          <w:noProof/>
        </w:rPr>
        <w:t xml:space="preserve"> constituera un élément clé de l’engagement de l’UE. Le </w:t>
      </w:r>
      <w:r>
        <w:rPr>
          <w:rFonts w:ascii="Times New Roman" w:hAnsi="Times New Roman"/>
          <w:b/>
          <w:noProof/>
        </w:rPr>
        <w:t>dialogue avec la société civile et les autorités locales</w:t>
      </w:r>
      <w:r>
        <w:rPr>
          <w:rFonts w:ascii="Times New Roman" w:hAnsi="Times New Roman"/>
          <w:noProof/>
        </w:rPr>
        <w:t xml:space="preserve"> contribuera également à la fixation des priorités de l’UE pour l’Asie centrale. </w:t>
      </w:r>
      <w:r>
        <w:rPr>
          <w:rFonts w:ascii="Times New Roman" w:hAnsi="Times New Roman"/>
          <w:b/>
          <w:noProof/>
        </w:rPr>
        <w:t>Une plus grande synergie avec les politiques des États membres à l’égard de la région, notamment la coopération au développement,</w:t>
      </w:r>
      <w:r>
        <w:rPr>
          <w:rFonts w:ascii="Times New Roman" w:hAnsi="Times New Roman"/>
          <w:noProof/>
        </w:rPr>
        <w:t xml:space="preserve"> sera nécessaire.  </w:t>
      </w:r>
    </w:p>
    <w:p>
      <w:pPr>
        <w:jc w:val="both"/>
        <w:rPr>
          <w:rFonts w:ascii="Times New Roman" w:hAnsi="Times New Roman" w:cs="Times New Roman"/>
          <w:noProof/>
        </w:rPr>
      </w:pPr>
      <w:r>
        <w:rPr>
          <w:rFonts w:ascii="Times New Roman" w:hAnsi="Times New Roman"/>
          <w:noProof/>
        </w:rPr>
        <w:t xml:space="preserve">À elle seule, la coopération au développement ne permettra pas d’atteindre les ODD, et elle devra être utilisée comme un </w:t>
      </w:r>
      <w:r>
        <w:rPr>
          <w:rFonts w:ascii="Times New Roman" w:hAnsi="Times New Roman"/>
          <w:b/>
          <w:noProof/>
        </w:rPr>
        <w:t>catalyseur pour attirer les capitaux privés à des fins de croissance</w:t>
      </w:r>
      <w:r>
        <w:rPr>
          <w:rFonts w:ascii="Times New Roman" w:hAnsi="Times New Roman"/>
          <w:noProof/>
        </w:rPr>
        <w:t xml:space="preserve">. Il convient que l’UE utilise au mieux son arsenal d’outils d’aide au développement dans la région, et recoure notamment à des </w:t>
      </w:r>
      <w:r>
        <w:rPr>
          <w:rFonts w:ascii="Times New Roman" w:hAnsi="Times New Roman"/>
          <w:b/>
          <w:noProof/>
        </w:rPr>
        <w:t>modalités de coopération innovantes</w:t>
      </w:r>
      <w:r>
        <w:rPr>
          <w:rFonts w:ascii="Times New Roman" w:hAnsi="Times New Roman"/>
          <w:noProof/>
        </w:rPr>
        <w:t xml:space="preserve">, comme le jumelage, tout en accordant une attention accrue à l’investissement. Les </w:t>
      </w:r>
      <w:r>
        <w:rPr>
          <w:rFonts w:ascii="Times New Roman" w:hAnsi="Times New Roman"/>
          <w:b/>
          <w:noProof/>
        </w:rPr>
        <w:t>APC renforcés</w:t>
      </w:r>
      <w:r>
        <w:rPr>
          <w:rFonts w:ascii="Times New Roman" w:hAnsi="Times New Roman"/>
          <w:noProof/>
        </w:rPr>
        <w:t xml:space="preserve"> permettront une intensification du dialogue politique avec les pays d’Asie centrale dans un large éventail de secteurs qui contribueront à la réalisation des ODD.</w:t>
      </w:r>
    </w:p>
    <w:p>
      <w:pPr>
        <w:jc w:val="both"/>
        <w:rPr>
          <w:rFonts w:ascii="Times New Roman" w:hAnsi="Times New Roman" w:cs="Times New Roman"/>
          <w:noProof/>
        </w:rPr>
      </w:pPr>
      <w:r>
        <w:rPr>
          <w:rFonts w:ascii="Times New Roman" w:hAnsi="Times New Roman"/>
          <w:noProof/>
        </w:rPr>
        <w:t xml:space="preserve">La coopération avec les </w:t>
      </w:r>
      <w:r>
        <w:rPr>
          <w:rFonts w:ascii="Times New Roman" w:hAnsi="Times New Roman"/>
          <w:b/>
          <w:noProof/>
        </w:rPr>
        <w:t>institutions financières internationales</w:t>
      </w:r>
      <w:r>
        <w:rPr>
          <w:rFonts w:ascii="Times New Roman" w:hAnsi="Times New Roman"/>
          <w:noProof/>
        </w:rPr>
        <w:t xml:space="preserve"> continuera à jouer un rôle de premier plan dans la mobilisation des financements publics et privés en faveur du développement durable en Asie centrale. </w:t>
      </w:r>
    </w:p>
    <w:tbl>
      <w:tblPr>
        <w:tblStyle w:val="TableGrid"/>
        <w:tblW w:w="9072" w:type="dxa"/>
        <w:tblInd w:w="108" w:type="dxa"/>
        <w:tblLook w:val="04A0" w:firstRow="1" w:lastRow="0" w:firstColumn="1" w:lastColumn="0" w:noHBand="0" w:noVBand="1"/>
      </w:tblPr>
      <w:tblGrid>
        <w:gridCol w:w="9072"/>
      </w:tblGrid>
      <w:tr>
        <w:trPr>
          <w:trHeight w:val="1264"/>
        </w:trPr>
        <w:tc>
          <w:tcPr>
            <w:tcW w:w="9072"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cs="Times New Roman"/>
                <w:i/>
                <w:noProof/>
              </w:rPr>
            </w:pPr>
            <w:r>
              <w:rPr>
                <w:rFonts w:ascii="Times New Roman" w:hAnsi="Times New Roman"/>
                <w:i/>
                <w:noProof/>
              </w:rPr>
              <w:t xml:space="preserve">Les initiatives spécifiques dans ce domaine devraient viser, notamment:  </w:t>
            </w:r>
          </w:p>
          <w:p>
            <w:pPr>
              <w:pStyle w:val="ListParagraph"/>
              <w:numPr>
                <w:ilvl w:val="0"/>
                <w:numId w:val="21"/>
              </w:numPr>
              <w:spacing w:after="0" w:line="240" w:lineRule="auto"/>
              <w:jc w:val="both"/>
              <w:rPr>
                <w:rFonts w:ascii="Times New Roman" w:hAnsi="Times New Roman" w:cs="Times New Roman"/>
                <w:i/>
                <w:noProof/>
              </w:rPr>
            </w:pPr>
            <w:r>
              <w:rPr>
                <w:rFonts w:ascii="Times New Roman" w:hAnsi="Times New Roman"/>
                <w:i/>
                <w:noProof/>
              </w:rPr>
              <w:t>à organiser des dialogues politiques UE-Asie centrale dans des secteurs spécifiques et à soutenir ces dialogues avec des opérations de jumelage;</w:t>
            </w:r>
          </w:p>
          <w:p>
            <w:pPr>
              <w:pStyle w:val="ListParagraph"/>
              <w:numPr>
                <w:ilvl w:val="0"/>
                <w:numId w:val="21"/>
              </w:numPr>
              <w:spacing w:after="120" w:line="240" w:lineRule="auto"/>
              <w:jc w:val="both"/>
              <w:rPr>
                <w:rFonts w:ascii="Times New Roman" w:hAnsi="Times New Roman" w:cs="Times New Roman"/>
                <w:noProof/>
                <w:lang w:eastAsia="en-US"/>
              </w:rPr>
            </w:pPr>
            <w:r>
              <w:rPr>
                <w:rFonts w:ascii="Times New Roman" w:hAnsi="Times New Roman"/>
                <w:i/>
                <w:noProof/>
              </w:rPr>
              <w:t>à intensifier la coopération avec les institutions financières internationales, le cas échéant.</w:t>
            </w:r>
          </w:p>
        </w:tc>
      </w:tr>
    </w:tbl>
    <w:p>
      <w:pPr>
        <w:jc w:val="both"/>
        <w:rPr>
          <w:rFonts w:ascii="Times New Roman" w:hAnsi="Times New Roman" w:cs="Times New Roman"/>
          <w:b/>
          <w:noProof/>
          <w:sz w:val="16"/>
          <w:szCs w:val="16"/>
          <w:u w:val="single"/>
          <w:lang w:eastAsia="en-US"/>
        </w:rPr>
      </w:pPr>
    </w:p>
    <w:p>
      <w:pPr>
        <w:jc w:val="both"/>
        <w:rPr>
          <w:rFonts w:ascii="Times New Roman" w:hAnsi="Times New Roman" w:cs="Times New Roman"/>
          <w:b/>
          <w:i/>
          <w:noProof/>
        </w:rPr>
      </w:pPr>
      <w:r>
        <w:rPr>
          <w:rFonts w:ascii="Times New Roman" w:hAnsi="Times New Roman"/>
          <w:b/>
          <w:i/>
          <w:noProof/>
        </w:rPr>
        <w:t xml:space="preserve">3.3. </w:t>
      </w:r>
      <w:r>
        <w:rPr>
          <w:rFonts w:ascii="Times New Roman" w:hAnsi="Times New Roman"/>
          <w:b/>
          <w:i/>
          <w:noProof/>
        </w:rPr>
        <w:tab/>
        <w:t>Accroissement de la visibilité du partenariat</w:t>
      </w:r>
    </w:p>
    <w:p>
      <w:pPr>
        <w:jc w:val="both"/>
        <w:rPr>
          <w:rFonts w:ascii="Times New Roman" w:hAnsi="Times New Roman" w:cs="Times New Roman"/>
          <w:noProof/>
        </w:rPr>
      </w:pPr>
      <w:r>
        <w:rPr>
          <w:rFonts w:ascii="Times New Roman" w:hAnsi="Times New Roman"/>
          <w:noProof/>
        </w:rPr>
        <w:t>Afin d’accroître la visibilité de l’UE en Asie centrale, l’UE et ses États membres doivent élaborer une stratégie de communication plus dynamique et mieux ciblée, en exposant les raisons de leur engagement et en soulignant ce que le partenariat entre l’UE et l’Asie centrale peut apporter à la région et à ses citoyens. À cette fin il faudra notamment élaborer des messages communs et définir des canaux de communication, comme les médias sociaux et d’autres nouvelles technologies de communication, pour s’adresser aux jeunes de la région, aux faiseurs d’opinion, aux influenceurs des médias sociaux, à la société civile, aux universitaires et aux médias au sens large.</w:t>
      </w:r>
    </w:p>
    <w:tbl>
      <w:tblPr>
        <w:tblStyle w:val="TableGrid"/>
        <w:tblW w:w="9072" w:type="dxa"/>
        <w:tblInd w:w="108" w:type="dxa"/>
        <w:tblLook w:val="04A0" w:firstRow="1" w:lastRow="0" w:firstColumn="1" w:lastColumn="0" w:noHBand="0" w:noVBand="1"/>
      </w:tblPr>
      <w:tblGrid>
        <w:gridCol w:w="9072"/>
      </w:tblGrid>
      <w:tr>
        <w:tc>
          <w:tcPr>
            <w:tcW w:w="9072" w:type="dxa"/>
            <w:tcBorders>
              <w:top w:val="single" w:sz="4" w:space="0" w:color="auto"/>
              <w:left w:val="single" w:sz="4" w:space="0" w:color="auto"/>
              <w:bottom w:val="single" w:sz="4" w:space="0" w:color="auto"/>
              <w:right w:val="single" w:sz="4" w:space="0" w:color="auto"/>
            </w:tcBorders>
            <w:hideMark/>
          </w:tcPr>
          <w:p>
            <w:pPr>
              <w:jc w:val="both"/>
              <w:rPr>
                <w:rFonts w:ascii="Times New Roman" w:hAnsi="Times New Roman" w:cs="Times New Roman"/>
                <w:i/>
                <w:noProof/>
              </w:rPr>
            </w:pPr>
            <w:r>
              <w:rPr>
                <w:rFonts w:ascii="Times New Roman" w:hAnsi="Times New Roman"/>
                <w:i/>
                <w:noProof/>
              </w:rPr>
              <w:t>Les initiatives spécifiques dans ce domaine devraient viser, notamment:</w:t>
            </w:r>
          </w:p>
          <w:p>
            <w:pPr>
              <w:pStyle w:val="ListParagraph"/>
              <w:numPr>
                <w:ilvl w:val="0"/>
                <w:numId w:val="21"/>
              </w:numPr>
              <w:spacing w:after="120" w:line="240" w:lineRule="auto"/>
              <w:ind w:left="714" w:hanging="357"/>
              <w:jc w:val="both"/>
              <w:rPr>
                <w:rFonts w:ascii="Times New Roman" w:hAnsi="Times New Roman" w:cs="Times New Roman"/>
                <w:i/>
                <w:noProof/>
                <w:lang w:eastAsia="en-US"/>
              </w:rPr>
            </w:pPr>
            <w:r>
              <w:rPr>
                <w:rFonts w:ascii="Times New Roman" w:hAnsi="Times New Roman"/>
                <w:i/>
                <w:noProof/>
              </w:rPr>
              <w:t xml:space="preserve">à rédiger des messages communs de manière plus systématique et à renforcer l’utilisation des portails web et des médias sociaux pour mettre en évidence les avantages concrets de l’engagement de l’UE dans la région. </w:t>
            </w:r>
          </w:p>
        </w:tc>
      </w:tr>
    </w:tbl>
    <w:p>
      <w:pPr>
        <w:jc w:val="center"/>
        <w:rPr>
          <w:rFonts w:ascii="Times New Roman" w:hAnsi="Times New Roman" w:cs="Times New Roman"/>
          <w:i/>
          <w:noProof/>
          <w:lang w:eastAsia="en-US"/>
        </w:rPr>
      </w:pPr>
      <w:r>
        <w:rPr>
          <w:rFonts w:ascii="Times New Roman" w:hAnsi="Times New Roman"/>
          <w:noProof/>
        </w:rPr>
        <w:br/>
        <w:t>***</w:t>
      </w:r>
    </w:p>
    <w:p>
      <w:pPr>
        <w:jc w:val="both"/>
        <w:rPr>
          <w:rFonts w:ascii="Times New Roman" w:hAnsi="Times New Roman" w:cs="Times New Roman"/>
          <w:noProof/>
        </w:rPr>
      </w:pPr>
      <w:r>
        <w:rPr>
          <w:rFonts w:ascii="Times New Roman" w:hAnsi="Times New Roman"/>
          <w:noProof/>
        </w:rPr>
        <w:t xml:space="preserve">Le Conseil et le Parlement européen sont invités à souscrire à l’approche et aux actions exposées dans la présente communication conjointe. </w:t>
      </w:r>
    </w:p>
    <w:p>
      <w:pPr>
        <w:jc w:val="both"/>
        <w:rPr>
          <w:rFonts w:ascii="Times New Roman" w:hAnsi="Times New Roman" w:cs="Times New Roman"/>
          <w:strike/>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8" w:bottom="1417"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074969"/>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tabs>
          <w:tab w:val="left" w:pos="284"/>
        </w:tabs>
        <w:spacing w:after="0"/>
        <w:ind w:left="284" w:hanging="284"/>
        <w:jc w:val="both"/>
        <w:rPr>
          <w:rFonts w:ascii="Arial" w:eastAsia="Times New Roman" w:hAnsi="Arial" w:cs="Arial"/>
          <w:color w:val="222222"/>
          <w:sz w:val="27"/>
          <w:szCs w:val="27"/>
          <w:lang w:eastAsia="en-GB"/>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L'UE et l'Asie centrale: stratégie pour un nouveau partenariat, 10113/07 du 31 mai 2007.</w:t>
      </w:r>
    </w:p>
  </w:footnote>
  <w:footnote w:id="2">
    <w:p>
      <w:pPr>
        <w:pStyle w:val="FootnoteText"/>
        <w:tabs>
          <w:tab w:val="left" w:pos="284"/>
        </w:tabs>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rPr>
        <w:t>Vision partagée, action commune: une Europe plus forte. Une stratégie globale pour la politique étrangère et de sécurité de l'Union européenne, juin 2016.</w:t>
      </w:r>
    </w:p>
  </w:footnote>
  <w:footnote w:id="3">
    <w:p>
      <w:pPr>
        <w:pStyle w:val="FootnoteText"/>
        <w:tabs>
          <w:tab w:val="left" w:pos="284"/>
        </w:tabs>
        <w:ind w:left="284" w:hanging="284"/>
        <w:jc w:val="both"/>
      </w:pPr>
      <w:r>
        <w:rPr>
          <w:rStyle w:val="FootnoteReference"/>
        </w:rPr>
        <w:footnoteRef/>
      </w:r>
      <w:r>
        <w:t xml:space="preserve"> </w:t>
      </w:r>
      <w:r>
        <w:tab/>
      </w:r>
      <w:r>
        <w:rPr>
          <w:rFonts w:ascii="Times New Roman" w:hAnsi="Times New Roman"/>
        </w:rPr>
        <w:t>Nouveau consensus européen pour le développement «Notre monde, notre dignité, notre avenir», JO C 210 du 30 juin 2017, p. 1.</w:t>
      </w:r>
    </w:p>
  </w:footnote>
  <w:footnote w:id="4">
    <w:p>
      <w:pPr>
        <w:pStyle w:val="FootnoteText"/>
        <w:tabs>
          <w:tab w:val="left" w:pos="284"/>
        </w:tabs>
        <w:ind w:left="284" w:hanging="284"/>
        <w:jc w:val="both"/>
      </w:pPr>
      <w:r>
        <w:rPr>
          <w:rStyle w:val="FootnoteReference"/>
        </w:rPr>
        <w:footnoteRef/>
      </w:r>
      <w:r>
        <w:t xml:space="preserve"> </w:t>
      </w:r>
      <w:r>
        <w:tab/>
      </w:r>
      <w:r>
        <w:rPr>
          <w:rFonts w:ascii="Times New Roman" w:hAnsi="Times New Roman"/>
        </w:rPr>
        <w:t>Relier l’Europe à l’Asie – Éléments fondamentaux d’une stratégie de l’UE – Conclusions du Conseil, 13097/18 du 15 octobre 2018.</w:t>
      </w:r>
    </w:p>
  </w:footnote>
  <w:footnote w:id="5">
    <w:p>
      <w:pPr>
        <w:pStyle w:val="FootnoteText"/>
        <w:tabs>
          <w:tab w:val="left" w:pos="284"/>
        </w:tabs>
        <w:ind w:left="284" w:hanging="284"/>
        <w:jc w:val="both"/>
      </w:pPr>
      <w:r>
        <w:rPr>
          <w:rStyle w:val="FootnoteReference"/>
        </w:rPr>
        <w:footnoteRef/>
      </w:r>
      <w:r>
        <w:t xml:space="preserve"> </w:t>
      </w:r>
      <w:r>
        <w:tab/>
      </w:r>
      <w:r>
        <w:rPr>
          <w:rFonts w:ascii="Times New Roman" w:hAnsi="Times New Roman"/>
        </w:rPr>
        <w:t>Afghanistan – Conclusions du Conseil, 13098/17 du 16 octobre 2017.</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Transformer notre monde: le programme de développement durable à l'horizon 2030, résolution adoptée par l'Assemblée générale des Nations unies le 25 septembre 2015.</w:t>
      </w:r>
    </w:p>
  </w:footnote>
  <w:footnote w:id="7">
    <w:p>
      <w:pPr>
        <w:pStyle w:val="FootnoteText"/>
        <w:ind w:left="284" w:hanging="284"/>
        <w:jc w:val="both"/>
      </w:pPr>
      <w:r>
        <w:rPr>
          <w:rStyle w:val="FootnoteReference"/>
        </w:rPr>
        <w:footnoteRef/>
      </w:r>
      <w:r>
        <w:t xml:space="preserve"> </w:t>
      </w:r>
      <w:r>
        <w:tab/>
      </w:r>
      <w:r>
        <w:rPr>
          <w:rFonts w:ascii="Times New Roman" w:hAnsi="Times New Roman"/>
        </w:rPr>
        <w:t>L’UE a signé un APC renforcé avec le Kazakhstan. Des négociations portant sur la conclusion d’APC renforcés sont en cours avec le Kirghizstan et l’Ouzbékistan. Le Tadjikistan a fait part de son intérêt à entamer des négociations en vue de conclure un APC renforcé.</w:t>
      </w:r>
      <w:r>
        <w:t xml:space="preserve"> </w:t>
      </w:r>
      <w:r>
        <w:rPr>
          <w:rFonts w:ascii="Times New Roman" w:hAnsi="Times New Roman"/>
        </w:rPr>
        <w:t>Les APC renforcés définissent un cadre qui n’exclut pas la participation à d'autres initiatives de coopération existantes, telles que les accords de libre-échange et l’Union économique eurasiatique, dont le Kazakhstan et le Kirghizstan sont membres.</w:t>
      </w:r>
    </w:p>
  </w:footnote>
  <w:footnote w:id="8">
    <w:p>
      <w:pPr>
        <w:spacing w:after="0"/>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sz w:val="20"/>
        </w:rPr>
        <w:t>L’initiative Spotlight est une initiative conjointe de l’UE et des Nations unies qui vise à éliminer la violence à l’égard des femmes et des jeunes filles.</w:t>
      </w:r>
    </w:p>
  </w:footnote>
  <w:footnote w:id="9">
    <w:p>
      <w:pPr>
        <w:pStyle w:val="FootnoteText"/>
        <w:ind w:left="284" w:hanging="284"/>
        <w:jc w:val="both"/>
        <w:rPr>
          <w:i/>
        </w:rPr>
      </w:pPr>
      <w:r>
        <w:rPr>
          <w:rStyle w:val="FootnoteReference"/>
        </w:rPr>
        <w:footnoteRef/>
      </w:r>
      <w:r>
        <w:t xml:space="preserve"> </w:t>
      </w:r>
      <w:r>
        <w:tab/>
      </w:r>
      <w:r>
        <w:rPr>
          <w:rFonts w:ascii="Times New Roman" w:hAnsi="Times New Roman"/>
        </w:rPr>
        <w:t>Tous les pays d’Asie centrale sont membres de l’OSCE.</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signé le 12 décembre 2015.</w:t>
      </w:r>
    </w:p>
  </w:footnote>
  <w:footnote w:id="11">
    <w:p>
      <w:pPr>
        <w:spacing w:after="0"/>
        <w:ind w:left="284" w:hanging="284"/>
        <w:rPr>
          <w:rFonts w:ascii="Times New Roman" w:hAnsi="Times New Roman" w:cs="Times New Roman"/>
          <w:i/>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Diplomatie de l’eau – Conclusions du Conseil, 13991/18 du 19 novembre 2018.</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Convention sur la protection et l'utilisation des cours d'eau transfrontières et des lacs internationaux, signée à Helsinki le 17 mars 1992.</w:t>
      </w:r>
    </w:p>
  </w:footnote>
  <w:footnote w:id="13">
    <w:p>
      <w:pPr>
        <w:pStyle w:val="FootnoteText"/>
        <w:ind w:left="284" w:hanging="284"/>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Signé le 12 août 2018 à Aktaou.</w:t>
      </w:r>
    </w:p>
  </w:footnote>
  <w:footnote w:id="1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La moitié de la population de la région a moins de 20 ans et les économies d’Asie centrale doivent absorber chaque année un million de nouveaux arrivants sur le marché du travail.  </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Les hydrocarbures et les minéraux constituaient près de 60 % des exportations totales de la région en 2018.</w:t>
      </w:r>
    </w:p>
  </w:footnote>
  <w:footnote w:id="16">
    <w:p>
      <w:pPr>
        <w:pStyle w:val="FootnoteText"/>
        <w:ind w:left="284" w:hanging="284"/>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En 2018, l’UE figurait parmi les cinq principaux partenaires en matière de commerce et d’investissement de chaque État d’Asie centrale, mais les échanges avec la région représentaient encore moins d’un pour cent du total des échanges de l’UE.  </w:t>
      </w:r>
    </w:p>
  </w:footnote>
  <w:footnote w:id="17">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 xml:space="preserve"> </w:t>
      </w:r>
      <w:r>
        <w:rPr>
          <w:rFonts w:ascii="Times New Roman" w:hAnsi="Times New Roman"/>
          <w:i/>
        </w:rPr>
        <w:tab/>
      </w:r>
      <w:r>
        <w:rPr>
          <w:rFonts w:ascii="Times New Roman" w:hAnsi="Times New Roman"/>
        </w:rPr>
        <w:t>Les échanges intrarégionaux constituaient 5 % des exportations totales de la région en 2018.</w:t>
      </w:r>
    </w:p>
  </w:footnote>
  <w:footnote w:id="18">
    <w:p>
      <w:pPr>
        <w:spacing w:after="0"/>
        <w:ind w:left="284" w:hanging="284"/>
        <w:jc w:val="both"/>
        <w:rPr>
          <w:rFonts w:ascii="Times New Roman" w:hAnsi="Times New Roman" w:cs="Times New Roman"/>
          <w:i/>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 xml:space="preserve">Relier l’Europe à l’Asie – Éléments fondamentaux d’une stratégie de l’UE – Conclusions du Conseil, 13097/18 du 15 octobre 2018. </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Les pays d’Asie centrale seront consultés au sujet de l’étude conjointe sur les corridors de transport global durables axés sur le transport ferroviaire entre l’Europe et la Chine, établie dans le cadre de la plateforme de connectivité UE-Chine.</w:t>
      </w:r>
    </w:p>
  </w:footnote>
  <w:footnote w:id="20">
    <w:p>
      <w:pPr>
        <w:ind w:left="284" w:hanging="284"/>
        <w:jc w:val="both"/>
        <w:rPr>
          <w:rFonts w:ascii="Times New Roman" w:hAnsi="Times New Roman" w:cs="Times New Roman"/>
          <w:i/>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Communication conjointe au Parlement européen et au Conseil, «Vers une stratégie de l’UE dans le domaine des relations culturelles internationales», JOIN(2016) 29 final du 8 juin 2016.</w:t>
      </w:r>
    </w:p>
  </w:footnote>
  <w:footnote w:id="21">
    <w:p>
      <w:pPr>
        <w:pStyle w:val="FootnoteText"/>
        <w:ind w:left="284" w:hanging="284"/>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L’UE a alloué 1,1 milliard d’euros à la coopération au développement avec l’Asie centrale dans le cadre du cycle budgétaire 2014</w:t>
      </w:r>
      <w:r>
        <w:rPr>
          <w:rFonts w:ascii="Times New Roman" w:hAnsi="Times New Roman"/>
        </w:rPr>
        <w:noBreakHyphen/>
        <w:t>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6516"/>
    <w:multiLevelType w:val="hybridMultilevel"/>
    <w:tmpl w:val="8A06AD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FA5B59"/>
    <w:multiLevelType w:val="hybridMultilevel"/>
    <w:tmpl w:val="F35E1B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7E17E8"/>
    <w:multiLevelType w:val="multilevel"/>
    <w:tmpl w:val="AD46F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D34B5C"/>
    <w:multiLevelType w:val="hybridMultilevel"/>
    <w:tmpl w:val="AA7E35AA"/>
    <w:lvl w:ilvl="0" w:tplc="1E169B5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2E434B"/>
    <w:multiLevelType w:val="hybridMultilevel"/>
    <w:tmpl w:val="6330C7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AD0F93"/>
    <w:multiLevelType w:val="hybridMultilevel"/>
    <w:tmpl w:val="AFF28496"/>
    <w:lvl w:ilvl="0" w:tplc="113232B2">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5C7080E"/>
    <w:multiLevelType w:val="hybridMultilevel"/>
    <w:tmpl w:val="7E90BE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67514E"/>
    <w:multiLevelType w:val="hybridMultilevel"/>
    <w:tmpl w:val="984C32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9DB6C2C"/>
    <w:multiLevelType w:val="hybridMultilevel"/>
    <w:tmpl w:val="549AEEE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9">
    <w:nsid w:val="2AB47AFB"/>
    <w:multiLevelType w:val="hybridMultilevel"/>
    <w:tmpl w:val="744E73A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0">
    <w:nsid w:val="2F1F01B6"/>
    <w:multiLevelType w:val="hybridMultilevel"/>
    <w:tmpl w:val="ADC021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3D09E8"/>
    <w:multiLevelType w:val="hybridMultilevel"/>
    <w:tmpl w:val="E458C2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3032F5B"/>
    <w:multiLevelType w:val="hybridMultilevel"/>
    <w:tmpl w:val="FBF0DD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123729"/>
    <w:multiLevelType w:val="hybridMultilevel"/>
    <w:tmpl w:val="DA3C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C876EC"/>
    <w:multiLevelType w:val="hybridMultilevel"/>
    <w:tmpl w:val="04520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EE5DE1"/>
    <w:multiLevelType w:val="hybridMultilevel"/>
    <w:tmpl w:val="729C2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8FF1C6A"/>
    <w:multiLevelType w:val="hybridMultilevel"/>
    <w:tmpl w:val="CC986628"/>
    <w:lvl w:ilvl="0" w:tplc="7276B84A">
      <w:start w:val="1"/>
      <w:numFmt w:val="bullet"/>
      <w:lvlText w:val=""/>
      <w:lvlJc w:val="left"/>
      <w:pPr>
        <w:ind w:left="720" w:hanging="360"/>
      </w:pPr>
      <w:rPr>
        <w:rFonts w:ascii="Wingdings" w:hAnsi="Wingdings"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42657C"/>
    <w:multiLevelType w:val="hybridMultilevel"/>
    <w:tmpl w:val="67AA6D68"/>
    <w:lvl w:ilvl="0" w:tplc="BDECAF64">
      <w:start w:val="1"/>
      <w:numFmt w:val="bullet"/>
      <w:lvlText w:val=""/>
      <w:lvlJc w:val="left"/>
      <w:pPr>
        <w:ind w:left="1258" w:hanging="360"/>
      </w:pPr>
      <w:rPr>
        <w:rFonts w:ascii="Wingdings" w:hAnsi="Wingdings" w:hint="default"/>
        <w:lang w:val="en-GB"/>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18">
    <w:nsid w:val="649F64AD"/>
    <w:multiLevelType w:val="hybridMultilevel"/>
    <w:tmpl w:val="7DFCC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3"/>
  </w:num>
  <w:num w:numId="4">
    <w:abstractNumId w:val="1"/>
  </w:num>
  <w:num w:numId="5">
    <w:abstractNumId w:val="15"/>
  </w:num>
  <w:num w:numId="6">
    <w:abstractNumId w:val="7"/>
  </w:num>
  <w:num w:numId="7">
    <w:abstractNumId w:val="14"/>
  </w:num>
  <w:num w:numId="8">
    <w:abstractNumId w:val="11"/>
  </w:num>
  <w:num w:numId="9">
    <w:abstractNumId w:val="4"/>
  </w:num>
  <w:num w:numId="10">
    <w:abstractNumId w:val="1"/>
  </w:num>
  <w:num w:numId="11">
    <w:abstractNumId w:val="13"/>
  </w:num>
  <w:num w:numId="12">
    <w:abstractNumId w:val="18"/>
  </w:num>
  <w:num w:numId="13">
    <w:abstractNumId w:val="12"/>
  </w:num>
  <w:num w:numId="14">
    <w:abstractNumId w:val="6"/>
  </w:num>
  <w:num w:numId="15">
    <w:abstractNumId w:val="16"/>
  </w:num>
  <w:num w:numId="16">
    <w:abstractNumId w:val="0"/>
  </w:num>
  <w:num w:numId="17">
    <w:abstractNumId w:val="2"/>
  </w:num>
  <w:num w:numId="18">
    <w:abstractNumId w:val="9"/>
  </w:num>
  <w:num w:numId="19">
    <w:abstractNumId w:val="8"/>
  </w:num>
  <w:num w:numId="20">
    <w:abstractNumId w:val="10"/>
  </w:num>
  <w:num w:numId="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IVALANTTI Jani (CAB-MOGHERINI)">
    <w15:presenceInfo w15:providerId="None" w15:userId="TAIVALANTTI Jani (CAB-MOGHERINI)"/>
  </w15:person>
  <w15:person w15:author="CAJO Denis (CAB-MIMICA)">
    <w15:presenceInfo w15:providerId="None" w15:userId="CAJO Denis (CAB-MIM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D95664D-25C7-42B6-962F-41A02C120E0A"/>
    <w:docVar w:name="LW_COVERPAGE_TYPE" w:val="1"/>
    <w:docVar w:name="LW_CROSSREFERENCE" w:val="&lt;UNUSED&gt;"/>
    <w:docVar w:name="LW_DocType" w:val="NORMAL"/>
    <w:docVar w:name="LW_EMISSION" w:val="15.5.2019"/>
    <w:docVar w:name="LW_EMISSION_ISODATE" w:val="2019-05-15"/>
    <w:docVar w:name="LW_EMISSION_LOCATION" w:val="BRX"/>
    <w:docVar w:name="LW_EMISSION_PREFIX" w:val="Bruxelles, le "/>
    <w:docVar w:name="LW_EMISSION_SUFFIX" w:val=" "/>
    <w:docVar w:name="LW_ID_DOCTYPE_NONLW" w:val="CP-015"/>
    <w:docVar w:name="LW_LANGUE" w:val="FR"/>
    <w:docVar w:name="LW_LEVEL_OF_SENSITIVITY" w:val="Standard treatmen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NST.NEW" w:val="JOIN"/>
    <w:docVar w:name="LW_REF.INST.NEW_ADOPTED" w:val="final"/>
    <w:docVar w:name="LW_REF.INST.NEW_TEXT" w:val="(2019) 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L'UE et l'Asie centrale: de nouvelles opportunités pour un partenariat renforcé&lt;/FMT&gt;_x000b_"/>
    <w:docVar w:name="LW_TYPE.DOC.CP" w:val="COMMUNICATION CONJOINTE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160" w:line="256" w:lineRule="auto"/>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160" w:line="256" w:lineRule="auto"/>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80562">
      <w:bodyDiv w:val="1"/>
      <w:marLeft w:val="0"/>
      <w:marRight w:val="0"/>
      <w:marTop w:val="0"/>
      <w:marBottom w:val="0"/>
      <w:divBdr>
        <w:top w:val="none" w:sz="0" w:space="0" w:color="auto"/>
        <w:left w:val="none" w:sz="0" w:space="0" w:color="auto"/>
        <w:bottom w:val="none" w:sz="0" w:space="0" w:color="auto"/>
        <w:right w:val="none" w:sz="0" w:space="0" w:color="auto"/>
      </w:divBdr>
    </w:div>
    <w:div w:id="496502979">
      <w:bodyDiv w:val="1"/>
      <w:marLeft w:val="0"/>
      <w:marRight w:val="0"/>
      <w:marTop w:val="0"/>
      <w:marBottom w:val="0"/>
      <w:divBdr>
        <w:top w:val="none" w:sz="0" w:space="0" w:color="auto"/>
        <w:left w:val="none" w:sz="0" w:space="0" w:color="auto"/>
        <w:bottom w:val="none" w:sz="0" w:space="0" w:color="auto"/>
        <w:right w:val="none" w:sz="0" w:space="0" w:color="auto"/>
      </w:divBdr>
    </w:div>
    <w:div w:id="677343705">
      <w:bodyDiv w:val="1"/>
      <w:marLeft w:val="0"/>
      <w:marRight w:val="0"/>
      <w:marTop w:val="0"/>
      <w:marBottom w:val="0"/>
      <w:divBdr>
        <w:top w:val="none" w:sz="0" w:space="0" w:color="auto"/>
        <w:left w:val="none" w:sz="0" w:space="0" w:color="auto"/>
        <w:bottom w:val="none" w:sz="0" w:space="0" w:color="auto"/>
        <w:right w:val="none" w:sz="0" w:space="0" w:color="auto"/>
      </w:divBdr>
    </w:div>
    <w:div w:id="694697340">
      <w:bodyDiv w:val="1"/>
      <w:marLeft w:val="0"/>
      <w:marRight w:val="0"/>
      <w:marTop w:val="0"/>
      <w:marBottom w:val="0"/>
      <w:divBdr>
        <w:top w:val="none" w:sz="0" w:space="0" w:color="auto"/>
        <w:left w:val="none" w:sz="0" w:space="0" w:color="auto"/>
        <w:bottom w:val="none" w:sz="0" w:space="0" w:color="auto"/>
        <w:right w:val="none" w:sz="0" w:space="0" w:color="auto"/>
      </w:divBdr>
    </w:div>
    <w:div w:id="798260592">
      <w:bodyDiv w:val="1"/>
      <w:marLeft w:val="0"/>
      <w:marRight w:val="0"/>
      <w:marTop w:val="0"/>
      <w:marBottom w:val="0"/>
      <w:divBdr>
        <w:top w:val="none" w:sz="0" w:space="0" w:color="auto"/>
        <w:left w:val="none" w:sz="0" w:space="0" w:color="auto"/>
        <w:bottom w:val="none" w:sz="0" w:space="0" w:color="auto"/>
        <w:right w:val="none" w:sz="0" w:space="0" w:color="auto"/>
      </w:divBdr>
    </w:div>
    <w:div w:id="951132093">
      <w:bodyDiv w:val="1"/>
      <w:marLeft w:val="0"/>
      <w:marRight w:val="0"/>
      <w:marTop w:val="0"/>
      <w:marBottom w:val="0"/>
      <w:divBdr>
        <w:top w:val="none" w:sz="0" w:space="0" w:color="auto"/>
        <w:left w:val="none" w:sz="0" w:space="0" w:color="auto"/>
        <w:bottom w:val="none" w:sz="0" w:space="0" w:color="auto"/>
        <w:right w:val="none" w:sz="0" w:space="0" w:color="auto"/>
      </w:divBdr>
    </w:div>
    <w:div w:id="1068117261">
      <w:bodyDiv w:val="1"/>
      <w:marLeft w:val="0"/>
      <w:marRight w:val="0"/>
      <w:marTop w:val="0"/>
      <w:marBottom w:val="0"/>
      <w:divBdr>
        <w:top w:val="none" w:sz="0" w:space="0" w:color="auto"/>
        <w:left w:val="none" w:sz="0" w:space="0" w:color="auto"/>
        <w:bottom w:val="none" w:sz="0" w:space="0" w:color="auto"/>
        <w:right w:val="none" w:sz="0" w:space="0" w:color="auto"/>
      </w:divBdr>
      <w:divsChild>
        <w:div w:id="1266380339">
          <w:marLeft w:val="0"/>
          <w:marRight w:val="0"/>
          <w:marTop w:val="0"/>
          <w:marBottom w:val="0"/>
          <w:divBdr>
            <w:top w:val="none" w:sz="0" w:space="0" w:color="auto"/>
            <w:left w:val="none" w:sz="0" w:space="0" w:color="auto"/>
            <w:bottom w:val="none" w:sz="0" w:space="0" w:color="auto"/>
            <w:right w:val="none" w:sz="0" w:space="0" w:color="auto"/>
          </w:divBdr>
          <w:divsChild>
            <w:div w:id="942566172">
              <w:marLeft w:val="0"/>
              <w:marRight w:val="0"/>
              <w:marTop w:val="0"/>
              <w:marBottom w:val="0"/>
              <w:divBdr>
                <w:top w:val="none" w:sz="0" w:space="0" w:color="auto"/>
                <w:left w:val="none" w:sz="0" w:space="0" w:color="auto"/>
                <w:bottom w:val="none" w:sz="0" w:space="0" w:color="auto"/>
                <w:right w:val="none" w:sz="0" w:space="0" w:color="auto"/>
              </w:divBdr>
              <w:divsChild>
                <w:div w:id="437214596">
                  <w:marLeft w:val="0"/>
                  <w:marRight w:val="0"/>
                  <w:marTop w:val="0"/>
                  <w:marBottom w:val="0"/>
                  <w:divBdr>
                    <w:top w:val="none" w:sz="0" w:space="0" w:color="auto"/>
                    <w:left w:val="none" w:sz="0" w:space="0" w:color="auto"/>
                    <w:bottom w:val="none" w:sz="0" w:space="0" w:color="auto"/>
                    <w:right w:val="none" w:sz="0" w:space="0" w:color="auto"/>
                  </w:divBdr>
                  <w:divsChild>
                    <w:div w:id="1950502741">
                      <w:marLeft w:val="0"/>
                      <w:marRight w:val="0"/>
                      <w:marTop w:val="0"/>
                      <w:marBottom w:val="0"/>
                      <w:divBdr>
                        <w:top w:val="none" w:sz="0" w:space="0" w:color="auto"/>
                        <w:left w:val="none" w:sz="0" w:space="0" w:color="auto"/>
                        <w:bottom w:val="none" w:sz="0" w:space="0" w:color="auto"/>
                        <w:right w:val="none" w:sz="0" w:space="0" w:color="auto"/>
                      </w:divBdr>
                      <w:divsChild>
                        <w:div w:id="1187254383">
                          <w:marLeft w:val="0"/>
                          <w:marRight w:val="0"/>
                          <w:marTop w:val="0"/>
                          <w:marBottom w:val="0"/>
                          <w:divBdr>
                            <w:top w:val="none" w:sz="0" w:space="0" w:color="auto"/>
                            <w:left w:val="none" w:sz="0" w:space="0" w:color="auto"/>
                            <w:bottom w:val="none" w:sz="0" w:space="0" w:color="auto"/>
                            <w:right w:val="none" w:sz="0" w:space="0" w:color="auto"/>
                          </w:divBdr>
                          <w:divsChild>
                            <w:div w:id="443698970">
                              <w:marLeft w:val="2070"/>
                              <w:marRight w:val="3960"/>
                              <w:marTop w:val="0"/>
                              <w:marBottom w:val="0"/>
                              <w:divBdr>
                                <w:top w:val="none" w:sz="0" w:space="0" w:color="auto"/>
                                <w:left w:val="none" w:sz="0" w:space="0" w:color="auto"/>
                                <w:bottom w:val="none" w:sz="0" w:space="0" w:color="auto"/>
                                <w:right w:val="none" w:sz="0" w:space="0" w:color="auto"/>
                              </w:divBdr>
                              <w:divsChild>
                                <w:div w:id="1764833181">
                                  <w:marLeft w:val="0"/>
                                  <w:marRight w:val="0"/>
                                  <w:marTop w:val="0"/>
                                  <w:marBottom w:val="0"/>
                                  <w:divBdr>
                                    <w:top w:val="none" w:sz="0" w:space="0" w:color="auto"/>
                                    <w:left w:val="none" w:sz="0" w:space="0" w:color="auto"/>
                                    <w:bottom w:val="none" w:sz="0" w:space="0" w:color="auto"/>
                                    <w:right w:val="none" w:sz="0" w:space="0" w:color="auto"/>
                                  </w:divBdr>
                                  <w:divsChild>
                                    <w:div w:id="384573435">
                                      <w:marLeft w:val="0"/>
                                      <w:marRight w:val="0"/>
                                      <w:marTop w:val="0"/>
                                      <w:marBottom w:val="0"/>
                                      <w:divBdr>
                                        <w:top w:val="none" w:sz="0" w:space="0" w:color="auto"/>
                                        <w:left w:val="none" w:sz="0" w:space="0" w:color="auto"/>
                                        <w:bottom w:val="none" w:sz="0" w:space="0" w:color="auto"/>
                                        <w:right w:val="none" w:sz="0" w:space="0" w:color="auto"/>
                                      </w:divBdr>
                                      <w:divsChild>
                                        <w:div w:id="1749158329">
                                          <w:marLeft w:val="0"/>
                                          <w:marRight w:val="0"/>
                                          <w:marTop w:val="0"/>
                                          <w:marBottom w:val="0"/>
                                          <w:divBdr>
                                            <w:top w:val="none" w:sz="0" w:space="0" w:color="auto"/>
                                            <w:left w:val="none" w:sz="0" w:space="0" w:color="auto"/>
                                            <w:bottom w:val="none" w:sz="0" w:space="0" w:color="auto"/>
                                            <w:right w:val="none" w:sz="0" w:space="0" w:color="auto"/>
                                          </w:divBdr>
                                          <w:divsChild>
                                            <w:div w:id="412170670">
                                              <w:marLeft w:val="0"/>
                                              <w:marRight w:val="0"/>
                                              <w:marTop w:val="90"/>
                                              <w:marBottom w:val="0"/>
                                              <w:divBdr>
                                                <w:top w:val="none" w:sz="0" w:space="0" w:color="auto"/>
                                                <w:left w:val="none" w:sz="0" w:space="0" w:color="auto"/>
                                                <w:bottom w:val="none" w:sz="0" w:space="0" w:color="auto"/>
                                                <w:right w:val="none" w:sz="0" w:space="0" w:color="auto"/>
                                              </w:divBdr>
                                              <w:divsChild>
                                                <w:div w:id="1884978829">
                                                  <w:marLeft w:val="0"/>
                                                  <w:marRight w:val="0"/>
                                                  <w:marTop w:val="0"/>
                                                  <w:marBottom w:val="0"/>
                                                  <w:divBdr>
                                                    <w:top w:val="none" w:sz="0" w:space="0" w:color="auto"/>
                                                    <w:left w:val="none" w:sz="0" w:space="0" w:color="auto"/>
                                                    <w:bottom w:val="none" w:sz="0" w:space="0" w:color="auto"/>
                                                    <w:right w:val="none" w:sz="0" w:space="0" w:color="auto"/>
                                                  </w:divBdr>
                                                  <w:divsChild>
                                                    <w:div w:id="1509833061">
                                                      <w:marLeft w:val="0"/>
                                                      <w:marRight w:val="0"/>
                                                      <w:marTop w:val="0"/>
                                                      <w:marBottom w:val="0"/>
                                                      <w:divBdr>
                                                        <w:top w:val="none" w:sz="0" w:space="0" w:color="auto"/>
                                                        <w:left w:val="none" w:sz="0" w:space="0" w:color="auto"/>
                                                        <w:bottom w:val="none" w:sz="0" w:space="0" w:color="auto"/>
                                                        <w:right w:val="none" w:sz="0" w:space="0" w:color="auto"/>
                                                      </w:divBdr>
                                                      <w:divsChild>
                                                        <w:div w:id="1675649156">
                                                          <w:marLeft w:val="0"/>
                                                          <w:marRight w:val="0"/>
                                                          <w:marTop w:val="0"/>
                                                          <w:marBottom w:val="0"/>
                                                          <w:divBdr>
                                                            <w:top w:val="none" w:sz="0" w:space="0" w:color="auto"/>
                                                            <w:left w:val="none" w:sz="0" w:space="0" w:color="auto"/>
                                                            <w:bottom w:val="none" w:sz="0" w:space="0" w:color="auto"/>
                                                            <w:right w:val="none" w:sz="0" w:space="0" w:color="auto"/>
                                                          </w:divBdr>
                                                          <w:divsChild>
                                                            <w:div w:id="1735422823">
                                                              <w:marLeft w:val="0"/>
                                                              <w:marRight w:val="0"/>
                                                              <w:marTop w:val="0"/>
                                                              <w:marBottom w:val="390"/>
                                                              <w:divBdr>
                                                                <w:top w:val="none" w:sz="0" w:space="0" w:color="auto"/>
                                                                <w:left w:val="none" w:sz="0" w:space="0" w:color="auto"/>
                                                                <w:bottom w:val="none" w:sz="0" w:space="0" w:color="auto"/>
                                                                <w:right w:val="none" w:sz="0" w:space="0" w:color="auto"/>
                                                              </w:divBdr>
                                                              <w:divsChild>
                                                                <w:div w:id="1085612878">
                                                                  <w:marLeft w:val="0"/>
                                                                  <w:marRight w:val="0"/>
                                                                  <w:marTop w:val="0"/>
                                                                  <w:marBottom w:val="0"/>
                                                                  <w:divBdr>
                                                                    <w:top w:val="none" w:sz="0" w:space="0" w:color="auto"/>
                                                                    <w:left w:val="none" w:sz="0" w:space="0" w:color="auto"/>
                                                                    <w:bottom w:val="none" w:sz="0" w:space="0" w:color="auto"/>
                                                                    <w:right w:val="none" w:sz="0" w:space="0" w:color="auto"/>
                                                                  </w:divBdr>
                                                                  <w:divsChild>
                                                                    <w:div w:id="238566029">
                                                                      <w:marLeft w:val="0"/>
                                                                      <w:marRight w:val="0"/>
                                                                      <w:marTop w:val="0"/>
                                                                      <w:marBottom w:val="0"/>
                                                                      <w:divBdr>
                                                                        <w:top w:val="none" w:sz="0" w:space="0" w:color="auto"/>
                                                                        <w:left w:val="none" w:sz="0" w:space="0" w:color="auto"/>
                                                                        <w:bottom w:val="none" w:sz="0" w:space="0" w:color="auto"/>
                                                                        <w:right w:val="none" w:sz="0" w:space="0" w:color="auto"/>
                                                                      </w:divBdr>
                                                                      <w:divsChild>
                                                                        <w:div w:id="843516605">
                                                                          <w:marLeft w:val="0"/>
                                                                          <w:marRight w:val="0"/>
                                                                          <w:marTop w:val="0"/>
                                                                          <w:marBottom w:val="0"/>
                                                                          <w:divBdr>
                                                                            <w:top w:val="none" w:sz="0" w:space="0" w:color="auto"/>
                                                                            <w:left w:val="none" w:sz="0" w:space="0" w:color="auto"/>
                                                                            <w:bottom w:val="none" w:sz="0" w:space="0" w:color="auto"/>
                                                                            <w:right w:val="none" w:sz="0" w:space="0" w:color="auto"/>
                                                                          </w:divBdr>
                                                                          <w:divsChild>
                                                                            <w:div w:id="1575317191">
                                                                              <w:marLeft w:val="0"/>
                                                                              <w:marRight w:val="0"/>
                                                                              <w:marTop w:val="0"/>
                                                                              <w:marBottom w:val="0"/>
                                                                              <w:divBdr>
                                                                                <w:top w:val="none" w:sz="0" w:space="0" w:color="auto"/>
                                                                                <w:left w:val="none" w:sz="0" w:space="0" w:color="auto"/>
                                                                                <w:bottom w:val="none" w:sz="0" w:space="0" w:color="auto"/>
                                                                                <w:right w:val="none" w:sz="0" w:space="0" w:color="auto"/>
                                                                              </w:divBdr>
                                                                            </w:div>
                                                                            <w:div w:id="512840337">
                                                                              <w:marLeft w:val="0"/>
                                                                              <w:marRight w:val="0"/>
                                                                              <w:marTop w:val="0"/>
                                                                              <w:marBottom w:val="0"/>
                                                                              <w:divBdr>
                                                                                <w:top w:val="none" w:sz="0" w:space="0" w:color="auto"/>
                                                                                <w:left w:val="none" w:sz="0" w:space="0" w:color="auto"/>
                                                                                <w:bottom w:val="none" w:sz="0" w:space="0" w:color="auto"/>
                                                                                <w:right w:val="none" w:sz="0" w:space="0" w:color="auto"/>
                                                                              </w:divBdr>
                                                                              <w:divsChild>
                                                                                <w:div w:id="4927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958344">
      <w:bodyDiv w:val="1"/>
      <w:marLeft w:val="0"/>
      <w:marRight w:val="0"/>
      <w:marTop w:val="0"/>
      <w:marBottom w:val="0"/>
      <w:divBdr>
        <w:top w:val="none" w:sz="0" w:space="0" w:color="auto"/>
        <w:left w:val="none" w:sz="0" w:space="0" w:color="auto"/>
        <w:bottom w:val="none" w:sz="0" w:space="0" w:color="auto"/>
        <w:right w:val="none" w:sz="0" w:space="0" w:color="auto"/>
      </w:divBdr>
    </w:div>
    <w:div w:id="1575508887">
      <w:bodyDiv w:val="1"/>
      <w:marLeft w:val="0"/>
      <w:marRight w:val="0"/>
      <w:marTop w:val="0"/>
      <w:marBottom w:val="0"/>
      <w:divBdr>
        <w:top w:val="none" w:sz="0" w:space="0" w:color="auto"/>
        <w:left w:val="none" w:sz="0" w:space="0" w:color="auto"/>
        <w:bottom w:val="none" w:sz="0" w:space="0" w:color="auto"/>
        <w:right w:val="none" w:sz="0" w:space="0" w:color="auto"/>
      </w:divBdr>
      <w:divsChild>
        <w:div w:id="293104750">
          <w:marLeft w:val="0"/>
          <w:marRight w:val="0"/>
          <w:marTop w:val="0"/>
          <w:marBottom w:val="0"/>
          <w:divBdr>
            <w:top w:val="none" w:sz="0" w:space="0" w:color="auto"/>
            <w:left w:val="none" w:sz="0" w:space="0" w:color="auto"/>
            <w:bottom w:val="none" w:sz="0" w:space="0" w:color="auto"/>
            <w:right w:val="none" w:sz="0" w:space="0" w:color="auto"/>
          </w:divBdr>
        </w:div>
        <w:div w:id="1415513141">
          <w:marLeft w:val="0"/>
          <w:marRight w:val="0"/>
          <w:marTop w:val="0"/>
          <w:marBottom w:val="0"/>
          <w:divBdr>
            <w:top w:val="none" w:sz="0" w:space="0" w:color="auto"/>
            <w:left w:val="none" w:sz="0" w:space="0" w:color="auto"/>
            <w:bottom w:val="none" w:sz="0" w:space="0" w:color="auto"/>
            <w:right w:val="none" w:sz="0" w:space="0" w:color="auto"/>
          </w:divBdr>
        </w:div>
        <w:div w:id="2080588637">
          <w:marLeft w:val="0"/>
          <w:marRight w:val="0"/>
          <w:marTop w:val="0"/>
          <w:marBottom w:val="0"/>
          <w:divBdr>
            <w:top w:val="none" w:sz="0" w:space="0" w:color="auto"/>
            <w:left w:val="none" w:sz="0" w:space="0" w:color="auto"/>
            <w:bottom w:val="none" w:sz="0" w:space="0" w:color="auto"/>
            <w:right w:val="none" w:sz="0" w:space="0" w:color="auto"/>
          </w:divBdr>
        </w:div>
        <w:div w:id="1964458233">
          <w:marLeft w:val="0"/>
          <w:marRight w:val="0"/>
          <w:marTop w:val="0"/>
          <w:marBottom w:val="0"/>
          <w:divBdr>
            <w:top w:val="none" w:sz="0" w:space="0" w:color="auto"/>
            <w:left w:val="none" w:sz="0" w:space="0" w:color="auto"/>
            <w:bottom w:val="none" w:sz="0" w:space="0" w:color="auto"/>
            <w:right w:val="none" w:sz="0" w:space="0" w:color="auto"/>
          </w:divBdr>
        </w:div>
        <w:div w:id="991758843">
          <w:marLeft w:val="0"/>
          <w:marRight w:val="0"/>
          <w:marTop w:val="0"/>
          <w:marBottom w:val="0"/>
          <w:divBdr>
            <w:top w:val="none" w:sz="0" w:space="0" w:color="auto"/>
            <w:left w:val="none" w:sz="0" w:space="0" w:color="auto"/>
            <w:bottom w:val="none" w:sz="0" w:space="0" w:color="auto"/>
            <w:right w:val="none" w:sz="0" w:space="0" w:color="auto"/>
          </w:divBdr>
        </w:div>
        <w:div w:id="1772315941">
          <w:marLeft w:val="0"/>
          <w:marRight w:val="0"/>
          <w:marTop w:val="0"/>
          <w:marBottom w:val="0"/>
          <w:divBdr>
            <w:top w:val="none" w:sz="0" w:space="0" w:color="auto"/>
            <w:left w:val="none" w:sz="0" w:space="0" w:color="auto"/>
            <w:bottom w:val="none" w:sz="0" w:space="0" w:color="auto"/>
            <w:right w:val="none" w:sz="0" w:space="0" w:color="auto"/>
          </w:divBdr>
        </w:div>
      </w:divsChild>
    </w:div>
    <w:div w:id="1948195839">
      <w:bodyDiv w:val="1"/>
      <w:marLeft w:val="0"/>
      <w:marRight w:val="0"/>
      <w:marTop w:val="0"/>
      <w:marBottom w:val="0"/>
      <w:divBdr>
        <w:top w:val="none" w:sz="0" w:space="0" w:color="auto"/>
        <w:left w:val="none" w:sz="0" w:space="0" w:color="auto"/>
        <w:bottom w:val="none" w:sz="0" w:space="0" w:color="auto"/>
        <w:right w:val="none" w:sz="0" w:space="0" w:color="auto"/>
      </w:divBdr>
    </w:div>
    <w:div w:id="1996837662">
      <w:bodyDiv w:val="1"/>
      <w:marLeft w:val="0"/>
      <w:marRight w:val="0"/>
      <w:marTop w:val="0"/>
      <w:marBottom w:val="0"/>
      <w:divBdr>
        <w:top w:val="none" w:sz="0" w:space="0" w:color="auto"/>
        <w:left w:val="none" w:sz="0" w:space="0" w:color="auto"/>
        <w:bottom w:val="none" w:sz="0" w:space="0" w:color="auto"/>
        <w:right w:val="none" w:sz="0" w:space="0" w:color="auto"/>
      </w:divBdr>
    </w:div>
    <w:div w:id="200435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E5EB6-6D21-44FC-A564-0A6050F8A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9422</Words>
  <Characters>54085</Characters>
  <Application>Microsoft Office Word</Application>
  <DocSecurity>0</DocSecurity>
  <Lines>761</Lines>
  <Paragraphs>200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2019-05-03T09:03:00Z</cp:lastPrinted>
  <dcterms:created xsi:type="dcterms:W3CDTF">2019-06-03T08:41:00Z</dcterms:created>
  <dcterms:modified xsi:type="dcterms:W3CDTF">2019-06-04T07:41:00Z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