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_Toc485222989"/>
      <w:bookmarkStart w:id="1" w:name="_Toc394048479"/>
      <w:bookmarkStart w:id="2" w:name="_Toc369271376"/>
      <w:bookmarkStart w:id="3" w:name="_Toc332353732"/>
      <w:bookmarkStart w:id="4"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2" type="#_x0000_t75" alt="EAFB66F8-F88D-44AD-8B44-F97C98126A73" style="width:450.15pt;height:334.05pt">
            <v:imagedata r:id="rId9" o:title=""/>
          </v:shape>
        </w:pict>
      </w:r>
    </w:p>
    <w:bookmarkEnd w:id="4"/>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pStyle w:val="Typedudocument"/>
        <w:rPr>
          <w:noProof/>
          <w:lang w:val="fr-BE"/>
        </w:rPr>
      </w:pPr>
      <w:bookmarkStart w:id="5" w:name="_GoBack"/>
      <w:bookmarkEnd w:id="0"/>
      <w:bookmarkEnd w:id="1"/>
      <w:bookmarkEnd w:id="2"/>
      <w:bookmarkEnd w:id="3"/>
      <w:bookmarkEnd w:id="5"/>
      <w:r>
        <w:rPr>
          <w:noProof/>
          <w:lang w:val="fr-BE"/>
        </w:rPr>
        <w:lastRenderedPageBreak/>
        <w:t>RAPPORT DE LA COMMISSION</w:t>
      </w:r>
    </w:p>
    <w:p>
      <w:pPr>
        <w:pStyle w:val="Titreobjet"/>
        <w:rPr>
          <w:noProof/>
          <w:lang w:val="fr-BE"/>
        </w:rPr>
      </w:pPr>
      <w:r>
        <w:rPr>
          <w:noProof/>
          <w:lang w:val="fr-BE"/>
        </w:rPr>
        <w:t>Rapport de synthèse annuel pour l’année 2017 sur la mise en place d’un régime d’autorisation FLEGT conformément au règlement (CE) nº 2173/2005 du 20 décembre 2005 concernant la mise en place d’un régime d’autorisation FLEGT relatif aux importations de bois dans la Communauté européenne.</w:t>
      </w:r>
    </w:p>
    <w:p>
      <w:pPr>
        <w:tabs>
          <w:tab w:val="left" w:pos="360"/>
        </w:tabs>
        <w:jc w:val="both"/>
        <w:rPr>
          <w:rFonts w:ascii="Times New Roman" w:hAnsi="Times New Roman"/>
          <w:noProof/>
          <w:sz w:val="24"/>
          <w:szCs w:val="24"/>
          <w:lang w:val="fr-BE"/>
        </w:rPr>
      </w:pPr>
      <w:r>
        <w:rPr>
          <w:rFonts w:ascii="Times New Roman" w:hAnsi="Times New Roman"/>
          <w:b/>
          <w:bCs/>
          <w:noProof/>
          <w:sz w:val="24"/>
          <w:szCs w:val="24"/>
          <w:lang w:val="fr-BE"/>
        </w:rPr>
        <w:t>1.</w:t>
      </w:r>
      <w:r>
        <w:rPr>
          <w:rFonts w:ascii="Times New Roman" w:hAnsi="Times New Roman"/>
          <w:b/>
          <w:bCs/>
          <w:noProof/>
          <w:sz w:val="24"/>
          <w:szCs w:val="24"/>
          <w:lang w:val="fr-BE"/>
        </w:rPr>
        <w:tab/>
        <w:t>Introduction et contexte</w:t>
      </w:r>
    </w:p>
    <w:p>
      <w:pPr>
        <w:spacing w:line="240" w:lineRule="auto"/>
        <w:jc w:val="both"/>
        <w:rPr>
          <w:rFonts w:ascii="Times New Roman" w:hAnsi="Times New Roman"/>
          <w:noProof/>
          <w:sz w:val="24"/>
          <w:szCs w:val="24"/>
          <w:lang w:val="fr-BE"/>
        </w:rPr>
      </w:pPr>
      <w:r>
        <w:rPr>
          <w:rFonts w:ascii="Times New Roman" w:hAnsi="Times New Roman"/>
          <w:noProof/>
          <w:sz w:val="24"/>
          <w:szCs w:val="24"/>
          <w:lang w:val="fr-BE"/>
        </w:rPr>
        <w:t>En 2005, l’Union européenne (UE) a adopté le règlement (CE) nº 2173/2005</w:t>
      </w:r>
      <w:r>
        <w:rPr>
          <w:rFonts w:ascii="Times New Roman" w:hAnsi="Times New Roman"/>
          <w:noProof/>
          <w:sz w:val="24"/>
          <w:szCs w:val="24"/>
          <w:vertAlign w:val="superscript"/>
        </w:rPr>
        <w:footnoteReference w:id="1"/>
      </w:r>
      <w:r>
        <w:rPr>
          <w:rFonts w:ascii="Times New Roman" w:hAnsi="Times New Roman"/>
          <w:noProof/>
          <w:sz w:val="24"/>
          <w:szCs w:val="24"/>
          <w:lang w:val="fr-BE"/>
        </w:rPr>
        <w:t xml:space="preserve"> du 20 décembre 2005 concernant la mise en place d’un régime d’autorisation FLEGT relatif aux importations de bois dans la Communauté européenne (ci-après le «règlement FLEGT»), dans le cadre de la mise en œuvre du plan d’action de l’UE de 2003 sur l’application des réglementations forestières, la gouvernance et les échanges commerciaux (FLEGT)</w:t>
      </w:r>
      <w:r>
        <w:rPr>
          <w:rStyle w:val="FootnoteReference"/>
          <w:rFonts w:ascii="Times New Roman" w:hAnsi="Times New Roman"/>
          <w:noProof/>
          <w:sz w:val="24"/>
          <w:szCs w:val="24"/>
        </w:rPr>
        <w:footnoteReference w:id="2"/>
      </w:r>
      <w:r>
        <w:rPr>
          <w:rFonts w:ascii="Times New Roman" w:hAnsi="Times New Roman"/>
          <w:noProof/>
          <w:sz w:val="24"/>
          <w:szCs w:val="24"/>
          <w:lang w:val="fr-BE"/>
        </w:rPr>
        <w:t>. En 2008, la Commission a également adopté le règlement (CE) n° 1024/2008</w:t>
      </w:r>
      <w:r>
        <w:rPr>
          <w:rFonts w:ascii="Times New Roman" w:hAnsi="Times New Roman"/>
          <w:noProof/>
          <w:sz w:val="24"/>
          <w:szCs w:val="24"/>
          <w:vertAlign w:val="superscript"/>
        </w:rPr>
        <w:footnoteReference w:id="3"/>
      </w:r>
      <w:r>
        <w:rPr>
          <w:rFonts w:ascii="Times New Roman" w:hAnsi="Times New Roman"/>
          <w:noProof/>
          <w:sz w:val="24"/>
          <w:szCs w:val="24"/>
          <w:lang w:val="fr-BE"/>
        </w:rPr>
        <w:t xml:space="preserve"> arrêtant les modalités de mise en œuvre du règlement FLEGT.</w:t>
      </w:r>
    </w:p>
    <w:p>
      <w:pPr>
        <w:spacing w:line="240" w:lineRule="auto"/>
        <w:jc w:val="both"/>
        <w:rPr>
          <w:rFonts w:ascii="Times New Roman" w:hAnsi="Times New Roman"/>
          <w:noProof/>
          <w:sz w:val="24"/>
          <w:szCs w:val="24"/>
          <w:lang w:val="fr-BE"/>
        </w:rPr>
      </w:pPr>
      <w:r>
        <w:rPr>
          <w:rFonts w:ascii="Times New Roman" w:hAnsi="Times New Roman"/>
          <w:noProof/>
          <w:sz w:val="24"/>
          <w:szCs w:val="24"/>
          <w:lang w:val="fr-BE"/>
        </w:rPr>
        <w:t>Le règlement FLEGT définit les règles pour la mise en place du régime d’autorisation FLEGT par la conclusion d’accords de partenariat volontaires (APV) avec les pays producteurs de bois et exige notamment que les importations dans l’UE de bois et produits dérivés originaires de pays partenaires FLEGT fassent l’objet d’une autorisation FLEGT.</w:t>
      </w:r>
    </w:p>
    <w:p>
      <w:pPr>
        <w:spacing w:line="240" w:lineRule="auto"/>
        <w:jc w:val="both"/>
        <w:rPr>
          <w:rFonts w:ascii="Times New Roman" w:hAnsi="Times New Roman"/>
          <w:noProof/>
          <w:sz w:val="24"/>
          <w:szCs w:val="24"/>
          <w:lang w:val="fr-BE"/>
        </w:rPr>
      </w:pPr>
      <w:r>
        <w:rPr>
          <w:rFonts w:ascii="Times New Roman" w:hAnsi="Times New Roman"/>
          <w:noProof/>
          <w:sz w:val="24"/>
          <w:szCs w:val="24"/>
          <w:lang w:val="fr-BE"/>
        </w:rPr>
        <w:t>Le régime d’autorisation FLEGT est devenu opérationnel le 15 novembre 2016 avec l’Indonésie. En 2017, l’Indonésie était le seul pays à mettre en œuvre un tel régime.</w:t>
      </w:r>
    </w:p>
    <w:p>
      <w:pPr>
        <w:spacing w:line="240" w:lineRule="auto"/>
        <w:jc w:val="both"/>
        <w:rPr>
          <w:rFonts w:ascii="Times New Roman" w:hAnsi="Times New Roman"/>
          <w:noProof/>
          <w:sz w:val="24"/>
          <w:szCs w:val="24"/>
          <w:lang w:val="fr-BE"/>
        </w:rPr>
      </w:pPr>
      <w:r>
        <w:rPr>
          <w:rFonts w:ascii="Times New Roman" w:hAnsi="Times New Roman"/>
          <w:noProof/>
          <w:sz w:val="24"/>
          <w:szCs w:val="24"/>
          <w:lang w:val="fr-BE"/>
        </w:rPr>
        <w:t xml:space="preserve">Conformément à l’article 8, paragraphe 1, du règlement FLEGT, les États membres sont tenus de présenter un rapport annuel portant sur l’année civile précédente. </w:t>
      </w:r>
    </w:p>
    <w:p>
      <w:pPr>
        <w:spacing w:line="240" w:lineRule="auto"/>
        <w:jc w:val="both"/>
        <w:rPr>
          <w:rFonts w:ascii="Times New Roman" w:hAnsi="Times New Roman"/>
          <w:noProof/>
          <w:sz w:val="24"/>
          <w:szCs w:val="24"/>
          <w:lang w:val="fr-BE"/>
        </w:rPr>
      </w:pPr>
      <w:r>
        <w:rPr>
          <w:rFonts w:ascii="Times New Roman" w:hAnsi="Times New Roman"/>
          <w:noProof/>
          <w:sz w:val="24"/>
          <w:szCs w:val="24"/>
          <w:lang w:val="fr-BE"/>
        </w:rPr>
        <w:t>Conformément à l’article 8, paragraphe 3, la Commission élabore et diffuse un rapport de synthèse annuel sur la base des informations fournies par les États membres dans leurs rapports annuels.</w:t>
      </w:r>
    </w:p>
    <w:p>
      <w:pPr>
        <w:spacing w:line="240" w:lineRule="auto"/>
        <w:jc w:val="both"/>
        <w:rPr>
          <w:rFonts w:ascii="Times New Roman" w:hAnsi="Times New Roman"/>
          <w:noProof/>
          <w:sz w:val="24"/>
          <w:szCs w:val="24"/>
          <w:lang w:val="fr-BE"/>
        </w:rPr>
      </w:pPr>
      <w:r>
        <w:rPr>
          <w:rFonts w:ascii="Times New Roman" w:hAnsi="Times New Roman"/>
          <w:noProof/>
          <w:sz w:val="24"/>
          <w:szCs w:val="24"/>
          <w:lang w:val="fr-BE"/>
        </w:rPr>
        <w:t>Ce deuxième rapport</w:t>
      </w:r>
      <w:r>
        <w:rPr>
          <w:rFonts w:ascii="Times New Roman" w:hAnsi="Times New Roman"/>
          <w:noProof/>
          <w:sz w:val="24"/>
          <w:szCs w:val="24"/>
          <w:vertAlign w:val="superscript"/>
        </w:rPr>
        <w:footnoteReference w:id="4"/>
      </w:r>
      <w:r>
        <w:rPr>
          <w:rFonts w:ascii="Times New Roman" w:hAnsi="Times New Roman"/>
          <w:noProof/>
          <w:sz w:val="24"/>
          <w:szCs w:val="24"/>
          <w:lang w:val="fr-BE"/>
        </w:rPr>
        <w:t xml:space="preserve"> contient une analyse de la première année complète de mise en œuvre du régime d’autorisation FLEGT dans l’UE, formule des conclusions et expose les prochaines étapes.</w:t>
      </w:r>
    </w:p>
    <w:p>
      <w:pPr>
        <w:spacing w:line="240" w:lineRule="auto"/>
        <w:jc w:val="both"/>
        <w:rPr>
          <w:rFonts w:ascii="Times New Roman" w:hAnsi="Times New Roman"/>
          <w:noProof/>
          <w:sz w:val="24"/>
          <w:szCs w:val="24"/>
          <w:lang w:val="fr-BE"/>
        </w:rPr>
      </w:pPr>
      <w:r>
        <w:rPr>
          <w:rFonts w:ascii="Times New Roman" w:hAnsi="Times New Roman"/>
          <w:noProof/>
          <w:sz w:val="24"/>
          <w:szCs w:val="24"/>
          <w:lang w:val="fr-BE"/>
        </w:rPr>
        <w:t>Une analyse plus détaillée des rapports nationaux, préparée pour la Commission par l’UNEP-WCMC, est disponible sur le site web de la Commission</w:t>
      </w:r>
      <w:r>
        <w:rPr>
          <w:rStyle w:val="FootnoteReference"/>
          <w:rFonts w:ascii="Times New Roman" w:hAnsi="Times New Roman"/>
          <w:noProof/>
          <w:sz w:val="24"/>
          <w:szCs w:val="24"/>
        </w:rPr>
        <w:footnoteReference w:id="5"/>
      </w:r>
      <w:r>
        <w:rPr>
          <w:rFonts w:ascii="Times New Roman" w:hAnsi="Times New Roman"/>
          <w:noProof/>
          <w:sz w:val="24"/>
          <w:szCs w:val="24"/>
          <w:lang w:val="fr-BE"/>
        </w:rPr>
        <w:t>. Elle indique que 21 États membres seulement ont soumis leur rapport dans le délai imparti.</w:t>
      </w:r>
    </w:p>
    <w:p>
      <w:pPr>
        <w:spacing w:line="270" w:lineRule="atLeast"/>
        <w:jc w:val="both"/>
        <w:rPr>
          <w:rFonts w:ascii="Times New Roman" w:hAnsi="Times New Roman"/>
          <w:noProof/>
          <w:sz w:val="24"/>
          <w:szCs w:val="24"/>
          <w:lang w:val="fr-BE"/>
        </w:rPr>
      </w:pPr>
      <w:r>
        <w:rPr>
          <w:rFonts w:ascii="Times New Roman" w:hAnsi="Times New Roman"/>
          <w:noProof/>
          <w:sz w:val="24"/>
          <w:szCs w:val="24"/>
          <w:lang w:val="fr-BE"/>
        </w:rPr>
        <w:t>Conformément à l’article 8, paragraphe 1, du règlement FLEGT, les États membres communiquent:</w:t>
      </w:r>
    </w:p>
    <w:p>
      <w:pPr>
        <w:numPr>
          <w:ilvl w:val="0"/>
          <w:numId w:val="10"/>
        </w:numPr>
        <w:spacing w:line="270" w:lineRule="atLeast"/>
        <w:jc w:val="both"/>
        <w:rPr>
          <w:rFonts w:ascii="Times New Roman" w:hAnsi="Times New Roman"/>
          <w:noProof/>
          <w:sz w:val="24"/>
          <w:szCs w:val="24"/>
          <w:lang w:val="fr-BE"/>
        </w:rPr>
      </w:pPr>
      <w:r>
        <w:rPr>
          <w:rFonts w:ascii="Times New Roman" w:hAnsi="Times New Roman"/>
          <w:noProof/>
          <w:sz w:val="24"/>
          <w:szCs w:val="24"/>
          <w:lang w:val="fr-BE"/>
        </w:rPr>
        <w:t>les quantités de bois et produits dérivés importés dans l’État membre dans le cadre du régime d’autorisation FLEGT, pour chacune des positions du système harmonisé (SH) énumérées aux annexes II et III, par pays partenaire;</w:t>
      </w:r>
    </w:p>
    <w:p>
      <w:pPr>
        <w:numPr>
          <w:ilvl w:val="0"/>
          <w:numId w:val="10"/>
        </w:numPr>
        <w:spacing w:line="270" w:lineRule="atLeast"/>
        <w:jc w:val="both"/>
        <w:rPr>
          <w:rFonts w:ascii="Times New Roman" w:hAnsi="Times New Roman"/>
          <w:noProof/>
          <w:sz w:val="24"/>
          <w:szCs w:val="24"/>
          <w:lang w:val="fr-BE"/>
        </w:rPr>
      </w:pPr>
      <w:r>
        <w:rPr>
          <w:rFonts w:ascii="Times New Roman" w:hAnsi="Times New Roman"/>
          <w:noProof/>
          <w:sz w:val="24"/>
          <w:szCs w:val="24"/>
          <w:lang w:val="fr-BE"/>
        </w:rPr>
        <w:t>le nombre d’autorisations FLEGT reçues</w:t>
      </w:r>
      <w:r>
        <w:rPr>
          <w:rFonts w:ascii="Times New Roman" w:hAnsi="Times New Roman"/>
          <w:noProof/>
          <w:sz w:val="24"/>
          <w:szCs w:val="24"/>
          <w:vertAlign w:val="superscript"/>
        </w:rPr>
        <w:footnoteReference w:id="6"/>
      </w:r>
      <w:r>
        <w:rPr>
          <w:rFonts w:ascii="Times New Roman" w:hAnsi="Times New Roman"/>
          <w:noProof/>
          <w:sz w:val="24"/>
          <w:szCs w:val="24"/>
          <w:lang w:val="fr-BE"/>
        </w:rPr>
        <w:t>, pour chacune des positions du SH énumérées aux annexes II et III, par pays partenaire;</w:t>
      </w:r>
    </w:p>
    <w:p>
      <w:pPr>
        <w:numPr>
          <w:ilvl w:val="0"/>
          <w:numId w:val="10"/>
        </w:numPr>
        <w:spacing w:line="270" w:lineRule="atLeast"/>
        <w:jc w:val="both"/>
        <w:rPr>
          <w:rFonts w:ascii="Times New Roman" w:hAnsi="Times New Roman"/>
          <w:noProof/>
          <w:sz w:val="24"/>
          <w:szCs w:val="24"/>
          <w:lang w:val="fr-BE"/>
        </w:rPr>
      </w:pPr>
      <w:r>
        <w:rPr>
          <w:rFonts w:ascii="Times New Roman" w:hAnsi="Times New Roman"/>
          <w:noProof/>
          <w:sz w:val="24"/>
          <w:szCs w:val="24"/>
          <w:lang w:val="fr-BE"/>
        </w:rPr>
        <w:t>le nombre de cas enregistrés et les quantités de bois et produits dérivés concernés en cas de recours à l’article 6, paragraphe 1 concernant les expéditions non couvertes par une autorisation FLEGT</w:t>
      </w:r>
      <w:r>
        <w:rPr>
          <w:rFonts w:ascii="Times New Roman" w:hAnsi="Times New Roman"/>
          <w:noProof/>
          <w:sz w:val="24"/>
          <w:szCs w:val="24"/>
          <w:vertAlign w:val="superscript"/>
        </w:rPr>
        <w:footnoteReference w:id="7"/>
      </w:r>
      <w:r>
        <w:rPr>
          <w:rFonts w:ascii="Times New Roman" w:hAnsi="Times New Roman"/>
          <w:noProof/>
          <w:sz w:val="24"/>
          <w:szCs w:val="24"/>
          <w:lang w:val="fr-BE"/>
        </w:rPr>
        <w:t xml:space="preserve">. </w:t>
      </w:r>
    </w:p>
    <w:p>
      <w:pPr>
        <w:spacing w:line="240" w:lineRule="auto"/>
        <w:jc w:val="both"/>
        <w:rPr>
          <w:rFonts w:ascii="Times New Roman" w:hAnsi="Times New Roman"/>
          <w:noProof/>
          <w:sz w:val="24"/>
          <w:szCs w:val="24"/>
          <w:lang w:val="fr-BE"/>
        </w:rPr>
      </w:pPr>
      <w:r>
        <w:rPr>
          <w:rFonts w:ascii="Times New Roman" w:hAnsi="Times New Roman"/>
          <w:noProof/>
          <w:sz w:val="24"/>
          <w:szCs w:val="24"/>
          <w:lang w:val="fr-BE"/>
        </w:rPr>
        <w:t>Afin de faciliter l’établissement des rapports par les États membres, la Commission a défini un modèle de rapport conformément à l’article 8, paragraphe 2. Afin de faciliter le suivi du régime d’autorisation FLEGT, ce modèle comporte non seulement les données requises en vertu de l’article 8, paragraphe 1, mais aussi des informations essentielles sur les obligations clés qui incombent aux États membres au titre du règlement FLEGT (par exemple, désignation des autorités compétentes ou détermination des sanctions), ainsi que des informations sur des aspects pratiques de la mise en œuvre du régime.</w:t>
      </w:r>
    </w:p>
    <w:p>
      <w:pPr>
        <w:spacing w:line="240" w:lineRule="auto"/>
        <w:jc w:val="both"/>
        <w:rPr>
          <w:rFonts w:ascii="Times New Roman" w:hAnsi="Times New Roman"/>
          <w:noProof/>
          <w:sz w:val="24"/>
          <w:szCs w:val="24"/>
          <w:lang w:val="fr-BE"/>
        </w:rPr>
      </w:pPr>
      <w:r>
        <w:rPr>
          <w:rFonts w:ascii="Times New Roman" w:hAnsi="Times New Roman"/>
          <w:noProof/>
          <w:sz w:val="24"/>
          <w:szCs w:val="24"/>
          <w:lang w:val="fr-BE"/>
        </w:rPr>
        <w:t>Le modèle de rapport a été mis à jour pour l’exercice d'établissement de rapports de 2017, en tenant compte de l’expérience pertinente acquise lors du premier exercice couvrant l’année 2016. Il a été approuvé en accord avec les États membres dans le cadre du groupe d’experts FLEGT/EUTR. En outre, pour réduire la charge administrative, les rapports ont été effectués au moyen d’une enquête en ligne, certaines sections ayant été remplies au préalable avec des renseignements fournis dans le rapport précédent.</w:t>
      </w:r>
    </w:p>
    <w:p>
      <w:pPr>
        <w:pStyle w:val="ListParagraph"/>
        <w:keepNext/>
        <w:keepLines/>
        <w:numPr>
          <w:ilvl w:val="0"/>
          <w:numId w:val="15"/>
        </w:numPr>
        <w:spacing w:line="270" w:lineRule="atLeast"/>
        <w:jc w:val="both"/>
        <w:outlineLvl w:val="1"/>
        <w:rPr>
          <w:rFonts w:ascii="Times New Roman" w:hAnsi="Times New Roman"/>
          <w:b/>
          <w:bCs/>
          <w:noProof/>
          <w:sz w:val="24"/>
          <w:szCs w:val="24"/>
          <w:lang w:val="fr-BE"/>
        </w:rPr>
      </w:pPr>
      <w:r>
        <w:rPr>
          <w:rFonts w:ascii="Times New Roman" w:hAnsi="Times New Roman"/>
          <w:b/>
          <w:bCs/>
          <w:noProof/>
          <w:sz w:val="24"/>
          <w:szCs w:val="24"/>
          <w:lang w:val="fr-BE"/>
        </w:rPr>
        <w:t>État d’avancement de la mise en œuvre</w:t>
      </w:r>
    </w:p>
    <w:p>
      <w:pPr>
        <w:spacing w:line="240" w:lineRule="auto"/>
        <w:jc w:val="both"/>
        <w:rPr>
          <w:rFonts w:ascii="Times New Roman" w:hAnsi="Times New Roman"/>
          <w:noProof/>
          <w:sz w:val="24"/>
          <w:szCs w:val="24"/>
          <w:lang w:val="fr-BE"/>
        </w:rPr>
      </w:pPr>
      <w:r>
        <w:rPr>
          <w:rFonts w:ascii="Times New Roman" w:hAnsi="Times New Roman"/>
          <w:noProof/>
          <w:sz w:val="24"/>
          <w:szCs w:val="24"/>
          <w:lang w:val="fr-BE"/>
        </w:rPr>
        <w:t>Le règlement FLEGT exige que les États membres désignent une ou plusieurs autorités compétentes et qu’ils adoptent des sanctions effectives, proportionnées et dissuasives afin de faire respecter le règlement. Les rapports nationaux permettent d’évaluer l’état de mise en œuvre et le degré de cohérence entre les États membres.</w:t>
      </w:r>
    </w:p>
    <w:p>
      <w:pPr>
        <w:pStyle w:val="ListParagraph"/>
        <w:keepNext/>
        <w:keepLines/>
        <w:numPr>
          <w:ilvl w:val="1"/>
          <w:numId w:val="15"/>
        </w:numPr>
        <w:spacing w:before="240" w:line="270" w:lineRule="atLeast"/>
        <w:jc w:val="both"/>
        <w:outlineLvl w:val="0"/>
        <w:rPr>
          <w:rFonts w:ascii="Times New Roman" w:hAnsi="Times New Roman"/>
          <w:b/>
          <w:noProof/>
          <w:sz w:val="24"/>
          <w:szCs w:val="24"/>
        </w:rPr>
      </w:pPr>
      <w:bookmarkStart w:id="6" w:name="_Toc485222991"/>
      <w:r>
        <w:rPr>
          <w:rFonts w:ascii="Times New Roman" w:hAnsi="Times New Roman"/>
          <w:b/>
          <w:noProof/>
          <w:sz w:val="24"/>
          <w:szCs w:val="24"/>
        </w:rPr>
        <w:t>Désignation des autorités compétentes</w:t>
      </w:r>
      <w:bookmarkEnd w:id="6"/>
    </w:p>
    <w:p>
      <w:pPr>
        <w:spacing w:line="240" w:lineRule="auto"/>
        <w:jc w:val="both"/>
        <w:rPr>
          <w:rFonts w:ascii="Times New Roman" w:eastAsia="Times New Roman" w:hAnsi="Times New Roman"/>
          <w:noProof/>
          <w:sz w:val="24"/>
          <w:szCs w:val="24"/>
          <w:lang w:val="fr-BE"/>
        </w:rPr>
      </w:pPr>
      <w:r>
        <w:rPr>
          <w:rFonts w:ascii="Times New Roman" w:hAnsi="Times New Roman"/>
          <w:noProof/>
          <w:sz w:val="24"/>
          <w:szCs w:val="24"/>
          <w:lang w:val="fr-BE"/>
        </w:rPr>
        <w:t>Conformément à l’article 7, paragraphe 1, du règlement FLEGT, tous les États membres ont désigné une ou plusieurs autorités compétentes (AC)</w:t>
      </w:r>
      <w:r>
        <w:rPr>
          <w:rFonts w:ascii="Times New Roman" w:hAnsi="Times New Roman"/>
          <w:noProof/>
          <w:sz w:val="24"/>
          <w:szCs w:val="24"/>
          <w:vertAlign w:val="superscript"/>
          <w:lang w:eastAsia="en-GB"/>
        </w:rPr>
        <w:footnoteReference w:id="8"/>
      </w:r>
      <w:r>
        <w:rPr>
          <w:rFonts w:ascii="Times New Roman" w:hAnsi="Times New Roman"/>
          <w:noProof/>
          <w:sz w:val="24"/>
          <w:szCs w:val="24"/>
          <w:lang w:val="fr-BE"/>
        </w:rPr>
        <w:t>, et tous les États membres ayant transmis un rapport, à une exception près (le Portugal), ont fourni des informations sur l’acte législatif désignant ces AC.</w:t>
      </w:r>
    </w:p>
    <w:p>
      <w:pPr>
        <w:spacing w:line="240" w:lineRule="auto"/>
        <w:jc w:val="both"/>
        <w:rPr>
          <w:rFonts w:ascii="Times New Roman" w:hAnsi="Times New Roman"/>
          <w:noProof/>
          <w:sz w:val="24"/>
          <w:szCs w:val="24"/>
          <w:lang w:val="fr-BE"/>
        </w:rPr>
      </w:pPr>
      <w:r>
        <w:rPr>
          <w:rFonts w:ascii="Times New Roman" w:hAnsi="Times New Roman"/>
          <w:noProof/>
          <w:sz w:val="24"/>
          <w:szCs w:val="24"/>
          <w:lang w:val="fr-BE"/>
        </w:rPr>
        <w:t>Dans neuf États membres, les autorités douanières ont été désignées comme l’autorité compétente, ou comme l’une des autorités compétentes, pour les autorisations FLEGT. Dans dix-neuf États membres, les douanes et l’AC sont des autorités distinctes. Dans ces États membres, il importe de prévoir des dispositions pour garantir que les autorités puissent coopérer efficacement aux fins du traitement des autorisations FLEGT, l’AC devant être en mesure de déléguer certaines tâches pertinentes aux douanes et d’obtenir les informations requises pour vérifier qu’une autorisation FLEGT correspond à une expédition donnée. Cette délégation de tâches a été établie dans tous ces États membres, soit par un accord, soit par un protocole d’accord. La fréquence et l’organisation des échanges de données variaient selon les États membres.</w:t>
      </w:r>
    </w:p>
    <w:p>
      <w:pPr>
        <w:pStyle w:val="ListParagraph"/>
        <w:keepNext/>
        <w:keepLines/>
        <w:numPr>
          <w:ilvl w:val="1"/>
          <w:numId w:val="15"/>
        </w:numPr>
        <w:spacing w:before="240" w:line="270" w:lineRule="atLeast"/>
        <w:jc w:val="both"/>
        <w:outlineLvl w:val="0"/>
        <w:rPr>
          <w:rFonts w:ascii="Times New Roman" w:hAnsi="Times New Roman"/>
          <w:b/>
          <w:noProof/>
          <w:sz w:val="24"/>
          <w:szCs w:val="24"/>
          <w:lang w:val="fr-BE"/>
        </w:rPr>
      </w:pPr>
      <w:r>
        <w:rPr>
          <w:rFonts w:ascii="Times New Roman" w:hAnsi="Times New Roman"/>
          <w:b/>
          <w:noProof/>
          <w:sz w:val="24"/>
          <w:szCs w:val="24"/>
          <w:lang w:val="fr-BE"/>
        </w:rPr>
        <w:t xml:space="preserve">Quantités de bois importées et nombre </w:t>
      </w:r>
      <w:bookmarkStart w:id="7" w:name="_Toc485222992"/>
      <w:r>
        <w:rPr>
          <w:rFonts w:ascii="Times New Roman" w:hAnsi="Times New Roman"/>
          <w:b/>
          <w:noProof/>
          <w:sz w:val="24"/>
          <w:szCs w:val="24"/>
          <w:lang w:val="fr-BE"/>
        </w:rPr>
        <w:t>d’autorisations FLEGT concernées</w:t>
      </w:r>
      <w:bookmarkEnd w:id="7"/>
    </w:p>
    <w:p>
      <w:pPr>
        <w:spacing w:line="240" w:lineRule="auto"/>
        <w:jc w:val="both"/>
        <w:rPr>
          <w:rFonts w:ascii="Times New Roman" w:hAnsi="Times New Roman"/>
          <w:i/>
          <w:noProof/>
          <w:sz w:val="24"/>
          <w:szCs w:val="24"/>
          <w:lang w:val="fr-BE"/>
        </w:rPr>
      </w:pPr>
      <w:r>
        <w:rPr>
          <w:rFonts w:ascii="Times New Roman" w:hAnsi="Times New Roman"/>
          <w:i/>
          <w:noProof/>
          <w:sz w:val="24"/>
          <w:szCs w:val="24"/>
          <w:lang w:val="fr-BE"/>
        </w:rPr>
        <w:t>Nombre d’autorisations</w:t>
      </w:r>
    </w:p>
    <w:p>
      <w:pPr>
        <w:spacing w:line="240" w:lineRule="auto"/>
        <w:jc w:val="both"/>
        <w:rPr>
          <w:rFonts w:ascii="Times New Roman" w:hAnsi="Times New Roman"/>
          <w:noProof/>
          <w:sz w:val="24"/>
          <w:szCs w:val="24"/>
          <w:lang w:val="fr-BE"/>
        </w:rPr>
      </w:pPr>
      <w:r>
        <w:rPr>
          <w:rFonts w:ascii="Times New Roman" w:hAnsi="Times New Roman"/>
          <w:noProof/>
          <w:sz w:val="24"/>
          <w:szCs w:val="24"/>
          <w:lang w:val="fr-BE"/>
        </w:rPr>
        <w:t>En 2017, 26 États membres (tous les États membres sauf la Lettonie et le Luxembourg) ont reçu des autorisations FLEGT. Au total, 28 826 autorisations FLEGT ont été déclarées comme ayant été reçues, le nombre d’autorisations variant considérablement selon les États membres (graphique 1). Plus de 98 % (28 467) des autorisations FLEGT reçues ont été validées/approuvées par les autorités compétentes.</w:t>
      </w:r>
    </w:p>
    <w:p>
      <w:pPr>
        <w:keepNext/>
        <w:spacing w:line="270" w:lineRule="atLeast"/>
        <w:jc w:val="both"/>
        <w:rPr>
          <w:noProof/>
        </w:rPr>
      </w:pPr>
      <w:r>
        <w:rPr>
          <w:noProof/>
          <w:lang w:eastAsia="en-GB"/>
        </w:rPr>
        <w:drawing>
          <wp:inline distT="0" distB="0" distL="0" distR="0">
            <wp:extent cx="5760720" cy="3188777"/>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60720" cy="3188777"/>
                    </a:xfrm>
                    <a:prstGeom prst="rect">
                      <a:avLst/>
                    </a:prstGeom>
                    <a:noFill/>
                    <a:ln>
                      <a:noFill/>
                    </a:ln>
                  </pic:spPr>
                </pic:pic>
              </a:graphicData>
            </a:graphic>
          </wp:inline>
        </w:drawing>
      </w:r>
    </w:p>
    <w:p>
      <w:pPr>
        <w:pStyle w:val="Caption"/>
        <w:tabs>
          <w:tab w:val="left" w:pos="840"/>
        </w:tabs>
        <w:ind w:left="851" w:hanging="851"/>
        <w:jc w:val="both"/>
        <w:rPr>
          <w:rFonts w:ascii="Times New Roman" w:hAnsi="Times New Roman"/>
          <w:noProof/>
          <w:color w:val="auto"/>
          <w:sz w:val="20"/>
          <w:szCs w:val="20"/>
          <w:lang w:val="fr-BE"/>
        </w:rPr>
      </w:pPr>
      <w:r>
        <w:rPr>
          <w:rFonts w:ascii="Times New Roman" w:hAnsi="Times New Roman"/>
          <w:b/>
          <w:i w:val="0"/>
          <w:noProof/>
          <w:color w:val="auto"/>
          <w:sz w:val="20"/>
          <w:szCs w:val="20"/>
          <w:lang w:val="fr-BE"/>
        </w:rPr>
        <w:t>Graphique </w:t>
      </w:r>
      <w:r>
        <w:rPr>
          <w:rFonts w:ascii="Times New Roman" w:hAnsi="Times New Roman"/>
          <w:b/>
          <w:i w:val="0"/>
          <w:noProof/>
          <w:color w:val="auto"/>
          <w:sz w:val="20"/>
          <w:szCs w:val="20"/>
        </w:rPr>
        <w:fldChar w:fldCharType="begin"/>
      </w:r>
      <w:r>
        <w:rPr>
          <w:rFonts w:ascii="Times New Roman" w:hAnsi="Times New Roman"/>
          <w:b/>
          <w:i w:val="0"/>
          <w:noProof/>
          <w:color w:val="auto"/>
          <w:sz w:val="20"/>
          <w:szCs w:val="20"/>
          <w:lang w:val="fr-BE"/>
        </w:rPr>
        <w:instrText xml:space="preserve"> SEQ Figure \* ARABIC </w:instrText>
      </w:r>
      <w:r>
        <w:rPr>
          <w:rFonts w:ascii="Times New Roman" w:hAnsi="Times New Roman"/>
          <w:b/>
          <w:i w:val="0"/>
          <w:noProof/>
          <w:color w:val="auto"/>
          <w:sz w:val="20"/>
          <w:szCs w:val="20"/>
        </w:rPr>
        <w:fldChar w:fldCharType="separate"/>
      </w:r>
      <w:r>
        <w:rPr>
          <w:rFonts w:ascii="Times New Roman" w:hAnsi="Times New Roman"/>
          <w:b/>
          <w:i w:val="0"/>
          <w:noProof/>
          <w:color w:val="auto"/>
          <w:sz w:val="20"/>
          <w:szCs w:val="20"/>
          <w:lang w:val="fr-BE"/>
        </w:rPr>
        <w:t>1</w:t>
      </w:r>
      <w:r>
        <w:rPr>
          <w:rFonts w:ascii="Times New Roman" w:hAnsi="Times New Roman"/>
          <w:b/>
          <w:i w:val="0"/>
          <w:noProof/>
          <w:color w:val="auto"/>
          <w:sz w:val="20"/>
          <w:szCs w:val="20"/>
        </w:rPr>
        <w:fldChar w:fldCharType="end"/>
      </w:r>
      <w:r>
        <w:rPr>
          <w:rFonts w:ascii="Times New Roman" w:hAnsi="Times New Roman"/>
          <w:noProof/>
          <w:color w:val="auto"/>
          <w:sz w:val="20"/>
          <w:szCs w:val="20"/>
          <w:lang w:val="fr-BE"/>
        </w:rPr>
        <w:t>:</w:t>
      </w:r>
      <w:r>
        <w:rPr>
          <w:rFonts w:ascii="Times New Roman" w:hAnsi="Times New Roman"/>
          <w:noProof/>
          <w:color w:val="auto"/>
          <w:sz w:val="20"/>
          <w:szCs w:val="20"/>
          <w:lang w:val="fr-BE"/>
        </w:rPr>
        <w:tab/>
      </w:r>
      <w:r>
        <w:rPr>
          <w:rFonts w:ascii="Times New Roman" w:hAnsi="Times New Roman"/>
          <w:i w:val="0"/>
          <w:noProof/>
          <w:color w:val="auto"/>
          <w:sz w:val="20"/>
          <w:szCs w:val="20"/>
          <w:lang w:val="fr-BE"/>
        </w:rPr>
        <w:t>Nombre d’autorisations FLEGT reçues en 2017.</w:t>
      </w:r>
    </w:p>
    <w:p>
      <w:pPr>
        <w:spacing w:line="270" w:lineRule="atLeast"/>
        <w:jc w:val="both"/>
        <w:rPr>
          <w:rFonts w:ascii="Times New Roman" w:hAnsi="Times New Roman"/>
          <w:i/>
          <w:noProof/>
          <w:sz w:val="24"/>
          <w:szCs w:val="24"/>
          <w:lang w:val="fr-BE"/>
        </w:rPr>
      </w:pPr>
      <w:r>
        <w:rPr>
          <w:rFonts w:ascii="Times New Roman" w:hAnsi="Times New Roman"/>
          <w:i/>
          <w:noProof/>
          <w:sz w:val="24"/>
          <w:szCs w:val="24"/>
          <w:lang w:val="fr-BE"/>
        </w:rPr>
        <w:t>Quantités importées</w:t>
      </w:r>
    </w:p>
    <w:p>
      <w:pPr>
        <w:spacing w:line="270" w:lineRule="atLeast"/>
        <w:jc w:val="both"/>
        <w:rPr>
          <w:rFonts w:ascii="Times New Roman" w:hAnsi="Times New Roman"/>
          <w:noProof/>
          <w:sz w:val="24"/>
          <w:szCs w:val="24"/>
          <w:lang w:val="fr-BE"/>
        </w:rPr>
      </w:pPr>
      <w:r>
        <w:rPr>
          <w:rFonts w:ascii="Times New Roman" w:hAnsi="Times New Roman"/>
          <w:noProof/>
          <w:sz w:val="24"/>
          <w:szCs w:val="24"/>
          <w:lang w:val="fr-BE"/>
        </w:rPr>
        <w:t>Plus de 658 millions de kg de bois et de produits dérivés faisant l’objet d’autorisations FLEGT ont été déclarés sur les autorisations FLEGT validées en 2017</w:t>
      </w:r>
      <w:r>
        <w:rPr>
          <w:rStyle w:val="FootnoteReference"/>
          <w:rFonts w:ascii="Times New Roman" w:hAnsi="Times New Roman"/>
          <w:noProof/>
          <w:color w:val="000000" w:themeColor="text1"/>
          <w:sz w:val="24"/>
          <w:szCs w:val="24"/>
        </w:rPr>
        <w:footnoteReference w:id="9"/>
      </w:r>
      <w:r>
        <w:rPr>
          <w:rFonts w:ascii="Times New Roman" w:hAnsi="Times New Roman"/>
          <w:noProof/>
          <w:sz w:val="24"/>
          <w:szCs w:val="24"/>
          <w:vertAlign w:val="superscript"/>
          <w:lang w:val="fr-BE"/>
        </w:rPr>
        <w:t>,</w:t>
      </w:r>
      <w:r>
        <w:rPr>
          <w:rStyle w:val="FootnoteReference"/>
          <w:rFonts w:ascii="Times New Roman" w:hAnsi="Times New Roman"/>
          <w:noProof/>
          <w:sz w:val="24"/>
          <w:szCs w:val="24"/>
          <w:lang w:eastAsia="en-GB"/>
        </w:rPr>
        <w:footnoteReference w:id="10"/>
      </w:r>
      <w:r>
        <w:rPr>
          <w:rFonts w:ascii="Times New Roman" w:hAnsi="Times New Roman"/>
          <w:noProof/>
          <w:sz w:val="24"/>
          <w:szCs w:val="24"/>
          <w:lang w:val="fr-BE"/>
        </w:rPr>
        <w:t>. Les principaux types de produits faisant l’objet d’autorisations FLEGT importés dans l’UE en poids comprenaient les produits en papier (SH 4802 et 4803), le mobilier (SH 9403 et 9401), les bois contreplaqués, les bois plaqués et les bois stratifiés similaires (SH 4412), les ouvrages de menuiserie et pièces de charpente pour construction (SH 4418) ainsi que les bois profilés (SH 4409) (graphique 2). Le graphique 3 montre les principaux États membres importateurs de ces produits.</w:t>
      </w:r>
    </w:p>
    <w:p>
      <w:pPr>
        <w:spacing w:line="270" w:lineRule="atLeast"/>
        <w:jc w:val="both"/>
        <w:rPr>
          <w:rFonts w:ascii="Times New Roman" w:hAnsi="Times New Roman"/>
          <w:noProof/>
          <w:sz w:val="24"/>
          <w:szCs w:val="24"/>
        </w:rPr>
      </w:pPr>
      <w:r>
        <w:rPr>
          <w:rFonts w:ascii="Times New Roman" w:hAnsi="Times New Roman"/>
          <w:noProof/>
          <w:sz w:val="24"/>
          <w:szCs w:val="24"/>
          <w:lang w:eastAsia="en-GB"/>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5303682</wp:posOffset>
                </wp:positionV>
                <wp:extent cx="3104707" cy="295275"/>
                <wp:effectExtent l="0" t="0" r="635" b="9525"/>
                <wp:wrapNone/>
                <wp:docPr id="9" name="Text Box 9"/>
                <wp:cNvGraphicFramePr/>
                <a:graphic xmlns:a="http://schemas.openxmlformats.org/drawingml/2006/main">
                  <a:graphicData uri="http://schemas.microsoft.com/office/word/2010/wordprocessingShape">
                    <wps:wsp>
                      <wps:cNvSpPr txBox="1"/>
                      <wps:spPr>
                        <a:xfrm>
                          <a:off x="0" y="0"/>
                          <a:ext cx="3104707" cy="2952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pPr>
                              <w:spacing w:line="270" w:lineRule="atLeast"/>
                              <w:rPr>
                                <w:rFonts w:asciiTheme="minorHAnsi" w:hAnsiTheme="minorHAnsi"/>
                                <w:sz w:val="18"/>
                                <w:szCs w:val="18"/>
                                <w:lang w:val="fr-BE"/>
                              </w:rPr>
                            </w:pPr>
                            <w:r>
                              <w:rPr>
                                <w:rFonts w:asciiTheme="minorHAnsi" w:hAnsiTheme="minorHAnsi"/>
                                <w:iCs/>
                                <w:sz w:val="18"/>
                                <w:szCs w:val="18"/>
                                <w:lang w:val="fr-BE"/>
                              </w:rPr>
                              <w:t>*Bois contre-plaqués, bois plaqués et bois stratifiés similaires.</w:t>
                            </w:r>
                          </w:p>
                          <w:p>
                            <w:pPr>
                              <w:rPr>
                                <w:rFonts w:asciiTheme="minorHAnsi" w:hAnsiTheme="minorHAnsi"/>
                                <w:sz w:val="18"/>
                                <w:szCs w:val="18"/>
                                <w:lang w:val="fr-B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9" o:spid="_x0000_s1026" type="#_x0000_t202" style="position:absolute;left:0;text-align:left;margin-left:.3pt;margin-top:417.6pt;width:244.45pt;height:23.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" fillcolor="white [3201]" stroked="f" strokeweight=".5pt">
                <v:textbox>
                  <w:txbxContent>
                    <w:p>
                      <w:pPr>
                        <w:spacing w:line="270" w:lineRule="atLeast"/>
                        <w:rPr>
                          <w:rFonts w:asciiTheme="minorHAnsi" w:hAnsiTheme="minorHAnsi"/>
                          <w:sz w:val="18"/>
                          <w:szCs w:val="18"/>
                          <w:lang w:val="fr-BE"/>
                        </w:rPr>
                      </w:pPr>
                      <w:r>
                        <w:rPr>
                          <w:rFonts w:asciiTheme="minorHAnsi" w:hAnsiTheme="minorHAnsi"/>
                          <w:iCs/>
                          <w:sz w:val="18"/>
                          <w:szCs w:val="18"/>
                          <w:lang w:val="fr-BE"/>
                        </w:rPr>
                        <w:t>*Bois contre-plaqués, bois plaqués et bois stratifiés similaires.</w:t>
                      </w:r>
                    </w:p>
                    <w:p>
                      <w:pPr>
                        <w:rPr>
                          <w:rFonts w:asciiTheme="minorHAnsi" w:hAnsiTheme="minorHAnsi"/>
                          <w:sz w:val="18"/>
                          <w:szCs w:val="18"/>
                          <w:lang w:val="fr-BE"/>
                        </w:rPr>
                      </w:pPr>
                    </w:p>
                  </w:txbxContent>
                </v:textbox>
              </v:shape>
            </w:pict>
          </mc:Fallback>
        </mc:AlternateContent>
      </w:r>
      <w:r>
        <w:rPr>
          <w:noProof/>
          <w:lang w:eastAsia="en-GB"/>
        </w:rPr>
        <w:drawing>
          <wp:inline distT="0" distB="0" distL="0" distR="0">
            <wp:extent cx="5759177" cy="5736566"/>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60720" cy="5738102"/>
                    </a:xfrm>
                    <a:prstGeom prst="rect">
                      <a:avLst/>
                    </a:prstGeom>
                    <a:noFill/>
                    <a:ln>
                      <a:noFill/>
                    </a:ln>
                  </pic:spPr>
                </pic:pic>
              </a:graphicData>
            </a:graphic>
          </wp:inline>
        </w:drawing>
      </w:r>
    </w:p>
    <w:p>
      <w:pPr>
        <w:keepNext/>
        <w:ind w:left="851" w:hanging="851"/>
        <w:jc w:val="both"/>
        <w:rPr>
          <w:rFonts w:ascii="Times New Roman" w:hAnsi="Times New Roman"/>
          <w:iCs/>
          <w:noProof/>
          <w:sz w:val="20"/>
          <w:szCs w:val="20"/>
          <w:lang w:val="fr-BE"/>
        </w:rPr>
      </w:pPr>
      <w:r>
        <w:rPr>
          <w:rFonts w:ascii="Times New Roman" w:hAnsi="Times New Roman"/>
          <w:b/>
          <w:iCs/>
          <w:noProof/>
          <w:sz w:val="20"/>
          <w:szCs w:val="20"/>
          <w:lang w:val="fr-BE"/>
        </w:rPr>
        <w:t>Graphique 2</w:t>
      </w:r>
      <w:r>
        <w:rPr>
          <w:rFonts w:ascii="Times New Roman" w:hAnsi="Times New Roman"/>
          <w:iCs/>
          <w:noProof/>
          <w:sz w:val="20"/>
          <w:szCs w:val="20"/>
          <w:lang w:val="fr-BE"/>
        </w:rPr>
        <w:t xml:space="preserve">: Quantités de produits faisant l’objet d’autorisations FLEGT déclarées par code SH** sur les autorisations FLEGT validées en provenance d’Indonésie à destination de l’UE en 2017, déclarées en poids (kg)*** (voir annexe A pour la désignation complète des codes SH). </w:t>
      </w:r>
      <w:r>
        <w:rPr>
          <w:rFonts w:ascii="Times New Roman" w:hAnsi="Times New Roman"/>
          <w:noProof/>
          <w:sz w:val="16"/>
          <w:szCs w:val="16"/>
          <w:lang w:val="fr-BE"/>
        </w:rPr>
        <w:t>** Lorsque cela est possible, les codes SH ont été rapprochés à six chiffres; les codes SH à quatre chiffres ne comprennent que les échanges déclarés par les États membres au niveau à quatre chiffres.</w:t>
      </w:r>
      <w:r>
        <w:rPr>
          <w:rFonts w:asciiTheme="minorHAnsi" w:hAnsiTheme="minorHAnsi"/>
          <w:noProof/>
          <w:sz w:val="16"/>
          <w:szCs w:val="16"/>
          <w:lang w:val="fr-BE"/>
        </w:rPr>
        <w:t xml:space="preserve"> </w:t>
      </w:r>
      <w:r>
        <w:rPr>
          <w:rFonts w:ascii="Times New Roman" w:hAnsi="Times New Roman"/>
          <w:iCs/>
          <w:noProof/>
          <w:sz w:val="20"/>
          <w:szCs w:val="20"/>
          <w:lang w:val="fr-BE"/>
        </w:rPr>
        <w:t xml:space="preserve"> </w:t>
      </w:r>
      <w:r>
        <w:rPr>
          <w:rFonts w:ascii="Times New Roman" w:hAnsi="Times New Roman"/>
          <w:noProof/>
          <w:lang w:val="fr-BE"/>
        </w:rPr>
        <w:t>*** La quantité a été déclarée en poids sur 28 331 autorisations FLEGT (&gt; 99 %), ce qui peut ne pas être représentatif de l’ensemble des échanges.</w:t>
      </w:r>
    </w:p>
    <w:p>
      <w:pPr>
        <w:spacing w:line="270" w:lineRule="atLeast"/>
        <w:jc w:val="both"/>
        <w:rPr>
          <w:rFonts w:ascii="Times New Roman" w:hAnsi="Times New Roman"/>
          <w:noProof/>
          <w:sz w:val="24"/>
          <w:szCs w:val="24"/>
          <w:lang w:val="fr-BE"/>
        </w:rPr>
      </w:pPr>
    </w:p>
    <w:p>
      <w:pPr>
        <w:keepNext/>
        <w:spacing w:line="270" w:lineRule="atLeast"/>
        <w:jc w:val="both"/>
        <w:rPr>
          <w:noProof/>
        </w:rPr>
      </w:pPr>
      <w:r>
        <w:rPr>
          <w:noProof/>
          <w:lang w:eastAsia="en-GB"/>
        </w:rPr>
        <w:drawing>
          <wp:inline distT="0" distB="0" distL="0" distR="0">
            <wp:extent cx="5760720" cy="2492962"/>
            <wp:effectExtent l="0" t="0" r="0" b="317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60720" cy="2492962"/>
                    </a:xfrm>
                    <a:prstGeom prst="rect">
                      <a:avLst/>
                    </a:prstGeom>
                    <a:noFill/>
                    <a:ln>
                      <a:noFill/>
                    </a:ln>
                  </pic:spPr>
                </pic:pic>
              </a:graphicData>
            </a:graphic>
          </wp:inline>
        </w:drawing>
      </w:r>
    </w:p>
    <w:p>
      <w:pPr>
        <w:pStyle w:val="Caption"/>
        <w:spacing w:after="0"/>
        <w:ind w:left="851" w:hanging="851"/>
        <w:jc w:val="both"/>
        <w:rPr>
          <w:rFonts w:ascii="Times New Roman" w:hAnsi="Times New Roman"/>
          <w:i w:val="0"/>
          <w:noProof/>
          <w:color w:val="auto"/>
          <w:sz w:val="20"/>
          <w:szCs w:val="20"/>
          <w:lang w:val="fr-BE"/>
        </w:rPr>
      </w:pPr>
      <w:r>
        <w:rPr>
          <w:rFonts w:ascii="Times New Roman" w:hAnsi="Times New Roman"/>
          <w:b/>
          <w:i w:val="0"/>
          <w:noProof/>
          <w:color w:val="auto"/>
          <w:sz w:val="20"/>
          <w:szCs w:val="20"/>
          <w:lang w:val="fr-BE"/>
        </w:rPr>
        <w:t>Graphique 3</w:t>
      </w:r>
      <w:r>
        <w:rPr>
          <w:rFonts w:ascii="Times New Roman" w:hAnsi="Times New Roman"/>
          <w:i w:val="0"/>
          <w:noProof/>
          <w:color w:val="auto"/>
          <w:sz w:val="20"/>
          <w:szCs w:val="20"/>
          <w:lang w:val="fr-BE"/>
        </w:rPr>
        <w:t>:</w:t>
      </w:r>
      <w:r>
        <w:rPr>
          <w:rFonts w:ascii="Times New Roman" w:hAnsi="Times New Roman"/>
          <w:i w:val="0"/>
          <w:noProof/>
          <w:color w:val="auto"/>
          <w:sz w:val="20"/>
          <w:szCs w:val="20"/>
          <w:lang w:val="fr-BE"/>
        </w:rPr>
        <w:tab/>
        <w:t xml:space="preserve">Principaux États membres de l’UE importateurs des six principaux groupes de produits faisant l’objet d’autorisations FLEGT déclarés par code SH* sur les autorisations FLEGT validées en provenance d’Indonésie en 2017, déclarés en poids (kg) (voir l’annexe A pour la désignation complète des codes SH). </w:t>
      </w:r>
      <w:r>
        <w:rPr>
          <w:rFonts w:ascii="Times New Roman" w:hAnsi="Times New Roman"/>
          <w:i w:val="0"/>
          <w:noProof/>
          <w:color w:val="auto"/>
          <w:sz w:val="16"/>
          <w:szCs w:val="16"/>
          <w:lang w:val="fr-BE"/>
        </w:rPr>
        <w:t>* Lorsque cela est possible, les codes SH ont été rapprochés à six chiffres; les codes SH à quatre chiffres ne comprennent que les échanges déclarés par les États membres au niveau à quatre chiffres.</w:t>
      </w:r>
      <w:r>
        <w:rPr>
          <w:rFonts w:asciiTheme="minorHAnsi" w:hAnsiTheme="minorHAnsi"/>
          <w:noProof/>
          <w:color w:val="auto"/>
          <w:sz w:val="16"/>
          <w:szCs w:val="16"/>
          <w:lang w:val="fr-BE"/>
        </w:rPr>
        <w:t xml:space="preserve"> </w:t>
      </w:r>
    </w:p>
    <w:p>
      <w:pPr>
        <w:ind w:left="851"/>
        <w:rPr>
          <w:noProof/>
          <w:lang w:val="fr-BE"/>
        </w:rPr>
      </w:pPr>
    </w:p>
    <w:p>
      <w:pPr>
        <w:spacing w:line="270" w:lineRule="atLeast"/>
        <w:jc w:val="both"/>
        <w:rPr>
          <w:rFonts w:ascii="Times New Roman" w:hAnsi="Times New Roman"/>
          <w:i/>
          <w:noProof/>
          <w:sz w:val="24"/>
          <w:szCs w:val="24"/>
          <w:lang w:val="fr-BE"/>
        </w:rPr>
      </w:pPr>
      <w:r>
        <w:rPr>
          <w:rFonts w:ascii="Times New Roman" w:hAnsi="Times New Roman"/>
          <w:i/>
          <w:noProof/>
          <w:sz w:val="24"/>
          <w:szCs w:val="24"/>
          <w:lang w:val="fr-BE"/>
        </w:rPr>
        <w:t>Taxons importés</w:t>
      </w:r>
    </w:p>
    <w:p>
      <w:pPr>
        <w:spacing w:line="270" w:lineRule="atLeast"/>
        <w:jc w:val="both"/>
        <w:rPr>
          <w:rFonts w:ascii="Times New Roman" w:hAnsi="Times New Roman"/>
          <w:noProof/>
          <w:sz w:val="24"/>
          <w:szCs w:val="24"/>
          <w:lang w:val="fr-BE"/>
        </w:rPr>
      </w:pPr>
      <w:r>
        <w:rPr>
          <w:rFonts w:ascii="Times New Roman" w:hAnsi="Times New Roman"/>
          <w:noProof/>
          <w:sz w:val="24"/>
          <w:szCs w:val="24"/>
          <w:lang w:val="fr-BE"/>
        </w:rPr>
        <w:t xml:space="preserve">Des informations sur les taxons dans le commerce ont été fournies par 23 des 26 États membres ayant déclaré des échanges en 2017. La Hongrie, les Pays-Bas et le Royaume-Uni, qui représentaient ensemble 311,1 millions de kg de bois sur les autorisations FLEGT validées, n’ont pas fourni d’informations sur les espèces commercialisées. En outre, plus de 498 000 kg de bois sur les autorisations FLEGT validées ont été déclarés sans taxons par les 23 autres États membres. </w:t>
      </w:r>
    </w:p>
    <w:p>
      <w:pPr>
        <w:spacing w:line="270" w:lineRule="atLeast"/>
        <w:jc w:val="both"/>
        <w:rPr>
          <w:rFonts w:ascii="Times New Roman" w:hAnsi="Times New Roman"/>
          <w:noProof/>
          <w:sz w:val="24"/>
          <w:szCs w:val="24"/>
          <w:lang w:val="fr-BE"/>
        </w:rPr>
      </w:pPr>
      <w:r>
        <w:rPr>
          <w:rFonts w:ascii="Times New Roman" w:hAnsi="Times New Roman"/>
          <w:noProof/>
          <w:sz w:val="24"/>
          <w:szCs w:val="24"/>
          <w:lang w:val="fr-BE"/>
        </w:rPr>
        <w:t xml:space="preserve">Au total, en 2017, 115 espèces différentes et 57 taxons supérieurs (par exemple, des genres) ont été déclarés individuellement sur les autorisations FLEGT validées (soit 176,5 millions de kg), ainsi que 170,7 millions de kg supplémentaires d’envois de taxons mixtes. Lorsque des taxons individuels étaient spécifiés, les taxons les plus commercialisés en poids étaient </w:t>
      </w:r>
      <w:r>
        <w:rPr>
          <w:rFonts w:ascii="Times New Roman" w:hAnsi="Times New Roman"/>
          <w:i/>
          <w:noProof/>
          <w:sz w:val="24"/>
          <w:szCs w:val="24"/>
          <w:lang w:val="fr-BE"/>
        </w:rPr>
        <w:t>Acacia mangium</w:t>
      </w:r>
      <w:r>
        <w:rPr>
          <w:rFonts w:ascii="Times New Roman" w:hAnsi="Times New Roman"/>
          <w:noProof/>
          <w:sz w:val="24"/>
          <w:szCs w:val="24"/>
          <w:lang w:val="fr-BE"/>
        </w:rPr>
        <w:t xml:space="preserve"> (mangium), </w:t>
      </w:r>
      <w:r>
        <w:rPr>
          <w:rFonts w:ascii="Times New Roman" w:hAnsi="Times New Roman"/>
          <w:i/>
          <w:noProof/>
          <w:sz w:val="24"/>
          <w:szCs w:val="24"/>
          <w:lang w:val="fr-BE"/>
        </w:rPr>
        <w:t>Shorea</w:t>
      </w:r>
      <w:r>
        <w:rPr>
          <w:rFonts w:ascii="Times New Roman" w:hAnsi="Times New Roman"/>
          <w:noProof/>
          <w:sz w:val="24"/>
          <w:szCs w:val="24"/>
          <w:lang w:val="fr-BE"/>
        </w:rPr>
        <w:t xml:space="preserve"> (meranti) et </w:t>
      </w:r>
      <w:r>
        <w:rPr>
          <w:rFonts w:ascii="Times New Roman" w:hAnsi="Times New Roman"/>
          <w:i/>
          <w:noProof/>
          <w:sz w:val="24"/>
          <w:szCs w:val="24"/>
          <w:lang w:val="fr-BE"/>
        </w:rPr>
        <w:t>Tectona grandis</w:t>
      </w:r>
      <w:r>
        <w:rPr>
          <w:rFonts w:ascii="Times New Roman" w:hAnsi="Times New Roman"/>
          <w:noProof/>
          <w:sz w:val="24"/>
          <w:szCs w:val="24"/>
          <w:lang w:val="fr-BE"/>
        </w:rPr>
        <w:t xml:space="preserve"> (teck).</w:t>
      </w:r>
    </w:p>
    <w:p>
      <w:pPr>
        <w:spacing w:line="240" w:lineRule="auto"/>
        <w:jc w:val="both"/>
        <w:rPr>
          <w:rFonts w:ascii="Times New Roman" w:hAnsi="Times New Roman"/>
          <w:noProof/>
          <w:sz w:val="24"/>
          <w:szCs w:val="24"/>
          <w:lang w:val="fr-BE"/>
        </w:rPr>
      </w:pPr>
      <w:r>
        <w:rPr>
          <w:rFonts w:ascii="Times New Roman" w:hAnsi="Times New Roman"/>
          <w:i/>
          <w:noProof/>
          <w:sz w:val="24"/>
          <w:szCs w:val="24"/>
          <w:lang w:val="fr-BE"/>
        </w:rPr>
        <w:t>Traitement des autorisations FLEGT</w:t>
      </w:r>
    </w:p>
    <w:p>
      <w:pPr>
        <w:spacing w:line="240" w:lineRule="auto"/>
        <w:jc w:val="both"/>
        <w:rPr>
          <w:rFonts w:ascii="Times New Roman" w:hAnsi="Times New Roman"/>
          <w:noProof/>
          <w:sz w:val="24"/>
          <w:szCs w:val="24"/>
          <w:lang w:val="fr-BE"/>
        </w:rPr>
      </w:pPr>
      <w:r>
        <w:rPr>
          <w:rFonts w:ascii="Times New Roman" w:hAnsi="Times New Roman"/>
          <w:noProof/>
          <w:sz w:val="24"/>
          <w:szCs w:val="24"/>
          <w:lang w:val="fr-BE"/>
        </w:rPr>
        <w:t>Le système FLEGIT/TRACES</w:t>
      </w:r>
      <w:r>
        <w:rPr>
          <w:rStyle w:val="FootnoteReference"/>
          <w:rFonts w:ascii="Times New Roman" w:hAnsi="Times New Roman"/>
          <w:noProof/>
          <w:sz w:val="24"/>
          <w:szCs w:val="24"/>
        </w:rPr>
        <w:footnoteReference w:id="11"/>
      </w:r>
      <w:r>
        <w:rPr>
          <w:rFonts w:ascii="Times New Roman" w:hAnsi="Times New Roman"/>
          <w:noProof/>
          <w:sz w:val="24"/>
          <w:szCs w:val="24"/>
          <w:lang w:val="fr-BE"/>
        </w:rPr>
        <w:t xml:space="preserve"> a été utilisé pour traiter les autorisations FLEGT dans 20 États membres, tandis que 9 États membres ont utilisé des systèmes nationaux; l’Autriche a déclaré utiliser à la fois FLEGIT/TRACES et un système national. Les États membres ont également fait rapport sur le format dans lequel les autorisations FLEGT ont été soumises; quatorze États membres ont déclaré avoir reçu des autorisations FLEGT dans plus d’un format. Au total, 19 États membres ont déclaré avoir soumis des autorisations sur papier, 18 des autorisations transmises par FLEGIT/TRACES, 3 par des systèmes électroniques nationaux et 2 par e-mail. </w:t>
      </w:r>
    </w:p>
    <w:p>
      <w:pPr>
        <w:pStyle w:val="ListParagraph"/>
        <w:numPr>
          <w:ilvl w:val="1"/>
          <w:numId w:val="15"/>
        </w:numPr>
        <w:spacing w:line="240" w:lineRule="auto"/>
        <w:jc w:val="both"/>
        <w:rPr>
          <w:rFonts w:ascii="Times New Roman" w:hAnsi="Times New Roman"/>
          <w:b/>
          <w:noProof/>
          <w:sz w:val="24"/>
          <w:szCs w:val="24"/>
          <w:lang w:val="fr-BE"/>
        </w:rPr>
      </w:pPr>
      <w:r>
        <w:rPr>
          <w:rFonts w:ascii="Times New Roman" w:hAnsi="Times New Roman"/>
          <w:b/>
          <w:noProof/>
          <w:sz w:val="24"/>
          <w:szCs w:val="24"/>
          <w:lang w:val="fr-BE"/>
        </w:rPr>
        <w:t>Vérification plus approfondie des autorisations et transferts FLEGT</w:t>
      </w:r>
    </w:p>
    <w:p>
      <w:pPr>
        <w:spacing w:line="270" w:lineRule="atLeast"/>
        <w:jc w:val="both"/>
        <w:rPr>
          <w:rFonts w:ascii="Times New Roman" w:hAnsi="Times New Roman"/>
          <w:noProof/>
          <w:sz w:val="24"/>
          <w:szCs w:val="24"/>
          <w:lang w:val="fr-BE"/>
        </w:rPr>
      </w:pPr>
      <w:r>
        <w:rPr>
          <w:rFonts w:ascii="Times New Roman" w:hAnsi="Times New Roman"/>
          <w:noProof/>
          <w:sz w:val="24"/>
          <w:szCs w:val="24"/>
          <w:lang w:val="fr-BE"/>
        </w:rPr>
        <w:t>Conformément à l’article 5, paragraphe 4, du règlement FLEGT, les AC décident de la nécessité de soumettre les expéditions à des vérifications plus approfondies au moyen d’une approche fondée sur les risques. Des dispositions sont en place dans 22 États membres pour effectuer des vérifications plus approfondies des autorisations FLEGT et dans 23 États membres pour effectuer des vérifications plus approfondies des transferts FLEGT (annexe B, tableaux 1 et 2). Au total, 1 144 autorisations FLEGT ont fait l’objet de vérifications supplémentaires en 2017 (par exemple en contactant la LUI, l’unité indonésienne d’information sur les autorisations, pour des vérifications complémentaires), les vérifications étant effectuées par 17 États membres.</w:t>
      </w:r>
      <w:r>
        <w:rPr>
          <w:noProof/>
          <w:lang w:val="fr-BE"/>
        </w:rPr>
        <w:t xml:space="preserve"> </w:t>
      </w:r>
      <w:r>
        <w:rPr>
          <w:rFonts w:ascii="Times New Roman" w:hAnsi="Times New Roman"/>
          <w:noProof/>
          <w:sz w:val="24"/>
          <w:szCs w:val="24"/>
          <w:lang w:val="fr-BE"/>
        </w:rPr>
        <w:t>En outre, les Pays-Bas ont indiqué qu’ils procédaient quotidiennement à des vérifications supplémentaires, mais n’ont pas enregistré le nombre de contrôles afin de limiter la charge administrative.</w:t>
      </w:r>
    </w:p>
    <w:p>
      <w:pPr>
        <w:spacing w:line="270" w:lineRule="atLeast"/>
        <w:jc w:val="both"/>
        <w:rPr>
          <w:rFonts w:ascii="Times New Roman" w:hAnsi="Times New Roman"/>
          <w:noProof/>
          <w:sz w:val="24"/>
          <w:szCs w:val="24"/>
          <w:lang w:val="fr-BE"/>
        </w:rPr>
      </w:pPr>
      <w:r>
        <w:rPr>
          <w:rFonts w:ascii="Times New Roman" w:hAnsi="Times New Roman"/>
          <w:noProof/>
          <w:sz w:val="24"/>
          <w:szCs w:val="24"/>
          <w:lang w:val="fr-BE"/>
        </w:rPr>
        <w:t>Les États membres ont indiqué appliquer un certain nombre de critères de risque pour déterminer si une vérification complémentaire des autorisations FLEGT ou des expéditions est nécessaire, notamment en cas de divergence entre les informations figurant dans l’autorisation FLEGT et d’autres sources d’information, (annexe B, tableaux 1 et 2).</w:t>
      </w:r>
      <w:r>
        <w:rPr>
          <w:noProof/>
          <w:lang w:val="fr-BE"/>
        </w:rPr>
        <w:t xml:space="preserve"> </w:t>
      </w:r>
      <w:r>
        <w:rPr>
          <w:rFonts w:ascii="Times New Roman" w:hAnsi="Times New Roman"/>
          <w:noProof/>
          <w:sz w:val="24"/>
          <w:szCs w:val="24"/>
          <w:lang w:val="fr-BE"/>
        </w:rPr>
        <w:t>Dix-neuf États membres ont déclaré utiliser SILK, le système indonésien d’information sur la légalité du bois, pour vérifier les autorisations FLEGT qu’ils ont reçues des opérateurs, six de ces États membres ayant déclaré utiliser «parfois» SILK.</w:t>
      </w:r>
    </w:p>
    <w:p>
      <w:pPr>
        <w:spacing w:line="270" w:lineRule="atLeast"/>
        <w:jc w:val="both"/>
        <w:rPr>
          <w:rFonts w:ascii="Times New Roman" w:hAnsi="Times New Roman"/>
          <w:noProof/>
          <w:sz w:val="24"/>
          <w:szCs w:val="24"/>
          <w:lang w:val="fr-BE"/>
        </w:rPr>
      </w:pPr>
      <w:r>
        <w:rPr>
          <w:rFonts w:ascii="Times New Roman" w:hAnsi="Times New Roman"/>
          <w:noProof/>
          <w:sz w:val="24"/>
          <w:szCs w:val="24"/>
          <w:lang w:val="fr-BE"/>
        </w:rPr>
        <w:t>Au total, 218 inspections physiques des expéditions couvertes par une autorisation FLEGT ont été effectuées par 12 États membres en 2017, l’expédition correspondant aux détails de l’autorisation FLEGT dans 94,6 % des cas.</w:t>
      </w:r>
    </w:p>
    <w:p>
      <w:pPr>
        <w:spacing w:line="270" w:lineRule="atLeast"/>
        <w:jc w:val="both"/>
        <w:rPr>
          <w:rFonts w:ascii="Times New Roman" w:hAnsi="Times New Roman"/>
          <w:bCs/>
          <w:iCs/>
          <w:noProof/>
          <w:sz w:val="24"/>
          <w:szCs w:val="24"/>
          <w:lang w:val="fr-BE"/>
        </w:rPr>
      </w:pPr>
      <w:r>
        <w:rPr>
          <w:rFonts w:ascii="Times New Roman" w:hAnsi="Times New Roman"/>
          <w:bCs/>
          <w:iCs/>
          <w:noProof/>
          <w:sz w:val="24"/>
          <w:szCs w:val="24"/>
          <w:lang w:val="fr-BE"/>
        </w:rPr>
        <w:t>Conformément à l’article 3, paragraphe 2, du règlement (CE) n° 1024/2008, la Commission a transmis, et continue de transmettre le cas échéant, aux États membres le nom des autorités de délivrance désignées par l’Indonésie et d’autres informations utiles concernant ces dernières, des spécimens authentiques des cachets et signatures pour chacune de ces autorités, ainsi qu’un modèle de l’autorisation FLEGT utilisée par l’Indonésie.</w:t>
      </w:r>
    </w:p>
    <w:p>
      <w:pPr>
        <w:pStyle w:val="ListParagraph"/>
        <w:numPr>
          <w:ilvl w:val="1"/>
          <w:numId w:val="15"/>
        </w:numPr>
        <w:spacing w:line="240" w:lineRule="auto"/>
        <w:jc w:val="both"/>
        <w:rPr>
          <w:rFonts w:ascii="Times New Roman" w:hAnsi="Times New Roman"/>
          <w:b/>
          <w:noProof/>
          <w:sz w:val="24"/>
          <w:szCs w:val="24"/>
        </w:rPr>
      </w:pPr>
      <w:r>
        <w:rPr>
          <w:rFonts w:ascii="Times New Roman" w:hAnsi="Times New Roman"/>
          <w:b/>
          <w:noProof/>
          <w:sz w:val="24"/>
          <w:szCs w:val="24"/>
        </w:rPr>
        <w:t>Dispositions relatives aux sanctions</w:t>
      </w:r>
    </w:p>
    <w:p>
      <w:pPr>
        <w:spacing w:line="270" w:lineRule="atLeast"/>
        <w:jc w:val="both"/>
        <w:rPr>
          <w:rFonts w:ascii="Times New Roman" w:hAnsi="Times New Roman"/>
          <w:noProof/>
          <w:sz w:val="24"/>
          <w:szCs w:val="24"/>
          <w:lang w:val="fr-BE"/>
        </w:rPr>
      </w:pPr>
      <w:r>
        <w:rPr>
          <w:rFonts w:ascii="Times New Roman" w:hAnsi="Times New Roman"/>
          <w:noProof/>
          <w:sz w:val="24"/>
          <w:szCs w:val="24"/>
          <w:lang w:val="fr-BE"/>
        </w:rPr>
        <w:t>L’article 5, paragraphe 8, du règlement FLEGT dispose que «</w:t>
      </w:r>
      <w:r>
        <w:rPr>
          <w:rFonts w:ascii="Times New Roman" w:hAnsi="Times New Roman"/>
          <w:i/>
          <w:noProof/>
          <w:sz w:val="24"/>
          <w:szCs w:val="24"/>
          <w:lang w:val="fr-BE"/>
        </w:rPr>
        <w:t>[c]haque État membre détermine les sanctions à imposer en cas de violation des dispositions du présent règlement. Ces sanctions sont effectives, proportionnées et dissuasives».</w:t>
      </w:r>
      <w:r>
        <w:rPr>
          <w:rFonts w:ascii="Times New Roman" w:hAnsi="Times New Roman"/>
          <w:noProof/>
          <w:sz w:val="24"/>
          <w:szCs w:val="24"/>
          <w:lang w:val="fr-BE"/>
        </w:rPr>
        <w:t xml:space="preserve"> Dix-huit États membres ont mis en place des dispositions prévoyant des amendes administratives, 16 des amendes pénales, 20 des peines d’emprisonnement, 5 des suspensions de l’autorisation de commercer et 8 des avis de mesures correctives ou des lettres d’avertissement. Les peines d’emprisonnement maximales encourues vont de 1 mois à 15 ans (16 États membres ont indiqué des peines maximales encourues de 1 à 5 ans).</w:t>
      </w:r>
    </w:p>
    <w:p>
      <w:pPr>
        <w:spacing w:line="270" w:lineRule="atLeast"/>
        <w:jc w:val="both"/>
        <w:rPr>
          <w:rFonts w:ascii="Times New Roman" w:hAnsi="Times New Roman"/>
          <w:noProof/>
          <w:sz w:val="24"/>
          <w:szCs w:val="24"/>
          <w:lang w:val="fr-BE"/>
        </w:rPr>
      </w:pPr>
      <w:r>
        <w:rPr>
          <w:rFonts w:ascii="Times New Roman" w:hAnsi="Times New Roman"/>
          <w:noProof/>
          <w:sz w:val="24"/>
          <w:szCs w:val="24"/>
          <w:lang w:val="fr-BE"/>
        </w:rPr>
        <w:t>Conformément à l’article 5, paragraphe 7, du règlement FLEGT, les autorités douanières peuvent suspendre la mise en libre pratique ou saisir des bois et produits dérivés si elles ont des raisons de croire que l’autorisation pourrait ne pas être valable. Vingt-trois États membres ont déclaré qu’ils pouvaient saisir des produits dérivés du bois et 21 États membres ont indiqué que l’élimination du bois confisqué est prévue par leur législation nationale (graphique 4). Lorsque l’élimination du bois confisqué est prévue par la législation nationale, dix États membres ont déclaré que cette responsabilité incombait aux douanes et cinq États membres ont déclaré qu’elle incombait à l’AC.</w:t>
      </w:r>
    </w:p>
    <w:p>
      <w:pPr>
        <w:keepNext/>
        <w:spacing w:line="270" w:lineRule="atLeast"/>
        <w:jc w:val="both"/>
        <w:rPr>
          <w:rFonts w:ascii="Times New Roman" w:hAnsi="Times New Roman"/>
          <w:bCs/>
          <w:noProof/>
          <w:sz w:val="24"/>
          <w:szCs w:val="24"/>
        </w:rPr>
      </w:pPr>
      <w:r>
        <w:rPr>
          <w:noProof/>
          <w:lang w:eastAsia="en-GB"/>
        </w:rPr>
        <mc:AlternateContent>
          <mc:Choice Requires="wps">
            <w:drawing>
              <wp:anchor distT="45720" distB="45720" distL="114300" distR="114300" simplePos="0" relativeHeight="251659264" behindDoc="0" locked="0" layoutInCell="1" allowOverlap="1">
                <wp:simplePos x="0" y="0"/>
                <wp:positionH relativeFrom="margin">
                  <wp:posOffset>-262255</wp:posOffset>
                </wp:positionH>
                <wp:positionV relativeFrom="paragraph">
                  <wp:posOffset>2044700</wp:posOffset>
                </wp:positionV>
                <wp:extent cx="5657850" cy="435610"/>
                <wp:effectExtent l="4445"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7850" cy="435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spacing w:line="270" w:lineRule="atLeast"/>
                              <w:ind w:left="360"/>
                              <w:rPr>
                                <w:color w:val="6C8911"/>
                                <w:sz w:val="28"/>
                              </w:rPr>
                            </w:pPr>
                            <w:r>
                              <w:rPr>
                                <w:color w:val="6C8911"/>
                                <w:sz w:val="28"/>
                              </w:rPr>
                              <w:t>A)                                                                           B)</w:t>
                            </w:r>
                            <w:r>
                              <w:t xml:space="preserve"> </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left:0;text-align:left;margin-left:-20.65pt;margin-top:161pt;width:445.5pt;height:34.3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" filled="f" stroked="f">
                <v:textbox style="mso-fit-shape-to-text:t">
                  <w:txbxContent>
                    <w:p>
                      <w:pPr>
                        <w:spacing w:line="270" w:lineRule="atLeast"/>
                        <w:ind w:left="360"/>
                        <w:rPr>
                          <w:color w:val="6C8911"/>
                          <w:sz w:val="28"/>
                        </w:rPr>
                      </w:pPr>
                      <w:r>
                        <w:rPr>
                          <w:color w:val="6C8911"/>
                          <w:sz w:val="28"/>
                        </w:rPr>
                        <w:t>A)                                                                           B)</w:t>
                      </w:r>
                      <w:r>
                        <w:t xml:space="preserve"> </w:t>
                      </w:r>
                    </w:p>
                  </w:txbxContent>
                </v:textbox>
                <w10:wrap anchorx="margin"/>
              </v:shape>
            </w:pict>
          </mc:Fallback>
        </mc:AlternateContent>
      </w:r>
      <w:r>
        <w:rPr>
          <w:noProof/>
          <w:lang w:val="fr-BE"/>
        </w:rPr>
        <w:t xml:space="preserve"> </w:t>
      </w:r>
      <w:r>
        <w:rPr>
          <w:noProof/>
          <w:lang w:eastAsia="en-GB"/>
        </w:rPr>
        <w:drawing>
          <wp:inline distT="0" distB="0" distL="0" distR="0">
            <wp:extent cx="2530549" cy="2706385"/>
            <wp:effectExtent l="0" t="0" r="3175" b="0"/>
            <wp:docPr id="26" name="Picture 26" descr="\\NET1.cec.eu.int\homes\102\wartoli\Desktop\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NET1.cec.eu.int\homes\102\wartoli\Desktop\2.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530729" cy="2706577"/>
                    </a:xfrm>
                    <a:prstGeom prst="rect">
                      <a:avLst/>
                    </a:prstGeom>
                    <a:noFill/>
                    <a:ln>
                      <a:noFill/>
                    </a:ln>
                  </pic:spPr>
                </pic:pic>
              </a:graphicData>
            </a:graphic>
          </wp:inline>
        </w:drawing>
      </w:r>
      <w:r>
        <w:rPr>
          <w:rFonts w:ascii="Times New Roman" w:hAnsi="Times New Roman"/>
          <w:noProof/>
          <w:sz w:val="24"/>
          <w:szCs w:val="24"/>
          <w:lang w:val="fr-BE"/>
        </w:rPr>
        <w:t xml:space="preserve">                </w:t>
      </w:r>
      <w:r>
        <w:rPr>
          <w:noProof/>
          <w:lang w:eastAsia="en-GB"/>
        </w:rPr>
        <w:drawing>
          <wp:inline distT="0" distB="0" distL="0" distR="0">
            <wp:extent cx="2509283" cy="2725298"/>
            <wp:effectExtent l="0" t="0" r="5715" b="0"/>
            <wp:docPr id="24" name="Picture 24" descr="\\NET1.cec.eu.int\homes\102\wartoli\Desktop\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NET1.cec.eu.int\homes\102\wartoli\Desktop\3.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509584" cy="2725625"/>
                    </a:xfrm>
                    <a:prstGeom prst="rect">
                      <a:avLst/>
                    </a:prstGeom>
                    <a:noFill/>
                    <a:ln>
                      <a:noFill/>
                    </a:ln>
                  </pic:spPr>
                </pic:pic>
              </a:graphicData>
            </a:graphic>
          </wp:inline>
        </w:drawing>
      </w:r>
    </w:p>
    <w:p>
      <w:pPr>
        <w:spacing w:after="0" w:line="270" w:lineRule="atLeast"/>
        <w:ind w:left="851" w:hanging="851"/>
        <w:jc w:val="both"/>
        <w:rPr>
          <w:rFonts w:ascii="Times New Roman" w:hAnsi="Times New Roman"/>
          <w:noProof/>
          <w:sz w:val="20"/>
          <w:szCs w:val="20"/>
          <w:lang w:val="fr-BE"/>
        </w:rPr>
      </w:pPr>
      <w:r>
        <w:rPr>
          <w:rFonts w:ascii="Times New Roman" w:hAnsi="Times New Roman"/>
          <w:b/>
          <w:bCs/>
          <w:noProof/>
          <w:sz w:val="20"/>
          <w:szCs w:val="20"/>
          <w:lang w:val="fr-BE"/>
        </w:rPr>
        <w:t>Graphique 4:</w:t>
      </w:r>
      <w:r>
        <w:rPr>
          <w:rFonts w:ascii="Times New Roman" w:hAnsi="Times New Roman"/>
          <w:b/>
          <w:noProof/>
          <w:sz w:val="20"/>
          <w:szCs w:val="20"/>
          <w:lang w:val="fr-BE"/>
        </w:rPr>
        <w:t xml:space="preserve"> </w:t>
      </w:r>
      <w:r>
        <w:rPr>
          <w:rFonts w:ascii="Times New Roman" w:hAnsi="Times New Roman"/>
          <w:noProof/>
          <w:sz w:val="20"/>
          <w:szCs w:val="20"/>
          <w:lang w:val="fr-BE"/>
        </w:rPr>
        <w:t>États membres (A) appliquant des sanctions comprenant la saisie ou la confiscation des expéditions de bois, (B) ayant des dispositions relatives à l’élimination du bois confisqué établies dans leur législation nationale.</w:t>
      </w:r>
    </w:p>
    <w:p>
      <w:pPr>
        <w:spacing w:after="0" w:line="270" w:lineRule="atLeast"/>
        <w:jc w:val="both"/>
        <w:rPr>
          <w:rFonts w:ascii="Times New Roman" w:hAnsi="Times New Roman"/>
          <w:noProof/>
          <w:sz w:val="20"/>
          <w:szCs w:val="20"/>
          <w:lang w:val="fr-BE" w:eastAsia="en-GB"/>
        </w:rPr>
      </w:pPr>
    </w:p>
    <w:p>
      <w:pPr>
        <w:pStyle w:val="ListParagraph"/>
        <w:numPr>
          <w:ilvl w:val="1"/>
          <w:numId w:val="15"/>
        </w:numPr>
        <w:spacing w:line="240" w:lineRule="auto"/>
        <w:jc w:val="both"/>
        <w:rPr>
          <w:rFonts w:ascii="Times New Roman" w:hAnsi="Times New Roman"/>
          <w:b/>
          <w:noProof/>
          <w:sz w:val="24"/>
          <w:szCs w:val="24"/>
        </w:rPr>
      </w:pPr>
      <w:bookmarkStart w:id="8" w:name="_Toc485222993"/>
      <w:r>
        <w:rPr>
          <w:rFonts w:ascii="Times New Roman" w:hAnsi="Times New Roman"/>
          <w:b/>
          <w:noProof/>
          <w:sz w:val="24"/>
          <w:szCs w:val="24"/>
        </w:rPr>
        <w:t>Sanctions appliquées</w:t>
      </w:r>
    </w:p>
    <w:p>
      <w:pPr>
        <w:spacing w:line="240" w:lineRule="auto"/>
        <w:jc w:val="both"/>
        <w:rPr>
          <w:rFonts w:ascii="Times New Roman" w:hAnsi="Times New Roman"/>
          <w:noProof/>
          <w:sz w:val="24"/>
          <w:szCs w:val="24"/>
          <w:lang w:val="fr-BE"/>
        </w:rPr>
      </w:pPr>
      <w:r>
        <w:rPr>
          <w:rFonts w:ascii="Times New Roman" w:hAnsi="Times New Roman"/>
          <w:noProof/>
          <w:sz w:val="24"/>
          <w:szCs w:val="24"/>
          <w:lang w:val="fr-BE"/>
        </w:rPr>
        <w:t>En 2017, 11 États membres ont déclaré ne pas avoir approuvé</w:t>
      </w:r>
      <w:r>
        <w:rPr>
          <w:rStyle w:val="FootnoteReference"/>
          <w:rFonts w:ascii="Times New Roman" w:hAnsi="Times New Roman"/>
          <w:noProof/>
          <w:sz w:val="24"/>
          <w:szCs w:val="24"/>
          <w:lang w:eastAsia="en-GB"/>
        </w:rPr>
        <w:footnoteReference w:id="12"/>
      </w:r>
      <w:r>
        <w:rPr>
          <w:rFonts w:ascii="Times New Roman" w:hAnsi="Times New Roman"/>
          <w:noProof/>
          <w:sz w:val="24"/>
          <w:szCs w:val="24"/>
          <w:lang w:val="fr-BE"/>
        </w:rPr>
        <w:t xml:space="preserve"> un total combiné de 107 autorisations FLEGT, l'Italie étant le pays avec le plus grand nombre d'autorisations non approuvées (63) (graphique 5). Deux États membres (l’Autriche et l’Estonie) ont appliqué l’article 6, paragraphe 1</w:t>
      </w:r>
      <w:r>
        <w:rPr>
          <w:rStyle w:val="FootnoteReference"/>
          <w:rFonts w:ascii="Times New Roman" w:hAnsi="Times New Roman"/>
          <w:noProof/>
          <w:sz w:val="24"/>
          <w:szCs w:val="24"/>
          <w:lang w:eastAsia="en-GB"/>
        </w:rPr>
        <w:footnoteReference w:id="13"/>
      </w:r>
      <w:r>
        <w:rPr>
          <w:rFonts w:ascii="Times New Roman" w:hAnsi="Times New Roman"/>
          <w:noProof/>
          <w:sz w:val="24"/>
          <w:szCs w:val="24"/>
          <w:lang w:val="fr-BE"/>
        </w:rPr>
        <w:t xml:space="preserve"> à un total combiné de quatre cas représentant un poids de 4 475 kg en 2017, qui ont tous donné lieu à des sanctions administratives. Un État membre (l'Allemagne) a appliqué l’article 6, paragraphe 2</w:t>
      </w:r>
      <w:r>
        <w:rPr>
          <w:rStyle w:val="FootnoteReference"/>
          <w:rFonts w:ascii="Times New Roman" w:hAnsi="Times New Roman"/>
          <w:noProof/>
          <w:sz w:val="24"/>
          <w:szCs w:val="24"/>
          <w:lang w:eastAsia="en-GB"/>
        </w:rPr>
        <w:footnoteReference w:id="14"/>
      </w:r>
      <w:r>
        <w:rPr>
          <w:rFonts w:ascii="Times New Roman" w:hAnsi="Times New Roman"/>
          <w:noProof/>
          <w:sz w:val="24"/>
          <w:szCs w:val="24"/>
          <w:lang w:val="fr-BE"/>
        </w:rPr>
        <w:t>, en raison d’une prétendue autorisation contrefaite.</w:t>
      </w:r>
    </w:p>
    <w:p>
      <w:pPr>
        <w:spacing w:line="240" w:lineRule="auto"/>
        <w:jc w:val="both"/>
        <w:rPr>
          <w:rFonts w:ascii="Times New Roman" w:hAnsi="Times New Roman"/>
          <w:noProof/>
          <w:sz w:val="24"/>
          <w:szCs w:val="24"/>
          <w:lang w:val="fr-BE" w:eastAsia="en-GB"/>
        </w:rPr>
      </w:pPr>
    </w:p>
    <w:p>
      <w:pPr>
        <w:spacing w:after="0" w:line="240" w:lineRule="auto"/>
        <w:jc w:val="both"/>
        <w:rPr>
          <w:rFonts w:ascii="Times New Roman" w:hAnsi="Times New Roman"/>
          <w:b/>
          <w:noProof/>
          <w:sz w:val="24"/>
          <w:szCs w:val="24"/>
        </w:rPr>
      </w:pPr>
      <w:r>
        <w:rPr>
          <w:noProof/>
          <w:lang w:val="fr-BE"/>
        </w:rPr>
        <w:t xml:space="preserve"> </w:t>
      </w:r>
      <w:r>
        <w:rPr>
          <w:noProof/>
          <w:lang w:eastAsia="en-GB"/>
        </w:rPr>
        <w:drawing>
          <wp:inline distT="0" distB="0" distL="0" distR="0">
            <wp:extent cx="5760720" cy="3121769"/>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760720" cy="3121769"/>
                    </a:xfrm>
                    <a:prstGeom prst="rect">
                      <a:avLst/>
                    </a:prstGeom>
                    <a:noFill/>
                    <a:ln>
                      <a:noFill/>
                    </a:ln>
                  </pic:spPr>
                </pic:pic>
              </a:graphicData>
            </a:graphic>
          </wp:inline>
        </w:drawing>
      </w:r>
    </w:p>
    <w:p>
      <w:pPr>
        <w:tabs>
          <w:tab w:val="left" w:pos="851"/>
        </w:tabs>
        <w:spacing w:after="0" w:line="270" w:lineRule="atLeast"/>
        <w:jc w:val="both"/>
        <w:rPr>
          <w:rFonts w:ascii="Times New Roman" w:hAnsi="Times New Roman"/>
          <w:noProof/>
          <w:sz w:val="20"/>
          <w:szCs w:val="20"/>
          <w:lang w:val="fr-BE"/>
        </w:rPr>
      </w:pPr>
      <w:r>
        <w:rPr>
          <w:rFonts w:ascii="Times New Roman" w:hAnsi="Times New Roman"/>
          <w:b/>
          <w:bCs/>
          <w:noProof/>
          <w:sz w:val="20"/>
          <w:szCs w:val="20"/>
          <w:lang w:val="fr-BE"/>
        </w:rPr>
        <w:t>Graphique 5:</w:t>
      </w:r>
      <w:r>
        <w:rPr>
          <w:rFonts w:ascii="Times New Roman" w:hAnsi="Times New Roman"/>
          <w:b/>
          <w:noProof/>
          <w:sz w:val="20"/>
          <w:szCs w:val="20"/>
          <w:lang w:val="fr-BE"/>
        </w:rPr>
        <w:t xml:space="preserve"> </w:t>
      </w:r>
      <w:r>
        <w:rPr>
          <w:rFonts w:ascii="Times New Roman" w:hAnsi="Times New Roman"/>
          <w:noProof/>
          <w:sz w:val="20"/>
          <w:szCs w:val="20"/>
          <w:lang w:val="fr-BE"/>
        </w:rPr>
        <w:t>Nombre d’autorisations FLEGT non approuvées en 2017.</w:t>
      </w:r>
    </w:p>
    <w:p>
      <w:pPr>
        <w:spacing w:after="0" w:line="270" w:lineRule="atLeast"/>
        <w:jc w:val="both"/>
        <w:rPr>
          <w:rFonts w:ascii="Times New Roman" w:hAnsi="Times New Roman"/>
          <w:noProof/>
          <w:sz w:val="20"/>
          <w:szCs w:val="20"/>
          <w:lang w:val="fr-BE" w:eastAsia="en-GB"/>
        </w:rPr>
      </w:pPr>
    </w:p>
    <w:p>
      <w:pPr>
        <w:pStyle w:val="ListParagraph"/>
        <w:numPr>
          <w:ilvl w:val="1"/>
          <w:numId w:val="15"/>
        </w:numPr>
        <w:spacing w:line="270" w:lineRule="atLeast"/>
        <w:jc w:val="both"/>
        <w:rPr>
          <w:rFonts w:ascii="Times New Roman" w:hAnsi="Times New Roman"/>
          <w:b/>
          <w:noProof/>
          <w:sz w:val="24"/>
          <w:szCs w:val="24"/>
          <w:lang w:val="fr-BE"/>
        </w:rPr>
      </w:pPr>
      <w:bookmarkStart w:id="9" w:name="_Toc485222994"/>
      <w:bookmarkEnd w:id="8"/>
      <w:r>
        <w:rPr>
          <w:rFonts w:ascii="Times New Roman" w:hAnsi="Times New Roman"/>
          <w:b/>
          <w:noProof/>
          <w:sz w:val="24"/>
          <w:szCs w:val="24"/>
          <w:lang w:val="fr-BE"/>
        </w:rPr>
        <w:t>Droits</w:t>
      </w:r>
      <w:bookmarkEnd w:id="9"/>
      <w:r>
        <w:rPr>
          <w:rFonts w:ascii="Times New Roman" w:hAnsi="Times New Roman"/>
          <w:b/>
          <w:noProof/>
          <w:sz w:val="24"/>
          <w:szCs w:val="24"/>
          <w:lang w:val="fr-BE"/>
        </w:rPr>
        <w:t xml:space="preserve"> pour le traitement des autorisations FLEGT</w:t>
      </w:r>
    </w:p>
    <w:p>
      <w:pPr>
        <w:spacing w:line="270" w:lineRule="atLeast"/>
        <w:jc w:val="both"/>
        <w:rPr>
          <w:rFonts w:ascii="Times New Roman" w:hAnsi="Times New Roman"/>
          <w:noProof/>
          <w:sz w:val="24"/>
          <w:szCs w:val="24"/>
          <w:lang w:val="fr-BE"/>
        </w:rPr>
      </w:pPr>
      <w:r>
        <w:rPr>
          <w:rFonts w:ascii="Times New Roman" w:hAnsi="Times New Roman"/>
          <w:noProof/>
          <w:sz w:val="24"/>
          <w:szCs w:val="24"/>
          <w:lang w:val="fr-BE"/>
        </w:rPr>
        <w:t>Les États membres peuvent percevoir des droits pour le traitement des autorisations FLEGT, conformément à l’article 5, paragraphe 6, du règlement FLEGT. Six États membres ont indiqué le faire, moyennant des droits variant entre 11 EUR (9,60 GBP) et 105,90 EUR (annexe B, tableau 3).</w:t>
      </w:r>
    </w:p>
    <w:p>
      <w:pPr>
        <w:spacing w:line="270" w:lineRule="atLeast"/>
        <w:ind w:left="360" w:hanging="360"/>
        <w:jc w:val="both"/>
        <w:rPr>
          <w:rFonts w:ascii="Times New Roman" w:hAnsi="Times New Roman"/>
          <w:b/>
          <w:noProof/>
          <w:sz w:val="24"/>
          <w:szCs w:val="24"/>
          <w:lang w:val="fr-BE"/>
        </w:rPr>
      </w:pPr>
      <w:r>
        <w:rPr>
          <w:rFonts w:ascii="Times New Roman" w:hAnsi="Times New Roman"/>
          <w:b/>
          <w:noProof/>
          <w:sz w:val="24"/>
          <w:szCs w:val="24"/>
          <w:lang w:val="fr-BE"/>
        </w:rPr>
        <w:t>2.7</w:t>
      </w:r>
      <w:r>
        <w:rPr>
          <w:rFonts w:ascii="Times New Roman" w:hAnsi="Times New Roman"/>
          <w:b/>
          <w:noProof/>
          <w:sz w:val="24"/>
          <w:szCs w:val="24"/>
          <w:lang w:val="fr-BE"/>
        </w:rPr>
        <w:tab/>
        <w:t>Autres mesures d’application</w:t>
      </w:r>
    </w:p>
    <w:p>
      <w:pPr>
        <w:spacing w:line="270" w:lineRule="atLeast"/>
        <w:jc w:val="both"/>
        <w:rPr>
          <w:rFonts w:ascii="Times New Roman" w:hAnsi="Times New Roman"/>
          <w:noProof/>
          <w:sz w:val="24"/>
          <w:szCs w:val="24"/>
          <w:lang w:val="fr-BE"/>
        </w:rPr>
      </w:pPr>
      <w:r>
        <w:rPr>
          <w:rFonts w:ascii="Times New Roman" w:hAnsi="Times New Roman"/>
          <w:noProof/>
          <w:sz w:val="24"/>
          <w:szCs w:val="24"/>
          <w:lang w:val="fr-BE"/>
        </w:rPr>
        <w:t>Vingt et un États membres ont fourni des informations sur d’autres mesures d’application et diverses difficultés rencontrées. Dix d’entre eux ont déclaré avoir collaboré avec d’autres autorités compétentes et six avec la Commission européenne; ces collaborations ont été jugées positives. Plusieurs questions liées à la mise en œuvre ont été soulevées par un ou plusieurs États Membres, notamment: la nécessité d’orientations plus pratiques concernant la mise en œuvre du règlement FLEGT sur le terrain (par exemple pour les douaniers), ainsi que la nécessité de rendre FLEGIT plus convivial et de donner aux AC un meilleur accès aux données sur SILK. Les États membres ont également formulé des observations sur les problèmes posés par la réception d’autorisations FLEGT incomplètes ou endommagées, sur les problèmes de non-concordance des informations entre les autorisations FLEGT et les déclarations douanières, et sur la charge administrative que représente la résolution de ces problèmes.</w:t>
      </w:r>
    </w:p>
    <w:p>
      <w:pPr>
        <w:spacing w:line="270" w:lineRule="atLeast"/>
        <w:jc w:val="both"/>
        <w:rPr>
          <w:rFonts w:ascii="Times New Roman" w:hAnsi="Times New Roman"/>
          <w:b/>
          <w:noProof/>
          <w:sz w:val="24"/>
          <w:szCs w:val="24"/>
          <w:lang w:val="fr-BE"/>
        </w:rPr>
      </w:pPr>
      <w:r>
        <w:rPr>
          <w:rFonts w:ascii="Times New Roman" w:hAnsi="Times New Roman"/>
          <w:b/>
          <w:noProof/>
          <w:sz w:val="24"/>
          <w:szCs w:val="24"/>
          <w:lang w:val="fr-BE"/>
        </w:rPr>
        <w:t>3. Conclusions</w:t>
      </w:r>
    </w:p>
    <w:p>
      <w:pPr>
        <w:spacing w:line="270" w:lineRule="atLeast"/>
        <w:jc w:val="both"/>
        <w:rPr>
          <w:rFonts w:ascii="Times New Roman" w:hAnsi="Times New Roman"/>
          <w:noProof/>
          <w:sz w:val="24"/>
          <w:szCs w:val="24"/>
          <w:lang w:val="fr-BE"/>
        </w:rPr>
      </w:pPr>
      <w:r>
        <w:rPr>
          <w:rFonts w:ascii="Times New Roman" w:hAnsi="Times New Roman"/>
          <w:noProof/>
          <w:sz w:val="24"/>
          <w:szCs w:val="24"/>
          <w:lang w:val="fr-BE"/>
        </w:rPr>
        <w:t>Le deuxième rapport sur la mise en œuvre du régime d’autorisation FLEGT montre que celui-ci a bien progressé. En 2017, première année complète de mise en œuvre du régime d’autorisation FLEGT, 28 826 autorisations ont été reçues, dont plus de 98 % (représentant plus de 658 millions de kg de bois et produits dérivés) ont été approuvées. Il a été fait état d’une collaboration positive entre les autorités compétentes et avec la Commission. Le nombre d’États membres percevant des droits pour le traitement des autorisations FLEGT a augmenté, la fourchette des droits étant moins large que celle indiquée précédemment.</w:t>
      </w:r>
    </w:p>
    <w:p>
      <w:pPr>
        <w:spacing w:line="270" w:lineRule="atLeast"/>
        <w:jc w:val="both"/>
        <w:rPr>
          <w:rFonts w:ascii="Times New Roman" w:hAnsi="Times New Roman"/>
          <w:noProof/>
          <w:sz w:val="24"/>
          <w:szCs w:val="24"/>
          <w:lang w:val="fr-BE"/>
        </w:rPr>
      </w:pPr>
      <w:r>
        <w:rPr>
          <w:rFonts w:ascii="Times New Roman" w:hAnsi="Times New Roman"/>
          <w:noProof/>
          <w:sz w:val="24"/>
          <w:szCs w:val="24"/>
          <w:lang w:val="fr-BE"/>
        </w:rPr>
        <w:t>Certains problèmes subsistent, notamment l’inadéquation des informations entre les autorisations FLEGT et les déclarations douanières, ainsi que l’accès limité des États membres aux données sur SILK.</w:t>
      </w:r>
    </w:p>
    <w:p>
      <w:pPr>
        <w:spacing w:line="270" w:lineRule="atLeast"/>
        <w:jc w:val="both"/>
        <w:rPr>
          <w:rFonts w:ascii="Times New Roman" w:hAnsi="Times New Roman"/>
          <w:noProof/>
          <w:sz w:val="24"/>
          <w:szCs w:val="24"/>
          <w:lang w:val="fr-BE"/>
        </w:rPr>
      </w:pPr>
      <w:r>
        <w:rPr>
          <w:rFonts w:ascii="Times New Roman" w:hAnsi="Times New Roman"/>
          <w:b/>
          <w:noProof/>
          <w:sz w:val="24"/>
          <w:szCs w:val="24"/>
          <w:lang w:val="fr-BE"/>
        </w:rPr>
        <w:t>4. Prochaines étapes</w:t>
      </w:r>
    </w:p>
    <w:p>
      <w:pPr>
        <w:spacing w:line="270" w:lineRule="atLeast"/>
        <w:jc w:val="both"/>
        <w:rPr>
          <w:rFonts w:ascii="Times New Roman" w:hAnsi="Times New Roman"/>
          <w:noProof/>
          <w:sz w:val="24"/>
          <w:szCs w:val="24"/>
          <w:lang w:val="fr-BE"/>
        </w:rPr>
      </w:pPr>
      <w:r>
        <w:rPr>
          <w:rFonts w:ascii="Times New Roman" w:hAnsi="Times New Roman"/>
          <w:noProof/>
          <w:sz w:val="24"/>
          <w:szCs w:val="24"/>
          <w:lang w:val="fr-BE"/>
        </w:rPr>
        <w:t xml:space="preserve">La Commission continuera à collaborer avec les États membres à l’application effective et cohérente du règlement FLEGT dans l’ensemble de l’UE, notamment en élaborant des documents d’orientation supplémentaires et à la révision des </w:t>
      </w:r>
      <w:r>
        <w:rPr>
          <w:rFonts w:ascii="Times New Roman" w:hAnsi="Times New Roman"/>
          <w:bCs/>
          <w:i/>
          <w:iCs/>
          <w:noProof/>
          <w:sz w:val="24"/>
          <w:szCs w:val="24"/>
          <w:lang w:val="fr-BE"/>
        </w:rPr>
        <w:t>Orientations de mise en œuvre Douanes et FLEGT</w:t>
      </w:r>
      <w:r>
        <w:rPr>
          <w:rFonts w:ascii="Times New Roman" w:hAnsi="Times New Roman"/>
          <w:bCs/>
          <w:iCs/>
          <w:noProof/>
          <w:sz w:val="24"/>
          <w:szCs w:val="24"/>
          <w:lang w:val="fr-BE"/>
        </w:rPr>
        <w:t xml:space="preserve">, si nécessaire, </w:t>
      </w:r>
      <w:r>
        <w:rPr>
          <w:rFonts w:ascii="Times New Roman" w:hAnsi="Times New Roman"/>
          <w:noProof/>
          <w:sz w:val="24"/>
          <w:szCs w:val="24"/>
          <w:lang w:val="fr-BE"/>
        </w:rPr>
        <w:t xml:space="preserve">à la lumière de l’expérience acquise à ce jour. La Commission continuera également à travailler en coopération avec les États membres à l’amélioration des rapports, y compris la communication cohérente des données sur les autorisations FLEGT et les déclarations douanières, l’utilisation cohérente des unités de mesure et la poursuite de l’amélioration du format des rapports, compte tenu de l’expérience acquise. La Commission entend également encourager les États membres n’utilisant pas actuellement FLEGIT/TRACES à le faire afin de faciliter, entre autres, l’établissement de rapports. Enfin, la Commission poursuivra ses travaux visant à améliorer davantage le système informatique FLEGIT/TRACES, en tenant compte de l’expérience et des suggestions des États membres et coopérera à l’échange de données avec les États membres qui ont développé leurs propres systèmes électroniques nationaux. </w:t>
      </w:r>
    </w:p>
    <w:p>
      <w:pPr>
        <w:spacing w:line="270" w:lineRule="atLeast"/>
        <w:jc w:val="both"/>
        <w:rPr>
          <w:rFonts w:ascii="Times New Roman" w:hAnsi="Times New Roman"/>
          <w:noProof/>
          <w:sz w:val="24"/>
          <w:szCs w:val="24"/>
          <w:lang w:val="fr-BE"/>
        </w:rPr>
      </w:pPr>
      <w:r>
        <w:rPr>
          <w:rFonts w:ascii="Times New Roman" w:hAnsi="Times New Roman"/>
          <w:noProof/>
          <w:sz w:val="24"/>
          <w:szCs w:val="24"/>
          <w:lang w:val="fr-BE"/>
        </w:rPr>
        <w:t>Parallèlement, la Commission continuera à coopérer étroitement avec les autorités indonésiennes afin de remédier aux problèmes et difficultés recensés ci-dessus, dans le cadre plus large des discussions sur la mise en œuvre de l’APV FLEGT UE-Indonésie et le suivi de ses incidences. La Commission a également lancé un projet pilote avec l’Indonésie sur l’intégration des systèmes informatiques respectifs, à savoir FLEGIT/TRACES, avec SILK, en vue de la mise en place d’un système d’octroi d’autorisations entièrement électronique à l’avenir.</w:t>
      </w:r>
    </w:p>
    <w:p>
      <w:pPr>
        <w:spacing w:line="270" w:lineRule="atLeast"/>
        <w:jc w:val="both"/>
        <w:rPr>
          <w:rFonts w:ascii="Times New Roman" w:hAnsi="Times New Roman"/>
          <w:noProof/>
          <w:sz w:val="24"/>
          <w:szCs w:val="24"/>
          <w:lang w:val="fr-BE" w:eastAsia="en-GB"/>
        </w:rPr>
        <w:sectPr>
          <w:headerReference w:type="even" r:id="rId22"/>
          <w:headerReference w:type="default" r:id="rId23"/>
          <w:footerReference w:type="even" r:id="rId24"/>
          <w:footerReference w:type="default" r:id="rId25"/>
          <w:headerReference w:type="first" r:id="rId26"/>
          <w:footerReference w:type="first" r:id="rId27"/>
          <w:pgSz w:w="11906" w:h="16838"/>
          <w:pgMar w:top="1417" w:right="1417" w:bottom="1417" w:left="1417" w:header="708" w:footer="708" w:gutter="0"/>
          <w:cols w:space="720"/>
          <w:docGrid w:linePitch="360"/>
        </w:sectPr>
      </w:pPr>
    </w:p>
    <w:p>
      <w:pPr>
        <w:keepNext/>
        <w:keepLines/>
        <w:spacing w:line="640" w:lineRule="atLeast"/>
        <w:jc w:val="right"/>
        <w:outlineLvl w:val="1"/>
        <w:rPr>
          <w:rFonts w:ascii="Times New Roman" w:hAnsi="Times New Roman"/>
          <w:b/>
          <w:bCs/>
          <w:noProof/>
          <w:sz w:val="24"/>
          <w:szCs w:val="24"/>
          <w:lang w:val="fr-BE"/>
        </w:rPr>
      </w:pPr>
      <w:bookmarkStart w:id="10" w:name="_Toc485222998"/>
      <w:r>
        <w:rPr>
          <w:rFonts w:ascii="Times New Roman" w:hAnsi="Times New Roman"/>
          <w:b/>
          <w:bCs/>
          <w:noProof/>
          <w:sz w:val="24"/>
          <w:szCs w:val="24"/>
          <w:lang w:val="fr-BE"/>
        </w:rPr>
        <w:t xml:space="preserve">Annexe </w:t>
      </w:r>
      <w:bookmarkEnd w:id="10"/>
      <w:r>
        <w:rPr>
          <w:rFonts w:ascii="Times New Roman" w:hAnsi="Times New Roman"/>
          <w:b/>
          <w:bCs/>
          <w:noProof/>
          <w:sz w:val="24"/>
          <w:szCs w:val="24"/>
          <w:lang w:val="fr-BE"/>
        </w:rPr>
        <w:t>A</w:t>
      </w:r>
    </w:p>
    <w:p>
      <w:pPr>
        <w:spacing w:line="270" w:lineRule="atLeast"/>
        <w:rPr>
          <w:rFonts w:ascii="Times New Roman" w:hAnsi="Times New Roman"/>
          <w:b/>
          <w:noProof/>
          <w:sz w:val="24"/>
          <w:szCs w:val="24"/>
          <w:lang w:val="fr-BE"/>
        </w:rPr>
      </w:pPr>
      <w:r>
        <w:rPr>
          <w:rFonts w:ascii="Times New Roman" w:hAnsi="Times New Roman"/>
          <w:b/>
          <w:noProof/>
          <w:sz w:val="24"/>
          <w:szCs w:val="24"/>
          <w:lang w:val="fr-BE"/>
        </w:rPr>
        <w:t>Codes du système harmonisé (SH) des produits FLEGT importés en 2017</w:t>
      </w:r>
    </w:p>
    <w:tbl>
      <w:tblPr>
        <w:tblStyle w:val="TableGrid5"/>
        <w:tblW w:w="5078" w:type="pct"/>
        <w:tblBorders>
          <w:left w:val="none" w:sz="0" w:space="0" w:color="auto"/>
          <w:right w:val="none" w:sz="0" w:space="0" w:color="auto"/>
        </w:tblBorders>
        <w:tblCellMar>
          <w:left w:w="28" w:type="dxa"/>
          <w:right w:w="28" w:type="dxa"/>
        </w:tblCellMar>
        <w:tblLook w:val="04A0" w:firstRow="1" w:lastRow="0" w:firstColumn="1" w:lastColumn="0" w:noHBand="0" w:noVBand="1"/>
      </w:tblPr>
      <w:tblGrid>
        <w:gridCol w:w="901"/>
        <w:gridCol w:w="8369"/>
      </w:tblGrid>
      <w:tr>
        <w:trPr>
          <w:tblHeader/>
        </w:trPr>
        <w:tc>
          <w:tcPr>
            <w:tcW w:w="486" w:type="pct"/>
            <w:shd w:val="clear" w:color="auto" w:fill="6C8911"/>
          </w:tcPr>
          <w:p>
            <w:pPr>
              <w:autoSpaceDE w:val="0"/>
              <w:autoSpaceDN w:val="0"/>
              <w:adjustRightInd w:val="0"/>
              <w:spacing w:after="60" w:line="240" w:lineRule="auto"/>
              <w:rPr>
                <w:rFonts w:ascii="Times New Roman" w:eastAsiaTheme="minorHAnsi" w:hAnsi="Times New Roman" w:cs="Times New Roman"/>
                <w:noProof/>
                <w:color w:val="FFFFFF" w:themeColor="background1"/>
                <w:sz w:val="18"/>
                <w:szCs w:val="18"/>
              </w:rPr>
            </w:pPr>
            <w:r>
              <w:rPr>
                <w:rFonts w:ascii="Times New Roman" w:hAnsi="Times New Roman"/>
                <w:noProof/>
                <w:color w:val="FFFFFF" w:themeColor="background1"/>
                <w:sz w:val="18"/>
                <w:szCs w:val="18"/>
              </w:rPr>
              <w:t>Code SH</w:t>
            </w:r>
          </w:p>
        </w:tc>
        <w:tc>
          <w:tcPr>
            <w:tcW w:w="4514" w:type="pct"/>
            <w:shd w:val="clear" w:color="auto" w:fill="6C8911"/>
          </w:tcPr>
          <w:p>
            <w:pPr>
              <w:autoSpaceDE w:val="0"/>
              <w:autoSpaceDN w:val="0"/>
              <w:adjustRightInd w:val="0"/>
              <w:spacing w:after="60" w:line="240" w:lineRule="auto"/>
              <w:rPr>
                <w:rFonts w:ascii="Times New Roman" w:eastAsiaTheme="minorHAnsi" w:hAnsi="Times New Roman" w:cs="Times New Roman"/>
                <w:noProof/>
                <w:color w:val="FFFFFF" w:themeColor="background1"/>
                <w:sz w:val="18"/>
                <w:szCs w:val="18"/>
              </w:rPr>
            </w:pPr>
            <w:r>
              <w:rPr>
                <w:rFonts w:ascii="Times New Roman" w:hAnsi="Times New Roman"/>
                <w:noProof/>
                <w:color w:val="FFFFFF" w:themeColor="background1"/>
                <w:sz w:val="18"/>
                <w:szCs w:val="18"/>
              </w:rPr>
              <w:t xml:space="preserve">Description détaillée </w:t>
            </w:r>
          </w:p>
        </w:tc>
      </w:tr>
      <w:tr>
        <w:tc>
          <w:tcPr>
            <w:tcW w:w="486" w:type="pct"/>
          </w:tcPr>
          <w:p>
            <w:pPr>
              <w:autoSpaceDE w:val="0"/>
              <w:autoSpaceDN w:val="0"/>
              <w:adjustRightInd w:val="0"/>
              <w:spacing w:after="60" w:line="240" w:lineRule="auto"/>
              <w:rPr>
                <w:rFonts w:ascii="Times New Roman" w:eastAsiaTheme="minorHAnsi" w:hAnsi="Times New Roman" w:cs="Times New Roman"/>
                <w:noProof/>
                <w:color w:val="000000"/>
                <w:sz w:val="18"/>
                <w:szCs w:val="18"/>
              </w:rPr>
            </w:pPr>
            <w:r>
              <w:rPr>
                <w:rFonts w:ascii="Times New Roman" w:hAnsi="Times New Roman"/>
                <w:noProof/>
                <w:color w:val="000000"/>
                <w:sz w:val="18"/>
                <w:szCs w:val="18"/>
              </w:rPr>
              <w:t>4407</w:t>
            </w:r>
          </w:p>
        </w:tc>
        <w:tc>
          <w:tcPr>
            <w:tcW w:w="4514" w:type="pct"/>
          </w:tcPr>
          <w:p>
            <w:pPr>
              <w:autoSpaceDE w:val="0"/>
              <w:autoSpaceDN w:val="0"/>
              <w:adjustRightInd w:val="0"/>
              <w:spacing w:after="60" w:line="240" w:lineRule="auto"/>
              <w:rPr>
                <w:rFonts w:ascii="Times New Roman" w:hAnsi="Times New Roman" w:cs="Times New Roman"/>
                <w:noProof/>
                <w:sz w:val="18"/>
                <w:szCs w:val="18"/>
                <w:lang w:val="fr-BE"/>
              </w:rPr>
            </w:pPr>
            <w:r>
              <w:rPr>
                <w:rFonts w:ascii="Times New Roman" w:hAnsi="Times New Roman"/>
                <w:noProof/>
                <w:sz w:val="18"/>
                <w:szCs w:val="18"/>
                <w:lang w:val="fr-BE"/>
              </w:rPr>
              <w:t xml:space="preserve">Bois sciés ou dédossés longitudinalement, tranchés ou déroulés, rabotés, poncés ou collés par assemblage en bout, d’une épaisseur excédant 6 mm  </w:t>
            </w:r>
          </w:p>
        </w:tc>
      </w:tr>
      <w:tr>
        <w:tc>
          <w:tcPr>
            <w:tcW w:w="486" w:type="pct"/>
          </w:tcPr>
          <w:p>
            <w:pPr>
              <w:autoSpaceDE w:val="0"/>
              <w:autoSpaceDN w:val="0"/>
              <w:adjustRightInd w:val="0"/>
              <w:spacing w:after="60" w:line="240" w:lineRule="auto"/>
              <w:rPr>
                <w:rFonts w:ascii="Times New Roman" w:eastAsiaTheme="minorHAnsi" w:hAnsi="Times New Roman" w:cs="Times New Roman"/>
                <w:noProof/>
                <w:color w:val="000000"/>
                <w:sz w:val="18"/>
                <w:szCs w:val="18"/>
              </w:rPr>
            </w:pPr>
            <w:r>
              <w:rPr>
                <w:rFonts w:ascii="Times New Roman" w:hAnsi="Times New Roman"/>
                <w:noProof/>
                <w:color w:val="000000"/>
                <w:sz w:val="18"/>
                <w:szCs w:val="18"/>
              </w:rPr>
              <w:t>4407.25</w:t>
            </w:r>
          </w:p>
        </w:tc>
        <w:tc>
          <w:tcPr>
            <w:tcW w:w="4514" w:type="pct"/>
          </w:tcPr>
          <w:p>
            <w:pPr>
              <w:autoSpaceDE w:val="0"/>
              <w:autoSpaceDN w:val="0"/>
              <w:adjustRightInd w:val="0"/>
              <w:spacing w:after="60" w:line="240" w:lineRule="auto"/>
              <w:rPr>
                <w:rFonts w:ascii="Times New Roman" w:eastAsiaTheme="minorHAnsi" w:hAnsi="Times New Roman" w:cs="Times New Roman"/>
                <w:noProof/>
                <w:color w:val="000000"/>
                <w:sz w:val="18"/>
                <w:szCs w:val="18"/>
                <w:lang w:val="fr-BE"/>
              </w:rPr>
            </w:pPr>
            <w:r>
              <w:rPr>
                <w:rFonts w:ascii="Times New Roman" w:hAnsi="Times New Roman"/>
                <w:noProof/>
                <w:color w:val="000000"/>
                <w:sz w:val="18"/>
                <w:szCs w:val="18"/>
                <w:lang w:val="fr-BE"/>
              </w:rPr>
              <w:t>Bois, tropical; bois de dark red meranti, light red meranti et meranti bakau, sciés ou dédossés longitudinalement, tranchés ou déroulés, même rabotés, poncés ou collés par assemblage en bout, d’une épaisseur supérieure à 6 mm</w:t>
            </w:r>
          </w:p>
        </w:tc>
      </w:tr>
      <w:tr>
        <w:tc>
          <w:tcPr>
            <w:tcW w:w="486" w:type="pct"/>
          </w:tcPr>
          <w:p>
            <w:pPr>
              <w:autoSpaceDE w:val="0"/>
              <w:autoSpaceDN w:val="0"/>
              <w:adjustRightInd w:val="0"/>
              <w:spacing w:after="60" w:line="240" w:lineRule="auto"/>
              <w:rPr>
                <w:rFonts w:ascii="Times New Roman" w:eastAsiaTheme="minorHAnsi" w:hAnsi="Times New Roman" w:cs="Times New Roman"/>
                <w:noProof/>
                <w:color w:val="000000"/>
                <w:sz w:val="18"/>
                <w:szCs w:val="18"/>
              </w:rPr>
            </w:pPr>
            <w:r>
              <w:rPr>
                <w:rFonts w:ascii="Times New Roman" w:hAnsi="Times New Roman"/>
                <w:noProof/>
                <w:color w:val="000000"/>
                <w:sz w:val="18"/>
                <w:szCs w:val="18"/>
              </w:rPr>
              <w:t>4409</w:t>
            </w:r>
          </w:p>
        </w:tc>
        <w:tc>
          <w:tcPr>
            <w:tcW w:w="4514" w:type="pct"/>
          </w:tcPr>
          <w:p>
            <w:pPr>
              <w:autoSpaceDE w:val="0"/>
              <w:autoSpaceDN w:val="0"/>
              <w:adjustRightInd w:val="0"/>
              <w:spacing w:after="60" w:line="240" w:lineRule="auto"/>
              <w:rPr>
                <w:rFonts w:ascii="Times New Roman" w:eastAsiaTheme="minorHAnsi" w:hAnsi="Times New Roman" w:cs="Times New Roman"/>
                <w:noProof/>
                <w:color w:val="000000"/>
                <w:sz w:val="18"/>
                <w:szCs w:val="18"/>
                <w:lang w:val="fr-BE"/>
              </w:rPr>
            </w:pPr>
            <w:r>
              <w:rPr>
                <w:rFonts w:ascii="Times New Roman" w:hAnsi="Times New Roman"/>
                <w:noProof/>
                <w:color w:val="000000"/>
                <w:sz w:val="18"/>
                <w:szCs w:val="18"/>
                <w:lang w:val="fr-BE"/>
              </w:rPr>
              <w:t>Bois (y compris les lames et frises à parquet, non assemblées) profilés (languetés, rainés, bouvetés, feuillurés, chanfreinés, joints en V, moulurés, arrondis ou similaires) tout au long d’une ou de plusieurs rives, faces ou bouts, même rabotés, poncés ou collés par assemblage en bout</w:t>
            </w:r>
          </w:p>
        </w:tc>
      </w:tr>
      <w:tr>
        <w:tc>
          <w:tcPr>
            <w:tcW w:w="486" w:type="pct"/>
          </w:tcPr>
          <w:p>
            <w:pPr>
              <w:autoSpaceDE w:val="0"/>
              <w:autoSpaceDN w:val="0"/>
              <w:adjustRightInd w:val="0"/>
              <w:spacing w:after="60" w:line="240" w:lineRule="auto"/>
              <w:rPr>
                <w:rFonts w:ascii="Times New Roman" w:eastAsiaTheme="minorHAnsi" w:hAnsi="Times New Roman" w:cs="Times New Roman"/>
                <w:noProof/>
                <w:color w:val="000000"/>
                <w:sz w:val="18"/>
                <w:szCs w:val="18"/>
              </w:rPr>
            </w:pPr>
            <w:r>
              <w:rPr>
                <w:rFonts w:ascii="Times New Roman" w:hAnsi="Times New Roman"/>
                <w:noProof/>
                <w:color w:val="000000"/>
                <w:sz w:val="18"/>
                <w:szCs w:val="18"/>
              </w:rPr>
              <w:t>4409.22</w:t>
            </w:r>
          </w:p>
        </w:tc>
        <w:tc>
          <w:tcPr>
            <w:tcW w:w="4514" w:type="pct"/>
          </w:tcPr>
          <w:p>
            <w:pPr>
              <w:autoSpaceDE w:val="0"/>
              <w:autoSpaceDN w:val="0"/>
              <w:adjustRightInd w:val="0"/>
              <w:spacing w:after="60" w:line="240" w:lineRule="auto"/>
              <w:rPr>
                <w:rFonts w:ascii="Times New Roman" w:eastAsiaTheme="minorHAnsi" w:hAnsi="Times New Roman" w:cs="Times New Roman"/>
                <w:noProof/>
                <w:color w:val="000000"/>
                <w:sz w:val="18"/>
                <w:szCs w:val="18"/>
                <w:lang w:val="fr-BE"/>
              </w:rPr>
            </w:pPr>
            <w:r>
              <w:rPr>
                <w:rFonts w:ascii="Times New Roman" w:hAnsi="Times New Roman"/>
                <w:noProof/>
                <w:color w:val="000000"/>
                <w:sz w:val="18"/>
                <w:szCs w:val="18"/>
                <w:lang w:val="fr-BE"/>
              </w:rPr>
              <w:t>Bois; tropicaux (y compris les lames et frises pour parquets, non assemblées), profilés tout au long d’une ou de plusieurs rives, faces ou bouts, même rabotés, poncés ou collés par assemblage en bout</w:t>
            </w:r>
          </w:p>
        </w:tc>
      </w:tr>
      <w:tr>
        <w:tc>
          <w:tcPr>
            <w:tcW w:w="486" w:type="pct"/>
          </w:tcPr>
          <w:p>
            <w:pPr>
              <w:autoSpaceDE w:val="0"/>
              <w:autoSpaceDN w:val="0"/>
              <w:adjustRightInd w:val="0"/>
              <w:spacing w:after="60" w:line="240" w:lineRule="auto"/>
              <w:rPr>
                <w:rFonts w:ascii="Times New Roman" w:eastAsiaTheme="minorHAnsi" w:hAnsi="Times New Roman" w:cs="Times New Roman"/>
                <w:noProof/>
                <w:color w:val="000000"/>
                <w:sz w:val="18"/>
                <w:szCs w:val="18"/>
              </w:rPr>
            </w:pPr>
            <w:r>
              <w:rPr>
                <w:rFonts w:ascii="Times New Roman" w:hAnsi="Times New Roman"/>
                <w:noProof/>
                <w:color w:val="000000"/>
                <w:sz w:val="18"/>
                <w:szCs w:val="18"/>
              </w:rPr>
              <w:t>4409.29</w:t>
            </w:r>
          </w:p>
        </w:tc>
        <w:tc>
          <w:tcPr>
            <w:tcW w:w="4514" w:type="pct"/>
          </w:tcPr>
          <w:p>
            <w:pPr>
              <w:autoSpaceDE w:val="0"/>
              <w:autoSpaceDN w:val="0"/>
              <w:adjustRightInd w:val="0"/>
              <w:spacing w:after="60" w:line="240" w:lineRule="auto"/>
              <w:rPr>
                <w:rFonts w:ascii="Times New Roman" w:eastAsiaTheme="minorHAnsi" w:hAnsi="Times New Roman" w:cs="Times New Roman"/>
                <w:noProof/>
                <w:color w:val="000000"/>
                <w:sz w:val="18"/>
                <w:szCs w:val="18"/>
                <w:lang w:val="fr-BE"/>
              </w:rPr>
            </w:pPr>
            <w:r>
              <w:rPr>
                <w:rFonts w:ascii="Times New Roman" w:hAnsi="Times New Roman"/>
                <w:noProof/>
                <w:color w:val="000000"/>
                <w:sz w:val="18"/>
                <w:szCs w:val="18"/>
                <w:lang w:val="fr-BE"/>
              </w:rPr>
              <w:t>Bois (y compris les lames et frises à parquet, non assemblées) profilés (languetés, rainés, bouvetés, feuillurés, chanfreinés, joints en V, moulurés, arrondis ou similaires) tout au long d’une ou de plusieurs rives, faces ou bouts, même rabotés, poncés ou collés par assemblage en bout, non conifères (pas de rotin)</w:t>
            </w:r>
          </w:p>
        </w:tc>
      </w:tr>
      <w:tr>
        <w:tc>
          <w:tcPr>
            <w:tcW w:w="486" w:type="pct"/>
          </w:tcPr>
          <w:p>
            <w:pPr>
              <w:autoSpaceDE w:val="0"/>
              <w:autoSpaceDN w:val="0"/>
              <w:adjustRightInd w:val="0"/>
              <w:spacing w:after="60" w:line="240" w:lineRule="auto"/>
              <w:rPr>
                <w:rFonts w:ascii="Times New Roman" w:eastAsiaTheme="minorHAnsi" w:hAnsi="Times New Roman" w:cs="Times New Roman"/>
                <w:noProof/>
                <w:color w:val="000000"/>
                <w:sz w:val="18"/>
                <w:szCs w:val="18"/>
              </w:rPr>
            </w:pPr>
            <w:r>
              <w:rPr>
                <w:rFonts w:ascii="Times New Roman" w:hAnsi="Times New Roman"/>
                <w:noProof/>
                <w:sz w:val="18"/>
                <w:szCs w:val="18"/>
              </w:rPr>
              <w:t>4412</w:t>
            </w:r>
          </w:p>
        </w:tc>
        <w:tc>
          <w:tcPr>
            <w:tcW w:w="4514" w:type="pct"/>
          </w:tcPr>
          <w:p>
            <w:pPr>
              <w:autoSpaceDE w:val="0"/>
              <w:autoSpaceDN w:val="0"/>
              <w:adjustRightInd w:val="0"/>
              <w:spacing w:after="60" w:line="240" w:lineRule="auto"/>
              <w:rPr>
                <w:rFonts w:ascii="Times New Roman" w:eastAsia="Times New Roman" w:hAnsi="Times New Roman" w:cs="Times New Roman"/>
                <w:noProof/>
                <w:color w:val="007C9A"/>
                <w:sz w:val="18"/>
                <w:szCs w:val="18"/>
                <w:lang w:val="fr-BE"/>
              </w:rPr>
            </w:pPr>
            <w:r>
              <w:rPr>
                <w:rFonts w:ascii="Times New Roman" w:hAnsi="Times New Roman"/>
                <w:noProof/>
                <w:sz w:val="18"/>
                <w:szCs w:val="18"/>
                <w:lang w:val="fr-BE"/>
              </w:rPr>
              <w:t>Bois contre-plaqués, bois plaqués et bois stratifiés similaires</w:t>
            </w:r>
          </w:p>
        </w:tc>
      </w:tr>
      <w:tr>
        <w:tc>
          <w:tcPr>
            <w:tcW w:w="486" w:type="pct"/>
          </w:tcPr>
          <w:p>
            <w:pPr>
              <w:autoSpaceDE w:val="0"/>
              <w:autoSpaceDN w:val="0"/>
              <w:adjustRightInd w:val="0"/>
              <w:spacing w:after="60" w:line="240" w:lineRule="auto"/>
              <w:rPr>
                <w:rFonts w:ascii="Times New Roman" w:eastAsiaTheme="minorHAnsi" w:hAnsi="Times New Roman" w:cs="Times New Roman"/>
                <w:noProof/>
                <w:sz w:val="18"/>
                <w:szCs w:val="18"/>
              </w:rPr>
            </w:pPr>
            <w:r>
              <w:rPr>
                <w:rFonts w:ascii="Times New Roman" w:hAnsi="Times New Roman"/>
                <w:noProof/>
                <w:sz w:val="18"/>
                <w:szCs w:val="18"/>
              </w:rPr>
              <w:t>4412.31</w:t>
            </w:r>
          </w:p>
        </w:tc>
        <w:tc>
          <w:tcPr>
            <w:tcW w:w="4514" w:type="pct"/>
          </w:tcPr>
          <w:p>
            <w:pPr>
              <w:autoSpaceDE w:val="0"/>
              <w:autoSpaceDN w:val="0"/>
              <w:adjustRightInd w:val="0"/>
              <w:spacing w:after="60" w:line="240" w:lineRule="auto"/>
              <w:rPr>
                <w:rFonts w:ascii="Times New Roman" w:eastAsia="Times New Roman" w:hAnsi="Times New Roman" w:cs="Times New Roman"/>
                <w:noProof/>
                <w:sz w:val="18"/>
                <w:szCs w:val="18"/>
                <w:lang w:val="fr-BE"/>
              </w:rPr>
            </w:pPr>
            <w:r>
              <w:rPr>
                <w:rFonts w:ascii="Times New Roman" w:hAnsi="Times New Roman"/>
                <w:noProof/>
                <w:sz w:val="18"/>
                <w:szCs w:val="18"/>
                <w:lang w:val="fr-BE"/>
              </w:rPr>
              <w:t>Contreplaqué; constitués exclusivement de feuilles de bois (non de bambou), chacune de 6 mm ou moins, ayant au moins un pli extérieur en bois tropicaux</w:t>
            </w:r>
          </w:p>
        </w:tc>
      </w:tr>
      <w:tr>
        <w:tc>
          <w:tcPr>
            <w:tcW w:w="486" w:type="pct"/>
          </w:tcPr>
          <w:p>
            <w:pPr>
              <w:autoSpaceDE w:val="0"/>
              <w:autoSpaceDN w:val="0"/>
              <w:adjustRightInd w:val="0"/>
              <w:spacing w:after="60" w:line="240" w:lineRule="auto"/>
              <w:rPr>
                <w:rFonts w:ascii="Times New Roman" w:eastAsiaTheme="minorHAnsi" w:hAnsi="Times New Roman" w:cs="Times New Roman"/>
                <w:noProof/>
                <w:sz w:val="18"/>
                <w:szCs w:val="18"/>
              </w:rPr>
            </w:pPr>
            <w:r>
              <w:rPr>
                <w:rFonts w:ascii="Times New Roman" w:hAnsi="Times New Roman"/>
                <w:noProof/>
                <w:sz w:val="18"/>
                <w:szCs w:val="18"/>
              </w:rPr>
              <w:t>4412.94</w:t>
            </w:r>
          </w:p>
        </w:tc>
        <w:tc>
          <w:tcPr>
            <w:tcW w:w="4514" w:type="pct"/>
          </w:tcPr>
          <w:p>
            <w:pPr>
              <w:autoSpaceDE w:val="0"/>
              <w:autoSpaceDN w:val="0"/>
              <w:adjustRightInd w:val="0"/>
              <w:spacing w:after="60" w:line="240" w:lineRule="auto"/>
              <w:rPr>
                <w:rFonts w:ascii="Times New Roman" w:eastAsia="Times New Roman" w:hAnsi="Times New Roman" w:cs="Times New Roman"/>
                <w:noProof/>
                <w:sz w:val="18"/>
                <w:szCs w:val="18"/>
                <w:lang w:val="fr-BE"/>
              </w:rPr>
            </w:pPr>
            <w:r>
              <w:rPr>
                <w:rFonts w:ascii="Times New Roman" w:hAnsi="Times New Roman"/>
                <w:noProof/>
                <w:sz w:val="18"/>
                <w:szCs w:val="18"/>
                <w:lang w:val="fr-BE"/>
              </w:rPr>
              <w:t>À âme panneautée, lattée ou lamellée (non de bambou ou de contreplaqué constitué uniquement de feuilles de bois, chaque couche de 6 mm ou moins)</w:t>
            </w:r>
          </w:p>
        </w:tc>
      </w:tr>
      <w:tr>
        <w:tc>
          <w:tcPr>
            <w:tcW w:w="486" w:type="pct"/>
          </w:tcPr>
          <w:p>
            <w:pPr>
              <w:autoSpaceDE w:val="0"/>
              <w:autoSpaceDN w:val="0"/>
              <w:adjustRightInd w:val="0"/>
              <w:spacing w:after="60" w:line="240" w:lineRule="auto"/>
              <w:rPr>
                <w:rFonts w:ascii="Times New Roman" w:eastAsiaTheme="minorHAnsi" w:hAnsi="Times New Roman" w:cs="Times New Roman"/>
                <w:noProof/>
                <w:color w:val="000000"/>
                <w:sz w:val="18"/>
                <w:szCs w:val="18"/>
              </w:rPr>
            </w:pPr>
            <w:r>
              <w:rPr>
                <w:rFonts w:ascii="Times New Roman" w:hAnsi="Times New Roman"/>
                <w:noProof/>
                <w:color w:val="000000"/>
                <w:sz w:val="18"/>
                <w:szCs w:val="18"/>
              </w:rPr>
              <w:t>4414</w:t>
            </w:r>
          </w:p>
        </w:tc>
        <w:tc>
          <w:tcPr>
            <w:tcW w:w="4514" w:type="pct"/>
          </w:tcPr>
          <w:p>
            <w:pPr>
              <w:autoSpaceDE w:val="0"/>
              <w:autoSpaceDN w:val="0"/>
              <w:adjustRightInd w:val="0"/>
              <w:spacing w:after="60" w:line="240" w:lineRule="auto"/>
              <w:rPr>
                <w:rFonts w:ascii="Times New Roman" w:eastAsiaTheme="minorHAnsi" w:hAnsi="Times New Roman" w:cs="Times New Roman"/>
                <w:noProof/>
                <w:color w:val="000000"/>
                <w:sz w:val="18"/>
                <w:szCs w:val="18"/>
                <w:lang w:val="fr-BE"/>
              </w:rPr>
            </w:pPr>
            <w:r>
              <w:rPr>
                <w:rFonts w:ascii="Times New Roman" w:hAnsi="Times New Roman"/>
                <w:noProof/>
                <w:color w:val="000000"/>
                <w:sz w:val="18"/>
                <w:szCs w:val="18"/>
                <w:lang w:val="fr-BE"/>
              </w:rPr>
              <w:t>Cadres en bois pour tableaux, photographies, miroirs ou objets similaires (non de bambou ou de rotin)</w:t>
            </w:r>
          </w:p>
        </w:tc>
      </w:tr>
      <w:tr>
        <w:tc>
          <w:tcPr>
            <w:tcW w:w="486" w:type="pct"/>
          </w:tcPr>
          <w:p>
            <w:pPr>
              <w:autoSpaceDE w:val="0"/>
              <w:autoSpaceDN w:val="0"/>
              <w:adjustRightInd w:val="0"/>
              <w:spacing w:after="60" w:line="240" w:lineRule="auto"/>
              <w:rPr>
                <w:rFonts w:ascii="Times New Roman" w:eastAsiaTheme="minorHAnsi" w:hAnsi="Times New Roman" w:cs="Times New Roman"/>
                <w:noProof/>
                <w:color w:val="000000"/>
                <w:sz w:val="18"/>
                <w:szCs w:val="18"/>
              </w:rPr>
            </w:pPr>
            <w:r>
              <w:rPr>
                <w:rFonts w:ascii="Times New Roman" w:hAnsi="Times New Roman"/>
                <w:noProof/>
                <w:color w:val="000000"/>
                <w:sz w:val="18"/>
                <w:szCs w:val="18"/>
              </w:rPr>
              <w:t>4418</w:t>
            </w:r>
          </w:p>
        </w:tc>
        <w:tc>
          <w:tcPr>
            <w:tcW w:w="4514" w:type="pct"/>
          </w:tcPr>
          <w:p>
            <w:pPr>
              <w:autoSpaceDE w:val="0"/>
              <w:autoSpaceDN w:val="0"/>
              <w:adjustRightInd w:val="0"/>
              <w:spacing w:after="60" w:line="240" w:lineRule="auto"/>
              <w:rPr>
                <w:rFonts w:ascii="Times New Roman" w:eastAsiaTheme="minorHAnsi" w:hAnsi="Times New Roman" w:cs="Times New Roman"/>
                <w:noProof/>
                <w:color w:val="000000"/>
                <w:sz w:val="18"/>
                <w:szCs w:val="18"/>
                <w:lang w:val="fr-BE"/>
              </w:rPr>
            </w:pPr>
            <w:r>
              <w:rPr>
                <w:rFonts w:ascii="Times New Roman" w:hAnsi="Times New Roman"/>
                <w:noProof/>
                <w:color w:val="000000"/>
                <w:sz w:val="18"/>
                <w:szCs w:val="18"/>
                <w:lang w:val="fr-BE"/>
              </w:rPr>
              <w:t>Ouvrages de menuiserie et pièces de charpente pour construction, y compris les panneaux cellulaires, les panneaux assemblés pour revêtement de sol et les bardeaux (shingles et shakes), en bois</w:t>
            </w:r>
          </w:p>
        </w:tc>
      </w:tr>
      <w:tr>
        <w:tc>
          <w:tcPr>
            <w:tcW w:w="486" w:type="pct"/>
          </w:tcPr>
          <w:p>
            <w:pPr>
              <w:autoSpaceDE w:val="0"/>
              <w:autoSpaceDN w:val="0"/>
              <w:adjustRightInd w:val="0"/>
              <w:spacing w:after="60" w:line="240" w:lineRule="auto"/>
              <w:rPr>
                <w:rFonts w:ascii="Times New Roman" w:eastAsiaTheme="minorHAnsi" w:hAnsi="Times New Roman" w:cs="Times New Roman"/>
                <w:noProof/>
                <w:color w:val="000000"/>
                <w:sz w:val="18"/>
                <w:szCs w:val="18"/>
              </w:rPr>
            </w:pPr>
            <w:r>
              <w:rPr>
                <w:rFonts w:ascii="Times New Roman" w:hAnsi="Times New Roman"/>
                <w:noProof/>
                <w:color w:val="000000"/>
                <w:sz w:val="18"/>
                <w:szCs w:val="18"/>
              </w:rPr>
              <w:t>4418.20</w:t>
            </w:r>
          </w:p>
        </w:tc>
        <w:tc>
          <w:tcPr>
            <w:tcW w:w="4514" w:type="pct"/>
          </w:tcPr>
          <w:p>
            <w:pPr>
              <w:autoSpaceDE w:val="0"/>
              <w:autoSpaceDN w:val="0"/>
              <w:adjustRightInd w:val="0"/>
              <w:spacing w:after="60" w:line="240" w:lineRule="auto"/>
              <w:rPr>
                <w:rFonts w:ascii="Times New Roman" w:eastAsiaTheme="minorHAnsi" w:hAnsi="Times New Roman" w:cs="Times New Roman"/>
                <w:noProof/>
                <w:color w:val="000000"/>
                <w:sz w:val="18"/>
                <w:szCs w:val="18"/>
                <w:lang w:val="fr-BE"/>
              </w:rPr>
            </w:pPr>
            <w:r>
              <w:rPr>
                <w:rFonts w:ascii="Times New Roman" w:hAnsi="Times New Roman"/>
                <w:noProof/>
                <w:color w:val="000000"/>
                <w:sz w:val="18"/>
                <w:szCs w:val="18"/>
                <w:lang w:val="fr-BE"/>
              </w:rPr>
              <w:t>Bois; portes et leurs cadres, chambranles et seuils</w:t>
            </w:r>
          </w:p>
        </w:tc>
      </w:tr>
      <w:tr>
        <w:tc>
          <w:tcPr>
            <w:tcW w:w="486" w:type="pct"/>
          </w:tcPr>
          <w:p>
            <w:pPr>
              <w:autoSpaceDE w:val="0"/>
              <w:autoSpaceDN w:val="0"/>
              <w:adjustRightInd w:val="0"/>
              <w:spacing w:after="60" w:line="240" w:lineRule="auto"/>
              <w:rPr>
                <w:rFonts w:ascii="Times New Roman" w:eastAsiaTheme="minorHAnsi" w:hAnsi="Times New Roman" w:cs="Times New Roman"/>
                <w:noProof/>
                <w:color w:val="000000"/>
                <w:sz w:val="18"/>
                <w:szCs w:val="18"/>
              </w:rPr>
            </w:pPr>
            <w:r>
              <w:rPr>
                <w:rFonts w:ascii="Times New Roman" w:hAnsi="Times New Roman"/>
                <w:noProof/>
                <w:color w:val="000000"/>
                <w:sz w:val="18"/>
                <w:szCs w:val="18"/>
              </w:rPr>
              <w:t>4418.99</w:t>
            </w:r>
          </w:p>
        </w:tc>
        <w:tc>
          <w:tcPr>
            <w:tcW w:w="4514" w:type="pct"/>
          </w:tcPr>
          <w:p>
            <w:pPr>
              <w:autoSpaceDE w:val="0"/>
              <w:autoSpaceDN w:val="0"/>
              <w:adjustRightInd w:val="0"/>
              <w:spacing w:after="60" w:line="240" w:lineRule="auto"/>
              <w:rPr>
                <w:rFonts w:ascii="Times New Roman" w:eastAsiaTheme="minorHAnsi" w:hAnsi="Times New Roman" w:cs="Times New Roman"/>
                <w:noProof/>
                <w:color w:val="000000"/>
                <w:sz w:val="18"/>
                <w:szCs w:val="18"/>
                <w:lang w:val="fr-BE"/>
              </w:rPr>
            </w:pPr>
            <w:r>
              <w:rPr>
                <w:rFonts w:ascii="Times New Roman" w:hAnsi="Times New Roman"/>
                <w:noProof/>
                <w:color w:val="000000"/>
                <w:sz w:val="18"/>
                <w:szCs w:val="18"/>
                <w:lang w:val="fr-BE"/>
              </w:rPr>
              <w:t>Bois; ouvrages de menuiserie et pièces de charpente pour construction, n.c.a. dans la position 4418 autres qu’en bambou</w:t>
            </w:r>
          </w:p>
        </w:tc>
      </w:tr>
      <w:tr>
        <w:tc>
          <w:tcPr>
            <w:tcW w:w="486" w:type="pct"/>
            <w:shd w:val="clear" w:color="auto" w:fill="auto"/>
          </w:tcPr>
          <w:p>
            <w:pPr>
              <w:autoSpaceDE w:val="0"/>
              <w:autoSpaceDN w:val="0"/>
              <w:adjustRightInd w:val="0"/>
              <w:spacing w:after="60" w:line="240" w:lineRule="auto"/>
              <w:rPr>
                <w:rFonts w:ascii="Times New Roman" w:eastAsiaTheme="minorHAnsi" w:hAnsi="Times New Roman" w:cs="Times New Roman"/>
                <w:noProof/>
                <w:color w:val="000000"/>
                <w:sz w:val="18"/>
                <w:szCs w:val="18"/>
              </w:rPr>
            </w:pPr>
            <w:r>
              <w:rPr>
                <w:rFonts w:ascii="Times New Roman" w:hAnsi="Times New Roman"/>
                <w:noProof/>
                <w:color w:val="000000"/>
                <w:sz w:val="18"/>
                <w:szCs w:val="18"/>
              </w:rPr>
              <w:t>4421</w:t>
            </w:r>
          </w:p>
        </w:tc>
        <w:tc>
          <w:tcPr>
            <w:tcW w:w="4514" w:type="pct"/>
            <w:shd w:val="clear" w:color="auto" w:fill="auto"/>
          </w:tcPr>
          <w:p>
            <w:pPr>
              <w:autoSpaceDE w:val="0"/>
              <w:autoSpaceDN w:val="0"/>
              <w:adjustRightInd w:val="0"/>
              <w:spacing w:after="60" w:line="240" w:lineRule="auto"/>
              <w:rPr>
                <w:rFonts w:ascii="Times New Roman" w:eastAsiaTheme="minorHAnsi" w:hAnsi="Times New Roman" w:cs="Times New Roman"/>
                <w:noProof/>
                <w:color w:val="000000"/>
                <w:sz w:val="18"/>
                <w:szCs w:val="18"/>
                <w:lang w:val="fr-BE"/>
              </w:rPr>
            </w:pPr>
            <w:r>
              <w:rPr>
                <w:rFonts w:ascii="Times New Roman" w:hAnsi="Times New Roman"/>
                <w:noProof/>
                <w:color w:val="000000"/>
                <w:sz w:val="18"/>
                <w:szCs w:val="18"/>
                <w:lang w:val="fr-BE"/>
              </w:rPr>
              <w:t>Articles en bois n.c.a. dans les positions 4414 à 4420</w:t>
            </w:r>
          </w:p>
        </w:tc>
      </w:tr>
      <w:tr>
        <w:tc>
          <w:tcPr>
            <w:tcW w:w="486" w:type="pct"/>
            <w:shd w:val="clear" w:color="auto" w:fill="auto"/>
          </w:tcPr>
          <w:p>
            <w:pPr>
              <w:autoSpaceDE w:val="0"/>
              <w:autoSpaceDN w:val="0"/>
              <w:adjustRightInd w:val="0"/>
              <w:spacing w:after="60" w:line="240" w:lineRule="auto"/>
              <w:rPr>
                <w:rFonts w:ascii="Times New Roman" w:eastAsiaTheme="minorHAnsi" w:hAnsi="Times New Roman" w:cs="Times New Roman"/>
                <w:noProof/>
                <w:color w:val="000000"/>
                <w:sz w:val="18"/>
                <w:szCs w:val="18"/>
              </w:rPr>
            </w:pPr>
            <w:r>
              <w:rPr>
                <w:rFonts w:ascii="Times New Roman" w:hAnsi="Times New Roman"/>
                <w:noProof/>
                <w:color w:val="000000"/>
                <w:sz w:val="18"/>
                <w:szCs w:val="18"/>
              </w:rPr>
              <w:t>4421.99</w:t>
            </w:r>
          </w:p>
        </w:tc>
        <w:tc>
          <w:tcPr>
            <w:tcW w:w="4514" w:type="pct"/>
            <w:shd w:val="clear" w:color="auto" w:fill="auto"/>
          </w:tcPr>
          <w:p>
            <w:pPr>
              <w:autoSpaceDE w:val="0"/>
              <w:autoSpaceDN w:val="0"/>
              <w:adjustRightInd w:val="0"/>
              <w:spacing w:after="60" w:line="240" w:lineRule="auto"/>
              <w:rPr>
                <w:rFonts w:ascii="Times New Roman" w:eastAsiaTheme="minorHAnsi" w:hAnsi="Times New Roman" w:cs="Times New Roman"/>
                <w:noProof/>
                <w:color w:val="000000"/>
                <w:sz w:val="18"/>
                <w:szCs w:val="18"/>
                <w:lang w:val="fr-BE"/>
              </w:rPr>
            </w:pPr>
            <w:r>
              <w:rPr>
                <w:rFonts w:ascii="Times New Roman" w:hAnsi="Times New Roman"/>
                <w:noProof/>
                <w:color w:val="000000"/>
                <w:sz w:val="18"/>
                <w:szCs w:val="18"/>
                <w:lang w:val="fr-BE"/>
              </w:rPr>
              <w:t>Bois; non en bambou, articles n.c.a. dans les positions 4414 à 4420 (sauf cintres)</w:t>
            </w:r>
          </w:p>
        </w:tc>
      </w:tr>
      <w:tr>
        <w:tc>
          <w:tcPr>
            <w:tcW w:w="486" w:type="pct"/>
          </w:tcPr>
          <w:p>
            <w:pPr>
              <w:autoSpaceDE w:val="0"/>
              <w:autoSpaceDN w:val="0"/>
              <w:adjustRightInd w:val="0"/>
              <w:spacing w:after="60" w:line="240" w:lineRule="auto"/>
              <w:rPr>
                <w:rFonts w:ascii="Times New Roman" w:eastAsiaTheme="minorHAnsi" w:hAnsi="Times New Roman" w:cs="Times New Roman"/>
                <w:noProof/>
                <w:color w:val="000000"/>
                <w:sz w:val="18"/>
                <w:szCs w:val="18"/>
              </w:rPr>
            </w:pPr>
            <w:r>
              <w:rPr>
                <w:rFonts w:ascii="Times New Roman" w:hAnsi="Times New Roman"/>
                <w:noProof/>
                <w:color w:val="000000"/>
                <w:sz w:val="18"/>
                <w:szCs w:val="18"/>
              </w:rPr>
              <w:t>4703</w:t>
            </w:r>
          </w:p>
        </w:tc>
        <w:tc>
          <w:tcPr>
            <w:tcW w:w="4514" w:type="pct"/>
          </w:tcPr>
          <w:p>
            <w:pPr>
              <w:autoSpaceDE w:val="0"/>
              <w:autoSpaceDN w:val="0"/>
              <w:adjustRightInd w:val="0"/>
              <w:spacing w:after="60" w:line="240" w:lineRule="auto"/>
              <w:rPr>
                <w:rFonts w:ascii="Times New Roman" w:eastAsiaTheme="minorHAnsi" w:hAnsi="Times New Roman" w:cs="Times New Roman"/>
                <w:noProof/>
                <w:color w:val="000000"/>
                <w:sz w:val="18"/>
                <w:szCs w:val="18"/>
                <w:lang w:val="fr-BE"/>
              </w:rPr>
            </w:pPr>
            <w:r>
              <w:rPr>
                <w:rFonts w:ascii="Times New Roman" w:hAnsi="Times New Roman"/>
                <w:noProof/>
                <w:color w:val="000000"/>
                <w:sz w:val="18"/>
                <w:szCs w:val="18"/>
                <w:lang w:val="fr-BE"/>
              </w:rPr>
              <w:t>Pâtes chimiques de bois, à la soude ou au sulfate, autres que les pâtes à dissoudre</w:t>
            </w:r>
          </w:p>
        </w:tc>
      </w:tr>
      <w:tr>
        <w:tc>
          <w:tcPr>
            <w:tcW w:w="486" w:type="pct"/>
          </w:tcPr>
          <w:p>
            <w:pPr>
              <w:autoSpaceDE w:val="0"/>
              <w:autoSpaceDN w:val="0"/>
              <w:adjustRightInd w:val="0"/>
              <w:spacing w:after="60" w:line="240" w:lineRule="auto"/>
              <w:rPr>
                <w:rFonts w:ascii="Times New Roman" w:eastAsiaTheme="minorHAnsi" w:hAnsi="Times New Roman" w:cs="Times New Roman"/>
                <w:noProof/>
                <w:color w:val="000000"/>
                <w:sz w:val="18"/>
                <w:szCs w:val="18"/>
              </w:rPr>
            </w:pPr>
            <w:r>
              <w:rPr>
                <w:rFonts w:ascii="Times New Roman" w:hAnsi="Times New Roman"/>
                <w:noProof/>
                <w:color w:val="000000"/>
                <w:sz w:val="18"/>
                <w:szCs w:val="18"/>
              </w:rPr>
              <w:t>4802</w:t>
            </w:r>
          </w:p>
        </w:tc>
        <w:tc>
          <w:tcPr>
            <w:tcW w:w="4514" w:type="pct"/>
          </w:tcPr>
          <w:p>
            <w:pPr>
              <w:autoSpaceDE w:val="0"/>
              <w:autoSpaceDN w:val="0"/>
              <w:adjustRightInd w:val="0"/>
              <w:spacing w:after="60" w:line="240" w:lineRule="auto"/>
              <w:rPr>
                <w:rFonts w:ascii="Times New Roman" w:eastAsiaTheme="minorHAnsi" w:hAnsi="Times New Roman" w:cs="Times New Roman"/>
                <w:noProof/>
                <w:color w:val="000000"/>
                <w:sz w:val="18"/>
                <w:szCs w:val="18"/>
                <w:lang w:val="fr-BE"/>
              </w:rPr>
            </w:pPr>
            <w:r>
              <w:rPr>
                <w:rFonts w:ascii="Times New Roman" w:hAnsi="Times New Roman"/>
                <w:noProof/>
                <w:color w:val="000000"/>
                <w:sz w:val="18"/>
                <w:szCs w:val="18"/>
                <w:lang w:val="fr-BE"/>
              </w:rPr>
              <w:t>Papiers et cartons, non couchés ni enduits, des types utilisés pour l’écriture, l’impression ou d’autres fins graphiques, et papiers et cartons pour cartes ou bandes à perforer, en rouleaux ou en feuilles, autres que les papiers des positions 4801 ou 4803; papiers et cartons formés feuille à feuille (papiers et cartons à la main):</w:t>
            </w:r>
          </w:p>
        </w:tc>
      </w:tr>
      <w:tr>
        <w:tc>
          <w:tcPr>
            <w:tcW w:w="486" w:type="pct"/>
          </w:tcPr>
          <w:p>
            <w:pPr>
              <w:autoSpaceDE w:val="0"/>
              <w:autoSpaceDN w:val="0"/>
              <w:adjustRightInd w:val="0"/>
              <w:spacing w:after="60" w:line="240" w:lineRule="auto"/>
              <w:rPr>
                <w:rFonts w:ascii="Times New Roman" w:eastAsiaTheme="minorHAnsi" w:hAnsi="Times New Roman" w:cs="Times New Roman"/>
                <w:noProof/>
                <w:color w:val="000000"/>
                <w:sz w:val="18"/>
                <w:szCs w:val="18"/>
              </w:rPr>
            </w:pPr>
            <w:r>
              <w:rPr>
                <w:rFonts w:ascii="Times New Roman" w:hAnsi="Times New Roman"/>
                <w:noProof/>
                <w:color w:val="000000"/>
                <w:sz w:val="18"/>
                <w:szCs w:val="18"/>
              </w:rPr>
              <w:t>4802.56</w:t>
            </w:r>
          </w:p>
        </w:tc>
        <w:tc>
          <w:tcPr>
            <w:tcW w:w="4514" w:type="pct"/>
          </w:tcPr>
          <w:p>
            <w:pPr>
              <w:autoSpaceDE w:val="0"/>
              <w:autoSpaceDN w:val="0"/>
              <w:adjustRightInd w:val="0"/>
              <w:spacing w:after="60" w:line="240" w:lineRule="auto"/>
              <w:rPr>
                <w:rFonts w:ascii="Times New Roman" w:eastAsiaTheme="minorHAnsi" w:hAnsi="Times New Roman" w:cs="Times New Roman"/>
                <w:noProof/>
                <w:color w:val="000000"/>
                <w:sz w:val="18"/>
                <w:szCs w:val="18"/>
                <w:lang w:val="fr-BE"/>
              </w:rPr>
            </w:pPr>
            <w:r>
              <w:rPr>
                <w:rFonts w:ascii="Times New Roman" w:hAnsi="Times New Roman"/>
                <w:noProof/>
                <w:color w:val="000000"/>
                <w:sz w:val="18"/>
                <w:szCs w:val="18"/>
                <w:lang w:val="fr-BE"/>
              </w:rPr>
              <w:t>Papiers et cartons non couchés (sauf 4801 et 4803); impression, écriture ou graphisme, 10 % ou moins en poids de fibres traitées mécaniquement ou chimico-mécaniquement, poids 40 à 150 g/m</w:t>
            </w:r>
            <w:r>
              <w:rPr>
                <w:rFonts w:ascii="Times New Roman" w:hAnsi="Times New Roman"/>
                <w:noProof/>
                <w:color w:val="000000"/>
                <w:sz w:val="18"/>
                <w:szCs w:val="18"/>
                <w:vertAlign w:val="superscript"/>
                <w:lang w:val="fr-BE"/>
              </w:rPr>
              <w:t>2</w:t>
            </w:r>
            <w:r>
              <w:rPr>
                <w:rFonts w:ascii="Times New Roman" w:hAnsi="Times New Roman"/>
                <w:noProof/>
                <w:color w:val="000000"/>
                <w:sz w:val="18"/>
                <w:szCs w:val="18"/>
                <w:lang w:val="fr-BE"/>
              </w:rPr>
              <w:t>, en feuilles de 435 mm ou moins par 297 mm ou moins (non pliées)</w:t>
            </w:r>
          </w:p>
        </w:tc>
      </w:tr>
      <w:tr>
        <w:tc>
          <w:tcPr>
            <w:tcW w:w="486" w:type="pct"/>
          </w:tcPr>
          <w:p>
            <w:pPr>
              <w:autoSpaceDE w:val="0"/>
              <w:autoSpaceDN w:val="0"/>
              <w:adjustRightInd w:val="0"/>
              <w:spacing w:after="60" w:line="240" w:lineRule="auto"/>
              <w:rPr>
                <w:rFonts w:ascii="Times New Roman" w:eastAsiaTheme="minorHAnsi" w:hAnsi="Times New Roman" w:cs="Times New Roman"/>
                <w:noProof/>
                <w:color w:val="000000"/>
                <w:sz w:val="18"/>
                <w:szCs w:val="18"/>
              </w:rPr>
            </w:pPr>
            <w:r>
              <w:rPr>
                <w:rFonts w:ascii="Times New Roman" w:hAnsi="Times New Roman"/>
                <w:noProof/>
                <w:color w:val="000000"/>
                <w:sz w:val="18"/>
                <w:szCs w:val="18"/>
              </w:rPr>
              <w:t>4803</w:t>
            </w:r>
          </w:p>
        </w:tc>
        <w:tc>
          <w:tcPr>
            <w:tcW w:w="4514" w:type="pct"/>
          </w:tcPr>
          <w:p>
            <w:pPr>
              <w:autoSpaceDE w:val="0"/>
              <w:autoSpaceDN w:val="0"/>
              <w:adjustRightInd w:val="0"/>
              <w:spacing w:after="60" w:line="240" w:lineRule="auto"/>
              <w:rPr>
                <w:rFonts w:ascii="Times New Roman" w:eastAsiaTheme="minorHAnsi" w:hAnsi="Times New Roman" w:cs="Times New Roman"/>
                <w:noProof/>
                <w:color w:val="000000"/>
                <w:sz w:val="18"/>
                <w:szCs w:val="18"/>
                <w:lang w:val="fr-BE"/>
              </w:rPr>
            </w:pPr>
            <w:r>
              <w:rPr>
                <w:rFonts w:ascii="Times New Roman" w:hAnsi="Times New Roman"/>
                <w:noProof/>
                <w:color w:val="000000"/>
                <w:sz w:val="18"/>
                <w:szCs w:val="18"/>
                <w:lang w:val="fr-BE"/>
              </w:rPr>
              <w:t>Papier hygiénique, essuie-mains, serviettes ou similaire; pour usages domestiques ou sanitaires, ouate de cellulose, nappes de fibres de cellulose, en rouleaux de plus de 36 cm de largeur ou en feuilles rectangulaires dont un côté dépasse 36 cm lorsqu’elles sont dépliées</w:t>
            </w:r>
          </w:p>
        </w:tc>
      </w:tr>
      <w:tr>
        <w:tc>
          <w:tcPr>
            <w:tcW w:w="486" w:type="pct"/>
          </w:tcPr>
          <w:p>
            <w:pPr>
              <w:autoSpaceDE w:val="0"/>
              <w:autoSpaceDN w:val="0"/>
              <w:adjustRightInd w:val="0"/>
              <w:spacing w:after="60" w:line="240" w:lineRule="auto"/>
              <w:rPr>
                <w:rFonts w:ascii="Times New Roman" w:eastAsiaTheme="minorHAnsi" w:hAnsi="Times New Roman" w:cs="Times New Roman"/>
                <w:noProof/>
                <w:color w:val="000000"/>
                <w:sz w:val="18"/>
                <w:szCs w:val="18"/>
              </w:rPr>
            </w:pPr>
            <w:r>
              <w:rPr>
                <w:rFonts w:ascii="Times New Roman" w:hAnsi="Times New Roman"/>
                <w:noProof/>
                <w:color w:val="000000"/>
                <w:sz w:val="18"/>
                <w:szCs w:val="18"/>
              </w:rPr>
              <w:t>4804</w:t>
            </w:r>
          </w:p>
        </w:tc>
        <w:tc>
          <w:tcPr>
            <w:tcW w:w="4514" w:type="pct"/>
          </w:tcPr>
          <w:p>
            <w:pPr>
              <w:autoSpaceDE w:val="0"/>
              <w:autoSpaceDN w:val="0"/>
              <w:adjustRightInd w:val="0"/>
              <w:spacing w:after="60" w:line="240" w:lineRule="auto"/>
              <w:rPr>
                <w:rFonts w:ascii="Times New Roman" w:eastAsiaTheme="minorHAnsi" w:hAnsi="Times New Roman" w:cs="Times New Roman"/>
                <w:noProof/>
                <w:color w:val="000000"/>
                <w:sz w:val="18"/>
                <w:szCs w:val="18"/>
                <w:lang w:val="fr-BE"/>
              </w:rPr>
            </w:pPr>
            <w:r>
              <w:rPr>
                <w:rFonts w:ascii="Times New Roman" w:hAnsi="Times New Roman"/>
                <w:noProof/>
                <w:color w:val="000000"/>
                <w:sz w:val="18"/>
                <w:szCs w:val="18"/>
                <w:lang w:val="fr-BE"/>
              </w:rPr>
              <w:t>Papiers et cartons kraft, non couchés ni enduits, en rouleaux ou en feuilles, autres que ceux des positions 4802 ou 4803</w:t>
            </w:r>
          </w:p>
        </w:tc>
      </w:tr>
      <w:tr>
        <w:tc>
          <w:tcPr>
            <w:tcW w:w="486" w:type="pct"/>
          </w:tcPr>
          <w:p>
            <w:pPr>
              <w:autoSpaceDE w:val="0"/>
              <w:autoSpaceDN w:val="0"/>
              <w:adjustRightInd w:val="0"/>
              <w:spacing w:after="60" w:line="240" w:lineRule="auto"/>
              <w:rPr>
                <w:rFonts w:ascii="Times New Roman" w:eastAsiaTheme="minorHAnsi" w:hAnsi="Times New Roman" w:cs="Times New Roman"/>
                <w:noProof/>
                <w:color w:val="000000"/>
                <w:sz w:val="18"/>
                <w:szCs w:val="18"/>
              </w:rPr>
            </w:pPr>
            <w:r>
              <w:rPr>
                <w:rFonts w:ascii="Times New Roman" w:hAnsi="Times New Roman"/>
                <w:noProof/>
                <w:color w:val="000000"/>
                <w:sz w:val="18"/>
                <w:szCs w:val="18"/>
              </w:rPr>
              <w:t>4810</w:t>
            </w:r>
          </w:p>
        </w:tc>
        <w:tc>
          <w:tcPr>
            <w:tcW w:w="4514" w:type="pct"/>
          </w:tcPr>
          <w:p>
            <w:pPr>
              <w:autoSpaceDE w:val="0"/>
              <w:autoSpaceDN w:val="0"/>
              <w:adjustRightInd w:val="0"/>
              <w:spacing w:after="60" w:line="240" w:lineRule="auto"/>
              <w:rPr>
                <w:rFonts w:ascii="Times New Roman" w:eastAsiaTheme="minorHAnsi" w:hAnsi="Times New Roman" w:cs="Times New Roman"/>
                <w:noProof/>
                <w:color w:val="000000"/>
                <w:sz w:val="18"/>
                <w:szCs w:val="18"/>
                <w:lang w:val="fr-BE"/>
              </w:rPr>
            </w:pPr>
            <w:r>
              <w:rPr>
                <w:rFonts w:ascii="Times New Roman" w:hAnsi="Times New Roman"/>
                <w:noProof/>
                <w:color w:val="000000"/>
                <w:sz w:val="18"/>
                <w:szCs w:val="18"/>
                <w:lang w:val="fr-BE"/>
              </w:rPr>
              <w:t>Papiers et cartons couchés au kaolin ou à d’autres substances inorganiques sur une ou sur les deux faces, avec ou sans liants, à l’exclusion de tout autre couchage ou enduction, même coloriés en surface, décorés en surface ou imprimés, en rouleaux ou en feuilles de forme carrée ou rectangulaire, de tout format (non de matériaux autres que le bois ou recyclés)</w:t>
            </w:r>
          </w:p>
        </w:tc>
      </w:tr>
      <w:tr>
        <w:tc>
          <w:tcPr>
            <w:tcW w:w="486" w:type="pct"/>
            <w:shd w:val="clear" w:color="auto" w:fill="auto"/>
          </w:tcPr>
          <w:p>
            <w:pPr>
              <w:autoSpaceDE w:val="0"/>
              <w:autoSpaceDN w:val="0"/>
              <w:adjustRightInd w:val="0"/>
              <w:spacing w:after="60" w:line="240" w:lineRule="auto"/>
              <w:rPr>
                <w:rFonts w:ascii="Times New Roman" w:eastAsiaTheme="minorHAnsi" w:hAnsi="Times New Roman" w:cs="Times New Roman"/>
                <w:noProof/>
                <w:color w:val="000000"/>
                <w:sz w:val="18"/>
                <w:szCs w:val="18"/>
              </w:rPr>
            </w:pPr>
            <w:r>
              <w:rPr>
                <w:rFonts w:ascii="Times New Roman" w:hAnsi="Times New Roman"/>
                <w:noProof/>
                <w:color w:val="000000"/>
                <w:sz w:val="18"/>
                <w:szCs w:val="18"/>
              </w:rPr>
              <w:t>4821</w:t>
            </w:r>
          </w:p>
        </w:tc>
        <w:tc>
          <w:tcPr>
            <w:tcW w:w="4514" w:type="pct"/>
            <w:shd w:val="clear" w:color="auto" w:fill="auto"/>
          </w:tcPr>
          <w:p>
            <w:pPr>
              <w:autoSpaceDE w:val="0"/>
              <w:autoSpaceDN w:val="0"/>
              <w:adjustRightInd w:val="0"/>
              <w:spacing w:after="60" w:line="240" w:lineRule="auto"/>
              <w:rPr>
                <w:rFonts w:ascii="Times New Roman" w:eastAsiaTheme="minorHAnsi" w:hAnsi="Times New Roman" w:cs="Times New Roman"/>
                <w:noProof/>
                <w:color w:val="000000"/>
                <w:sz w:val="18"/>
                <w:szCs w:val="18"/>
                <w:lang w:val="fr-BE"/>
              </w:rPr>
            </w:pPr>
            <w:r>
              <w:rPr>
                <w:rFonts w:ascii="Times New Roman" w:hAnsi="Times New Roman"/>
                <w:noProof/>
                <w:color w:val="000000"/>
                <w:sz w:val="18"/>
                <w:szCs w:val="18"/>
                <w:lang w:val="fr-BE"/>
              </w:rPr>
              <w:t>Étiquettes de tous genres, en papier ou carton, imprimées ou non</w:t>
            </w:r>
          </w:p>
        </w:tc>
      </w:tr>
      <w:tr>
        <w:tc>
          <w:tcPr>
            <w:tcW w:w="486" w:type="pct"/>
          </w:tcPr>
          <w:p>
            <w:pPr>
              <w:autoSpaceDE w:val="0"/>
              <w:autoSpaceDN w:val="0"/>
              <w:adjustRightInd w:val="0"/>
              <w:spacing w:after="60" w:line="240" w:lineRule="auto"/>
              <w:rPr>
                <w:rFonts w:ascii="Times New Roman" w:eastAsiaTheme="minorHAnsi" w:hAnsi="Times New Roman" w:cs="Times New Roman"/>
                <w:noProof/>
                <w:color w:val="000000"/>
                <w:sz w:val="18"/>
                <w:szCs w:val="18"/>
              </w:rPr>
            </w:pPr>
            <w:r>
              <w:rPr>
                <w:rFonts w:ascii="Times New Roman" w:hAnsi="Times New Roman"/>
                <w:noProof/>
                <w:color w:val="000000"/>
                <w:sz w:val="18"/>
                <w:szCs w:val="18"/>
              </w:rPr>
              <w:t>9401</w:t>
            </w:r>
          </w:p>
        </w:tc>
        <w:tc>
          <w:tcPr>
            <w:tcW w:w="4514" w:type="pct"/>
          </w:tcPr>
          <w:p>
            <w:pPr>
              <w:autoSpaceDE w:val="0"/>
              <w:autoSpaceDN w:val="0"/>
              <w:adjustRightInd w:val="0"/>
              <w:spacing w:after="60" w:line="240" w:lineRule="auto"/>
              <w:rPr>
                <w:rFonts w:ascii="Times New Roman" w:eastAsiaTheme="minorHAnsi" w:hAnsi="Times New Roman" w:cs="Times New Roman"/>
                <w:noProof/>
                <w:color w:val="000000"/>
                <w:sz w:val="18"/>
                <w:szCs w:val="18"/>
                <w:lang w:val="fr-BE"/>
              </w:rPr>
            </w:pPr>
            <w:r>
              <w:rPr>
                <w:rFonts w:ascii="Times New Roman" w:hAnsi="Times New Roman"/>
                <w:noProof/>
                <w:color w:val="000000"/>
                <w:sz w:val="18"/>
                <w:szCs w:val="18"/>
                <w:lang w:val="fr-BE"/>
              </w:rPr>
              <w:t>Sièges (à l’exclusion de ceux de la position 94.02), même transformables en lits, et leurs parties</w:t>
            </w:r>
          </w:p>
        </w:tc>
      </w:tr>
      <w:tr>
        <w:tc>
          <w:tcPr>
            <w:tcW w:w="486" w:type="pct"/>
          </w:tcPr>
          <w:p>
            <w:pPr>
              <w:autoSpaceDE w:val="0"/>
              <w:autoSpaceDN w:val="0"/>
              <w:adjustRightInd w:val="0"/>
              <w:spacing w:after="60" w:line="240" w:lineRule="auto"/>
              <w:rPr>
                <w:rFonts w:ascii="Times New Roman" w:eastAsiaTheme="minorHAnsi" w:hAnsi="Times New Roman" w:cs="Times New Roman"/>
                <w:noProof/>
                <w:color w:val="000000"/>
                <w:sz w:val="18"/>
                <w:szCs w:val="18"/>
              </w:rPr>
            </w:pPr>
            <w:r>
              <w:rPr>
                <w:rFonts w:ascii="Times New Roman" w:hAnsi="Times New Roman"/>
                <w:noProof/>
                <w:color w:val="000000"/>
                <w:sz w:val="18"/>
                <w:szCs w:val="18"/>
              </w:rPr>
              <w:t>9401.69</w:t>
            </w:r>
          </w:p>
        </w:tc>
        <w:tc>
          <w:tcPr>
            <w:tcW w:w="4514" w:type="pct"/>
          </w:tcPr>
          <w:p>
            <w:pPr>
              <w:autoSpaceDE w:val="0"/>
              <w:autoSpaceDN w:val="0"/>
              <w:adjustRightInd w:val="0"/>
              <w:spacing w:after="60" w:line="240" w:lineRule="auto"/>
              <w:rPr>
                <w:rFonts w:ascii="Times New Roman" w:eastAsiaTheme="minorHAnsi" w:hAnsi="Times New Roman" w:cs="Times New Roman"/>
                <w:noProof/>
                <w:color w:val="000000"/>
                <w:sz w:val="18"/>
                <w:szCs w:val="18"/>
                <w:lang w:val="fr-BE"/>
              </w:rPr>
            </w:pPr>
            <w:r>
              <w:rPr>
                <w:rFonts w:ascii="Times New Roman" w:hAnsi="Times New Roman"/>
                <w:noProof/>
                <w:color w:val="000000"/>
                <w:sz w:val="18"/>
                <w:szCs w:val="18"/>
                <w:lang w:val="fr-BE"/>
              </w:rPr>
              <w:t>Sièges; avec cadres en bois, non rembourrés (à l’exclusion du mobilier médical, chirurgical, dentaire, vétérinaire ou de barbier)</w:t>
            </w:r>
          </w:p>
        </w:tc>
      </w:tr>
      <w:tr>
        <w:tc>
          <w:tcPr>
            <w:tcW w:w="486" w:type="pct"/>
          </w:tcPr>
          <w:p>
            <w:pPr>
              <w:autoSpaceDE w:val="0"/>
              <w:autoSpaceDN w:val="0"/>
              <w:adjustRightInd w:val="0"/>
              <w:spacing w:after="60" w:line="240" w:lineRule="auto"/>
              <w:rPr>
                <w:rFonts w:ascii="Times New Roman" w:eastAsiaTheme="minorHAnsi" w:hAnsi="Times New Roman" w:cs="Times New Roman"/>
                <w:noProof/>
                <w:color w:val="000000"/>
                <w:sz w:val="18"/>
                <w:szCs w:val="18"/>
              </w:rPr>
            </w:pPr>
            <w:r>
              <w:rPr>
                <w:rFonts w:ascii="Times New Roman" w:hAnsi="Times New Roman"/>
                <w:noProof/>
                <w:color w:val="000000"/>
                <w:sz w:val="18"/>
                <w:szCs w:val="18"/>
              </w:rPr>
              <w:t>9403</w:t>
            </w:r>
          </w:p>
        </w:tc>
        <w:tc>
          <w:tcPr>
            <w:tcW w:w="4514" w:type="pct"/>
          </w:tcPr>
          <w:p>
            <w:pPr>
              <w:autoSpaceDE w:val="0"/>
              <w:autoSpaceDN w:val="0"/>
              <w:adjustRightInd w:val="0"/>
              <w:spacing w:after="60" w:line="240" w:lineRule="auto"/>
              <w:rPr>
                <w:rFonts w:ascii="Times New Roman" w:eastAsiaTheme="minorHAnsi" w:hAnsi="Times New Roman" w:cs="Times New Roman"/>
                <w:noProof/>
                <w:color w:val="000000"/>
                <w:sz w:val="18"/>
                <w:szCs w:val="18"/>
                <w:lang w:val="fr-BE"/>
              </w:rPr>
            </w:pPr>
            <w:r>
              <w:rPr>
                <w:rFonts w:ascii="Times New Roman" w:hAnsi="Times New Roman"/>
                <w:noProof/>
                <w:color w:val="000000"/>
                <w:sz w:val="18"/>
                <w:szCs w:val="18"/>
                <w:lang w:val="fr-BE"/>
              </w:rPr>
              <w:t>Autres meubles et leurs parties</w:t>
            </w:r>
          </w:p>
        </w:tc>
      </w:tr>
      <w:tr>
        <w:tc>
          <w:tcPr>
            <w:tcW w:w="486" w:type="pct"/>
          </w:tcPr>
          <w:p>
            <w:pPr>
              <w:autoSpaceDE w:val="0"/>
              <w:autoSpaceDN w:val="0"/>
              <w:adjustRightInd w:val="0"/>
              <w:spacing w:after="60" w:line="240" w:lineRule="auto"/>
              <w:rPr>
                <w:rFonts w:ascii="Times New Roman" w:eastAsiaTheme="minorHAnsi" w:hAnsi="Times New Roman" w:cs="Times New Roman"/>
                <w:noProof/>
                <w:color w:val="000000"/>
                <w:sz w:val="18"/>
                <w:szCs w:val="18"/>
              </w:rPr>
            </w:pPr>
            <w:r>
              <w:rPr>
                <w:rFonts w:ascii="Times New Roman" w:hAnsi="Times New Roman"/>
                <w:noProof/>
                <w:color w:val="000000"/>
                <w:sz w:val="18"/>
                <w:szCs w:val="18"/>
              </w:rPr>
              <w:t>9403.60</w:t>
            </w:r>
          </w:p>
        </w:tc>
        <w:tc>
          <w:tcPr>
            <w:tcW w:w="4514" w:type="pct"/>
          </w:tcPr>
          <w:p>
            <w:pPr>
              <w:autoSpaceDE w:val="0"/>
              <w:autoSpaceDN w:val="0"/>
              <w:adjustRightInd w:val="0"/>
              <w:spacing w:after="60" w:line="240" w:lineRule="auto"/>
              <w:rPr>
                <w:rFonts w:ascii="Times New Roman" w:eastAsiaTheme="minorHAnsi" w:hAnsi="Times New Roman" w:cs="Times New Roman"/>
                <w:noProof/>
                <w:color w:val="000000"/>
                <w:sz w:val="18"/>
                <w:szCs w:val="18"/>
                <w:lang w:val="fr-BE"/>
              </w:rPr>
            </w:pPr>
            <w:r>
              <w:rPr>
                <w:rFonts w:ascii="Times New Roman" w:hAnsi="Times New Roman"/>
                <w:noProof/>
                <w:color w:val="000000"/>
                <w:sz w:val="18"/>
                <w:szCs w:val="18"/>
                <w:lang w:val="fr-BE"/>
              </w:rPr>
              <w:t>Meubles; en bois, autre que pour le bureau, la cuisine ou la chambre à coucher</w:t>
            </w:r>
          </w:p>
        </w:tc>
      </w:tr>
    </w:tbl>
    <w:p>
      <w:pPr>
        <w:spacing w:after="0" w:line="240" w:lineRule="auto"/>
        <w:jc w:val="both"/>
        <w:rPr>
          <w:rFonts w:ascii="Times New Roman" w:hAnsi="Times New Roman"/>
          <w:noProof/>
          <w:sz w:val="24"/>
          <w:szCs w:val="24"/>
          <w:lang w:val="fr-BE" w:eastAsia="en-GB"/>
        </w:rPr>
        <w:sectPr>
          <w:headerReference w:type="even" r:id="rId28"/>
          <w:headerReference w:type="default" r:id="rId29"/>
          <w:footerReference w:type="even" r:id="rId30"/>
          <w:footerReference w:type="default" r:id="rId31"/>
          <w:headerReference w:type="first" r:id="rId32"/>
          <w:footerReference w:type="first" r:id="rId33"/>
          <w:pgSz w:w="11906" w:h="16838"/>
          <w:pgMar w:top="1417" w:right="1417" w:bottom="1417" w:left="1417" w:header="708" w:footer="708" w:gutter="0"/>
          <w:cols w:space="720"/>
          <w:docGrid w:linePitch="360"/>
        </w:sectPr>
      </w:pPr>
    </w:p>
    <w:p>
      <w:pPr>
        <w:spacing w:line="270" w:lineRule="atLeast"/>
        <w:jc w:val="right"/>
        <w:rPr>
          <w:rFonts w:ascii="Times New Roman" w:hAnsi="Times New Roman"/>
          <w:b/>
          <w:bCs/>
          <w:noProof/>
          <w:sz w:val="24"/>
          <w:szCs w:val="24"/>
          <w:lang w:val="fr-BE"/>
        </w:rPr>
      </w:pPr>
      <w:r>
        <w:rPr>
          <w:rFonts w:ascii="Times New Roman" w:hAnsi="Times New Roman"/>
          <w:b/>
          <w:bCs/>
          <w:noProof/>
          <w:sz w:val="24"/>
          <w:szCs w:val="24"/>
          <w:lang w:val="fr-BE"/>
        </w:rPr>
        <w:t>Annexe B</w:t>
      </w:r>
    </w:p>
    <w:p>
      <w:pPr>
        <w:spacing w:line="270" w:lineRule="atLeast"/>
        <w:rPr>
          <w:rFonts w:ascii="Times New Roman" w:hAnsi="Times New Roman"/>
          <w:b/>
          <w:noProof/>
          <w:sz w:val="20"/>
          <w:szCs w:val="20"/>
          <w:lang w:val="fr-BE"/>
        </w:rPr>
      </w:pPr>
      <w:r>
        <w:rPr>
          <w:rFonts w:ascii="Times New Roman" w:hAnsi="Times New Roman"/>
          <w:b/>
          <w:bCs/>
          <w:noProof/>
          <w:sz w:val="20"/>
          <w:szCs w:val="20"/>
          <w:lang w:val="fr-BE"/>
        </w:rPr>
        <w:t>Tableau 1:</w:t>
      </w:r>
      <w:r>
        <w:rPr>
          <w:rFonts w:ascii="Times New Roman" w:hAnsi="Times New Roman"/>
          <w:b/>
          <w:noProof/>
          <w:sz w:val="20"/>
          <w:szCs w:val="20"/>
          <w:lang w:val="fr-BE"/>
        </w:rPr>
        <w:t xml:space="preserve"> Critères utilisés pour déterminer si une vérification supplémentaire d’une autorisation FLEGT était nécessaire, lorsque les États membres l’ont signalée. </w:t>
      </w:r>
    </w:p>
    <w:tbl>
      <w:tblPr>
        <w:tblW w:w="4931" w:type="pct"/>
        <w:tblBorders>
          <w:top w:val="single" w:sz="4" w:space="0" w:color="auto"/>
          <w:bottom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263"/>
        <w:gridCol w:w="1367"/>
        <w:gridCol w:w="1123"/>
        <w:gridCol w:w="1123"/>
        <w:gridCol w:w="1123"/>
        <w:gridCol w:w="1123"/>
        <w:gridCol w:w="1123"/>
        <w:gridCol w:w="1123"/>
        <w:gridCol w:w="4498"/>
      </w:tblGrid>
      <w:tr>
        <w:trPr>
          <w:trHeight w:val="20"/>
        </w:trPr>
        <w:tc>
          <w:tcPr>
            <w:tcW w:w="455" w:type="pct"/>
            <w:shd w:val="clear" w:color="000000" w:fill="6C8911"/>
            <w:noWrap/>
            <w:hideMark/>
          </w:tcPr>
          <w:p>
            <w:pPr>
              <w:spacing w:after="0" w:line="240" w:lineRule="auto"/>
              <w:rPr>
                <w:rFonts w:ascii="Times New Roman" w:eastAsia="Times New Roman" w:hAnsi="Times New Roman"/>
                <w:noProof/>
                <w:color w:val="FFFFFF"/>
                <w:sz w:val="18"/>
                <w:szCs w:val="18"/>
              </w:rPr>
            </w:pPr>
            <w:r>
              <w:rPr>
                <w:rFonts w:ascii="Times New Roman" w:hAnsi="Times New Roman"/>
                <w:noProof/>
                <w:color w:val="FFFFFF"/>
                <w:sz w:val="18"/>
                <w:szCs w:val="18"/>
              </w:rPr>
              <w:t>Pays</w:t>
            </w:r>
          </w:p>
        </w:tc>
        <w:tc>
          <w:tcPr>
            <w:tcW w:w="493" w:type="pct"/>
            <w:shd w:val="clear" w:color="000000" w:fill="6C8911"/>
            <w:noWrap/>
            <w:hideMark/>
          </w:tcPr>
          <w:p>
            <w:pPr>
              <w:spacing w:after="0" w:line="240" w:lineRule="auto"/>
              <w:rPr>
                <w:rFonts w:ascii="Times New Roman" w:eastAsia="Times New Roman" w:hAnsi="Times New Roman"/>
                <w:noProof/>
                <w:color w:val="FFFFFF"/>
                <w:sz w:val="18"/>
                <w:szCs w:val="18"/>
              </w:rPr>
            </w:pPr>
            <w:r>
              <w:rPr>
                <w:rFonts w:ascii="Times New Roman" w:hAnsi="Times New Roman"/>
                <w:noProof/>
                <w:color w:val="FFFFFF"/>
                <w:sz w:val="18"/>
                <w:szCs w:val="18"/>
              </w:rPr>
              <w:t>Agence effectuant les contrôles*</w:t>
            </w:r>
          </w:p>
        </w:tc>
        <w:tc>
          <w:tcPr>
            <w:tcW w:w="405" w:type="pct"/>
            <w:shd w:val="clear" w:color="000000" w:fill="6C8911"/>
            <w:noWrap/>
            <w:hideMark/>
          </w:tcPr>
          <w:p>
            <w:pPr>
              <w:spacing w:after="0" w:line="240" w:lineRule="auto"/>
              <w:jc w:val="center"/>
              <w:rPr>
                <w:rFonts w:ascii="Times New Roman" w:eastAsia="Times New Roman" w:hAnsi="Times New Roman"/>
                <w:noProof/>
                <w:color w:val="FFFFFF"/>
                <w:sz w:val="18"/>
                <w:szCs w:val="18"/>
              </w:rPr>
            </w:pPr>
            <w:r>
              <w:rPr>
                <w:rFonts w:ascii="Times New Roman" w:hAnsi="Times New Roman"/>
                <w:noProof/>
                <w:color w:val="FFFFFF"/>
                <w:sz w:val="18"/>
                <w:szCs w:val="18"/>
              </w:rPr>
              <w:t>Espèces</w:t>
            </w:r>
          </w:p>
        </w:tc>
        <w:tc>
          <w:tcPr>
            <w:tcW w:w="405" w:type="pct"/>
            <w:shd w:val="clear" w:color="000000" w:fill="6C8911"/>
            <w:noWrap/>
            <w:hideMark/>
          </w:tcPr>
          <w:p>
            <w:pPr>
              <w:spacing w:after="0" w:line="240" w:lineRule="auto"/>
              <w:jc w:val="center"/>
              <w:rPr>
                <w:rFonts w:ascii="Times New Roman" w:eastAsia="Times New Roman" w:hAnsi="Times New Roman"/>
                <w:noProof/>
                <w:color w:val="FFFFFF"/>
                <w:sz w:val="18"/>
                <w:szCs w:val="18"/>
              </w:rPr>
            </w:pPr>
            <w:r>
              <w:rPr>
                <w:rFonts w:ascii="Times New Roman" w:hAnsi="Times New Roman"/>
                <w:noProof/>
                <w:color w:val="FFFFFF"/>
                <w:sz w:val="18"/>
                <w:szCs w:val="18"/>
              </w:rPr>
              <w:t>Exploitant</w:t>
            </w:r>
          </w:p>
        </w:tc>
        <w:tc>
          <w:tcPr>
            <w:tcW w:w="405" w:type="pct"/>
            <w:shd w:val="clear" w:color="000000" w:fill="6C8911"/>
            <w:noWrap/>
            <w:hideMark/>
          </w:tcPr>
          <w:p>
            <w:pPr>
              <w:spacing w:after="0" w:line="240" w:lineRule="auto"/>
              <w:jc w:val="center"/>
              <w:rPr>
                <w:rFonts w:ascii="Times New Roman" w:eastAsia="Times New Roman" w:hAnsi="Times New Roman"/>
                <w:noProof/>
                <w:color w:val="FFFFFF"/>
                <w:sz w:val="18"/>
                <w:szCs w:val="18"/>
              </w:rPr>
            </w:pPr>
            <w:r>
              <w:rPr>
                <w:rFonts w:ascii="Times New Roman" w:hAnsi="Times New Roman"/>
                <w:noProof/>
                <w:color w:val="FFFFFF"/>
                <w:sz w:val="18"/>
                <w:szCs w:val="18"/>
              </w:rPr>
              <w:t>Volume/poids du transfert</w:t>
            </w:r>
          </w:p>
        </w:tc>
        <w:tc>
          <w:tcPr>
            <w:tcW w:w="405" w:type="pct"/>
            <w:shd w:val="clear" w:color="000000" w:fill="6C8911"/>
            <w:noWrap/>
            <w:hideMark/>
          </w:tcPr>
          <w:p>
            <w:pPr>
              <w:spacing w:after="0" w:line="240" w:lineRule="auto"/>
              <w:jc w:val="center"/>
              <w:rPr>
                <w:rFonts w:ascii="Times New Roman" w:eastAsia="Times New Roman" w:hAnsi="Times New Roman"/>
                <w:noProof/>
                <w:color w:val="FFFFFF"/>
                <w:sz w:val="18"/>
                <w:szCs w:val="18"/>
              </w:rPr>
            </w:pPr>
            <w:r>
              <w:rPr>
                <w:rFonts w:ascii="Times New Roman" w:hAnsi="Times New Roman"/>
                <w:noProof/>
                <w:color w:val="FFFFFF"/>
                <w:sz w:val="18"/>
                <w:szCs w:val="18"/>
              </w:rPr>
              <w:t>Codes SH</w:t>
            </w:r>
          </w:p>
        </w:tc>
        <w:tc>
          <w:tcPr>
            <w:tcW w:w="405" w:type="pct"/>
            <w:shd w:val="clear" w:color="000000" w:fill="6C8911"/>
            <w:noWrap/>
            <w:hideMark/>
          </w:tcPr>
          <w:p>
            <w:pPr>
              <w:spacing w:after="0" w:line="240" w:lineRule="auto"/>
              <w:jc w:val="center"/>
              <w:rPr>
                <w:rFonts w:ascii="Times New Roman" w:eastAsia="Times New Roman" w:hAnsi="Times New Roman"/>
                <w:noProof/>
                <w:color w:val="FFFFFF"/>
                <w:sz w:val="18"/>
                <w:szCs w:val="18"/>
              </w:rPr>
            </w:pPr>
            <w:r>
              <w:rPr>
                <w:rFonts w:ascii="Times New Roman" w:hAnsi="Times New Roman"/>
                <w:noProof/>
                <w:color w:val="FFFFFF"/>
                <w:sz w:val="18"/>
                <w:szCs w:val="18"/>
              </w:rPr>
              <w:t>Pays d’origine</w:t>
            </w:r>
          </w:p>
        </w:tc>
        <w:tc>
          <w:tcPr>
            <w:tcW w:w="405" w:type="pct"/>
            <w:shd w:val="clear" w:color="000000" w:fill="6C8911"/>
            <w:noWrap/>
            <w:hideMark/>
          </w:tcPr>
          <w:p>
            <w:pPr>
              <w:spacing w:after="0" w:line="240" w:lineRule="auto"/>
              <w:jc w:val="center"/>
              <w:rPr>
                <w:rFonts w:ascii="Times New Roman" w:eastAsia="Times New Roman" w:hAnsi="Times New Roman"/>
                <w:noProof/>
                <w:color w:val="FFFFFF"/>
                <w:sz w:val="18"/>
                <w:szCs w:val="18"/>
                <w:lang w:val="fr-BE"/>
              </w:rPr>
            </w:pPr>
            <w:r>
              <w:rPr>
                <w:rFonts w:ascii="Times New Roman" w:hAnsi="Times New Roman"/>
                <w:noProof/>
                <w:color w:val="FFFFFF"/>
                <w:sz w:val="18"/>
                <w:szCs w:val="18"/>
                <w:lang w:val="fr-BE"/>
              </w:rPr>
              <w:t>Divergences des informations contenues dans les documents</w:t>
            </w:r>
          </w:p>
        </w:tc>
        <w:tc>
          <w:tcPr>
            <w:tcW w:w="1622" w:type="pct"/>
            <w:shd w:val="clear" w:color="000000" w:fill="6C8911"/>
            <w:noWrap/>
            <w:hideMark/>
          </w:tcPr>
          <w:p>
            <w:pPr>
              <w:spacing w:after="0" w:line="240" w:lineRule="auto"/>
              <w:rPr>
                <w:rFonts w:ascii="Times New Roman" w:eastAsia="Times New Roman" w:hAnsi="Times New Roman"/>
                <w:noProof/>
                <w:color w:val="FFFFFF"/>
                <w:sz w:val="18"/>
                <w:szCs w:val="18"/>
              </w:rPr>
            </w:pPr>
            <w:r>
              <w:rPr>
                <w:rFonts w:ascii="Times New Roman" w:hAnsi="Times New Roman"/>
                <w:noProof/>
                <w:color w:val="FFFFFF"/>
                <w:sz w:val="18"/>
                <w:szCs w:val="18"/>
              </w:rPr>
              <w:t>Autres problèmes**</w:t>
            </w:r>
          </w:p>
        </w:tc>
      </w:tr>
      <w:tr>
        <w:trPr>
          <w:trHeight w:val="20"/>
        </w:trPr>
        <w:tc>
          <w:tcPr>
            <w:tcW w:w="455" w:type="pct"/>
            <w:shd w:val="clear" w:color="auto" w:fill="auto"/>
            <w:noWrap/>
            <w:hideMark/>
          </w:tcPr>
          <w:p>
            <w:pPr>
              <w:spacing w:after="0" w:line="240" w:lineRule="auto"/>
              <w:rPr>
                <w:rFonts w:ascii="Times New Roman" w:eastAsia="Times New Roman" w:hAnsi="Times New Roman"/>
                <w:noProof/>
                <w:color w:val="000000"/>
                <w:sz w:val="18"/>
                <w:szCs w:val="18"/>
              </w:rPr>
            </w:pPr>
            <w:r>
              <w:rPr>
                <w:rFonts w:ascii="Times New Roman" w:hAnsi="Times New Roman"/>
                <w:noProof/>
                <w:color w:val="000000"/>
                <w:sz w:val="18"/>
                <w:szCs w:val="18"/>
              </w:rPr>
              <w:t>Autriche</w:t>
            </w:r>
          </w:p>
        </w:tc>
        <w:tc>
          <w:tcPr>
            <w:tcW w:w="493" w:type="pct"/>
            <w:shd w:val="clear" w:color="auto" w:fill="auto"/>
            <w:noWrap/>
            <w:hideMark/>
          </w:tcPr>
          <w:p>
            <w:pPr>
              <w:spacing w:after="0" w:line="240" w:lineRule="auto"/>
              <w:rPr>
                <w:rFonts w:ascii="Times New Roman" w:eastAsia="Times New Roman" w:hAnsi="Times New Roman"/>
                <w:noProof/>
                <w:color w:val="000000"/>
                <w:sz w:val="18"/>
                <w:szCs w:val="18"/>
              </w:rPr>
            </w:pPr>
            <w:r>
              <w:rPr>
                <w:rFonts w:ascii="Times New Roman" w:hAnsi="Times New Roman"/>
                <w:noProof/>
                <w:color w:val="000000"/>
                <w:sz w:val="18"/>
                <w:szCs w:val="18"/>
              </w:rPr>
              <w:t>AC</w:t>
            </w:r>
          </w:p>
        </w:tc>
        <w:tc>
          <w:tcPr>
            <w:tcW w:w="405" w:type="pct"/>
            <w:shd w:val="clear" w:color="auto" w:fill="auto"/>
            <w:noWrap/>
            <w:hideMark/>
          </w:tcPr>
          <w:p>
            <w:pPr>
              <w:spacing w:after="0" w:line="240" w:lineRule="auto"/>
              <w:jc w:val="center"/>
              <w:rPr>
                <w:rFonts w:ascii="Helvetica" w:eastAsia="Times New Roman" w:hAnsi="Helvetica" w:cs="Calibri"/>
                <w:noProof/>
                <w:color w:val="000000"/>
                <w:sz w:val="16"/>
                <w:szCs w:val="16"/>
              </w:rPr>
            </w:pPr>
            <w:r>
              <w:rPr>
                <w:rFonts w:ascii="Wingdings" w:hAnsi="Wingdings"/>
                <w:noProof/>
                <w:color w:val="000000"/>
                <w:sz w:val="16"/>
                <w:szCs w:val="16"/>
              </w:rPr>
              <w:t></w:t>
            </w:r>
          </w:p>
        </w:tc>
        <w:tc>
          <w:tcPr>
            <w:tcW w:w="405" w:type="pct"/>
            <w:shd w:val="clear" w:color="auto" w:fill="auto"/>
            <w:noWrap/>
            <w:hideMark/>
          </w:tcPr>
          <w:p>
            <w:pPr>
              <w:spacing w:after="0" w:line="240" w:lineRule="auto"/>
              <w:jc w:val="center"/>
              <w:rPr>
                <w:rFonts w:ascii="Helvetica" w:eastAsia="Times New Roman" w:hAnsi="Helvetica" w:cs="Calibri"/>
                <w:noProof/>
                <w:color w:val="000000"/>
                <w:sz w:val="16"/>
                <w:szCs w:val="16"/>
              </w:rPr>
            </w:pPr>
          </w:p>
        </w:tc>
        <w:tc>
          <w:tcPr>
            <w:tcW w:w="405" w:type="pct"/>
            <w:shd w:val="clear" w:color="auto" w:fill="auto"/>
            <w:noWrap/>
            <w:hideMark/>
          </w:tcPr>
          <w:p>
            <w:pPr>
              <w:spacing w:after="0" w:line="240" w:lineRule="auto"/>
              <w:jc w:val="center"/>
              <w:rPr>
                <w:rFonts w:ascii="Helvetica" w:eastAsia="Times New Roman" w:hAnsi="Helvetica" w:cs="Calibri"/>
                <w:noProof/>
                <w:color w:val="000000"/>
                <w:sz w:val="16"/>
                <w:szCs w:val="16"/>
              </w:rPr>
            </w:pPr>
            <w:r>
              <w:rPr>
                <w:rFonts w:ascii="Wingdings" w:hAnsi="Wingdings"/>
                <w:noProof/>
                <w:color w:val="000000"/>
                <w:sz w:val="16"/>
                <w:szCs w:val="16"/>
              </w:rPr>
              <w:t></w:t>
            </w:r>
          </w:p>
        </w:tc>
        <w:tc>
          <w:tcPr>
            <w:tcW w:w="405" w:type="pct"/>
            <w:shd w:val="clear" w:color="auto" w:fill="auto"/>
            <w:noWrap/>
            <w:hideMark/>
          </w:tcPr>
          <w:p>
            <w:pPr>
              <w:spacing w:after="0" w:line="240" w:lineRule="auto"/>
              <w:jc w:val="center"/>
              <w:rPr>
                <w:rFonts w:ascii="Helvetica" w:eastAsia="Times New Roman" w:hAnsi="Helvetica" w:cs="Calibri"/>
                <w:noProof/>
                <w:color w:val="000000"/>
                <w:sz w:val="16"/>
                <w:szCs w:val="16"/>
              </w:rPr>
            </w:pPr>
            <w:r>
              <w:rPr>
                <w:rFonts w:ascii="Wingdings" w:hAnsi="Wingdings"/>
                <w:noProof/>
                <w:color w:val="000000"/>
                <w:sz w:val="16"/>
                <w:szCs w:val="16"/>
              </w:rPr>
              <w:t></w:t>
            </w:r>
          </w:p>
        </w:tc>
        <w:tc>
          <w:tcPr>
            <w:tcW w:w="405" w:type="pct"/>
            <w:shd w:val="clear" w:color="auto" w:fill="auto"/>
            <w:noWrap/>
            <w:hideMark/>
          </w:tcPr>
          <w:p>
            <w:pPr>
              <w:spacing w:after="0" w:line="240" w:lineRule="auto"/>
              <w:jc w:val="center"/>
              <w:rPr>
                <w:rFonts w:ascii="Helvetica" w:eastAsia="Times New Roman" w:hAnsi="Helvetica" w:cs="Calibri"/>
                <w:noProof/>
                <w:color w:val="000000"/>
                <w:sz w:val="16"/>
                <w:szCs w:val="16"/>
              </w:rPr>
            </w:pPr>
          </w:p>
        </w:tc>
        <w:tc>
          <w:tcPr>
            <w:tcW w:w="405" w:type="pct"/>
            <w:shd w:val="clear" w:color="auto" w:fill="auto"/>
            <w:noWrap/>
            <w:hideMark/>
          </w:tcPr>
          <w:p>
            <w:pPr>
              <w:spacing w:after="0" w:line="240" w:lineRule="auto"/>
              <w:jc w:val="center"/>
              <w:rPr>
                <w:rFonts w:ascii="Helvetica" w:eastAsia="Times New Roman" w:hAnsi="Helvetica" w:cs="Calibri"/>
                <w:noProof/>
                <w:color w:val="000000"/>
                <w:sz w:val="16"/>
                <w:szCs w:val="16"/>
              </w:rPr>
            </w:pPr>
            <w:r>
              <w:rPr>
                <w:rFonts w:ascii="Wingdings" w:hAnsi="Wingdings"/>
                <w:noProof/>
                <w:color w:val="000000"/>
                <w:sz w:val="16"/>
                <w:szCs w:val="16"/>
              </w:rPr>
              <w:t></w:t>
            </w:r>
          </w:p>
        </w:tc>
        <w:tc>
          <w:tcPr>
            <w:tcW w:w="1622" w:type="pct"/>
            <w:shd w:val="clear" w:color="auto" w:fill="auto"/>
            <w:noWrap/>
            <w:hideMark/>
          </w:tcPr>
          <w:p>
            <w:pPr>
              <w:spacing w:after="0" w:line="240" w:lineRule="auto"/>
              <w:rPr>
                <w:rFonts w:ascii="Times New Roman" w:eastAsia="Times New Roman" w:hAnsi="Times New Roman"/>
                <w:noProof/>
                <w:color w:val="000000"/>
                <w:sz w:val="18"/>
                <w:szCs w:val="18"/>
              </w:rPr>
            </w:pPr>
            <w:r>
              <w:rPr>
                <w:rFonts w:ascii="Times New Roman" w:hAnsi="Times New Roman"/>
                <w:noProof/>
                <w:color w:val="000000"/>
                <w:sz w:val="18"/>
                <w:szCs w:val="18"/>
              </w:rPr>
              <w:t> </w:t>
            </w:r>
          </w:p>
        </w:tc>
      </w:tr>
      <w:tr>
        <w:trPr>
          <w:trHeight w:val="20"/>
        </w:trPr>
        <w:tc>
          <w:tcPr>
            <w:tcW w:w="455" w:type="pct"/>
            <w:shd w:val="clear" w:color="auto" w:fill="auto"/>
            <w:noWrap/>
            <w:hideMark/>
          </w:tcPr>
          <w:p>
            <w:pPr>
              <w:spacing w:after="0" w:line="240" w:lineRule="auto"/>
              <w:rPr>
                <w:rFonts w:ascii="Times New Roman" w:eastAsia="Times New Roman" w:hAnsi="Times New Roman"/>
                <w:noProof/>
                <w:color w:val="000000"/>
                <w:sz w:val="18"/>
                <w:szCs w:val="18"/>
              </w:rPr>
            </w:pPr>
            <w:r>
              <w:rPr>
                <w:rFonts w:ascii="Times New Roman" w:hAnsi="Times New Roman"/>
                <w:noProof/>
                <w:color w:val="000000"/>
                <w:sz w:val="18"/>
                <w:szCs w:val="18"/>
              </w:rPr>
              <w:t>Belgique</w:t>
            </w:r>
          </w:p>
        </w:tc>
        <w:tc>
          <w:tcPr>
            <w:tcW w:w="493" w:type="pct"/>
            <w:shd w:val="clear" w:color="auto" w:fill="auto"/>
            <w:noWrap/>
            <w:hideMark/>
          </w:tcPr>
          <w:p>
            <w:pPr>
              <w:spacing w:after="0" w:line="240" w:lineRule="auto"/>
              <w:rPr>
                <w:rFonts w:ascii="Times New Roman" w:eastAsia="Times New Roman" w:hAnsi="Times New Roman"/>
                <w:noProof/>
                <w:color w:val="000000"/>
                <w:sz w:val="18"/>
                <w:szCs w:val="18"/>
              </w:rPr>
            </w:pPr>
            <w:r>
              <w:rPr>
                <w:rFonts w:ascii="Times New Roman" w:hAnsi="Times New Roman"/>
                <w:noProof/>
                <w:color w:val="000000"/>
                <w:sz w:val="18"/>
                <w:szCs w:val="18"/>
              </w:rPr>
              <w:t>AC et D</w:t>
            </w:r>
          </w:p>
        </w:tc>
        <w:tc>
          <w:tcPr>
            <w:tcW w:w="405" w:type="pct"/>
            <w:shd w:val="clear" w:color="auto" w:fill="auto"/>
            <w:noWrap/>
            <w:hideMark/>
          </w:tcPr>
          <w:p>
            <w:pPr>
              <w:spacing w:after="0" w:line="240" w:lineRule="auto"/>
              <w:jc w:val="center"/>
              <w:rPr>
                <w:rFonts w:ascii="Helvetica" w:eastAsia="Times New Roman" w:hAnsi="Helvetica" w:cs="Calibri"/>
                <w:noProof/>
                <w:color w:val="000000"/>
                <w:sz w:val="16"/>
                <w:szCs w:val="16"/>
              </w:rPr>
            </w:pPr>
          </w:p>
        </w:tc>
        <w:tc>
          <w:tcPr>
            <w:tcW w:w="405" w:type="pct"/>
            <w:shd w:val="clear" w:color="auto" w:fill="auto"/>
            <w:noWrap/>
            <w:hideMark/>
          </w:tcPr>
          <w:p>
            <w:pPr>
              <w:spacing w:after="0" w:line="240" w:lineRule="auto"/>
              <w:jc w:val="center"/>
              <w:rPr>
                <w:rFonts w:ascii="Helvetica" w:eastAsia="Times New Roman" w:hAnsi="Helvetica" w:cs="Calibri"/>
                <w:noProof/>
                <w:color w:val="000000"/>
                <w:sz w:val="16"/>
                <w:szCs w:val="16"/>
              </w:rPr>
            </w:pPr>
          </w:p>
        </w:tc>
        <w:tc>
          <w:tcPr>
            <w:tcW w:w="405" w:type="pct"/>
            <w:shd w:val="clear" w:color="auto" w:fill="auto"/>
            <w:noWrap/>
            <w:hideMark/>
          </w:tcPr>
          <w:p>
            <w:pPr>
              <w:spacing w:after="0" w:line="240" w:lineRule="auto"/>
              <w:jc w:val="center"/>
              <w:rPr>
                <w:rFonts w:ascii="Helvetica" w:eastAsia="Times New Roman" w:hAnsi="Helvetica" w:cs="Calibri"/>
                <w:noProof/>
                <w:color w:val="000000"/>
                <w:sz w:val="16"/>
                <w:szCs w:val="16"/>
              </w:rPr>
            </w:pPr>
          </w:p>
        </w:tc>
        <w:tc>
          <w:tcPr>
            <w:tcW w:w="405" w:type="pct"/>
            <w:shd w:val="clear" w:color="auto" w:fill="auto"/>
            <w:noWrap/>
            <w:hideMark/>
          </w:tcPr>
          <w:p>
            <w:pPr>
              <w:spacing w:after="0" w:line="240" w:lineRule="auto"/>
              <w:jc w:val="center"/>
              <w:rPr>
                <w:rFonts w:ascii="Helvetica" w:eastAsia="Times New Roman" w:hAnsi="Helvetica" w:cs="Calibri"/>
                <w:noProof/>
                <w:color w:val="000000"/>
                <w:sz w:val="16"/>
                <w:szCs w:val="16"/>
              </w:rPr>
            </w:pPr>
          </w:p>
        </w:tc>
        <w:tc>
          <w:tcPr>
            <w:tcW w:w="405" w:type="pct"/>
            <w:shd w:val="clear" w:color="auto" w:fill="auto"/>
            <w:noWrap/>
            <w:hideMark/>
          </w:tcPr>
          <w:p>
            <w:pPr>
              <w:spacing w:after="0" w:line="240" w:lineRule="auto"/>
              <w:jc w:val="center"/>
              <w:rPr>
                <w:rFonts w:ascii="Helvetica" w:eastAsia="Times New Roman" w:hAnsi="Helvetica" w:cs="Calibri"/>
                <w:noProof/>
                <w:color w:val="000000"/>
                <w:sz w:val="16"/>
                <w:szCs w:val="16"/>
              </w:rPr>
            </w:pPr>
          </w:p>
        </w:tc>
        <w:tc>
          <w:tcPr>
            <w:tcW w:w="405" w:type="pct"/>
            <w:shd w:val="clear" w:color="auto" w:fill="auto"/>
            <w:noWrap/>
            <w:hideMark/>
          </w:tcPr>
          <w:p>
            <w:pPr>
              <w:spacing w:after="0" w:line="240" w:lineRule="auto"/>
              <w:jc w:val="center"/>
              <w:rPr>
                <w:rFonts w:ascii="Helvetica" w:eastAsia="Times New Roman" w:hAnsi="Helvetica" w:cs="Calibri"/>
                <w:noProof/>
                <w:color w:val="000000"/>
                <w:sz w:val="16"/>
                <w:szCs w:val="16"/>
              </w:rPr>
            </w:pPr>
            <w:r>
              <w:rPr>
                <w:rFonts w:ascii="Wingdings" w:hAnsi="Wingdings"/>
                <w:noProof/>
                <w:color w:val="000000"/>
                <w:sz w:val="16"/>
                <w:szCs w:val="16"/>
              </w:rPr>
              <w:t></w:t>
            </w:r>
          </w:p>
        </w:tc>
        <w:tc>
          <w:tcPr>
            <w:tcW w:w="1622" w:type="pct"/>
            <w:shd w:val="clear" w:color="auto" w:fill="auto"/>
            <w:noWrap/>
            <w:hideMark/>
          </w:tcPr>
          <w:p>
            <w:pPr>
              <w:spacing w:after="0" w:line="240" w:lineRule="auto"/>
              <w:rPr>
                <w:rFonts w:ascii="Times New Roman" w:eastAsia="Times New Roman" w:hAnsi="Times New Roman"/>
                <w:noProof/>
                <w:color w:val="000000"/>
                <w:sz w:val="18"/>
                <w:szCs w:val="18"/>
              </w:rPr>
            </w:pPr>
            <w:r>
              <w:rPr>
                <w:rFonts w:ascii="Times New Roman" w:hAnsi="Times New Roman"/>
                <w:noProof/>
                <w:color w:val="000000"/>
                <w:sz w:val="18"/>
                <w:szCs w:val="18"/>
              </w:rPr>
              <w:t> </w:t>
            </w:r>
          </w:p>
        </w:tc>
      </w:tr>
      <w:tr>
        <w:trPr>
          <w:trHeight w:val="20"/>
        </w:trPr>
        <w:tc>
          <w:tcPr>
            <w:tcW w:w="455" w:type="pct"/>
            <w:shd w:val="clear" w:color="auto" w:fill="auto"/>
            <w:noWrap/>
            <w:hideMark/>
          </w:tcPr>
          <w:p>
            <w:pPr>
              <w:spacing w:after="0" w:line="240" w:lineRule="auto"/>
              <w:rPr>
                <w:rFonts w:ascii="Times New Roman" w:eastAsia="Times New Roman" w:hAnsi="Times New Roman"/>
                <w:noProof/>
                <w:color w:val="000000"/>
                <w:sz w:val="18"/>
                <w:szCs w:val="18"/>
              </w:rPr>
            </w:pPr>
            <w:r>
              <w:rPr>
                <w:rFonts w:ascii="Times New Roman" w:hAnsi="Times New Roman"/>
                <w:noProof/>
                <w:color w:val="000000"/>
                <w:sz w:val="18"/>
                <w:szCs w:val="18"/>
              </w:rPr>
              <w:t>Bulgarie</w:t>
            </w:r>
          </w:p>
        </w:tc>
        <w:tc>
          <w:tcPr>
            <w:tcW w:w="493" w:type="pct"/>
            <w:shd w:val="clear" w:color="auto" w:fill="auto"/>
            <w:noWrap/>
            <w:hideMark/>
          </w:tcPr>
          <w:p>
            <w:pPr>
              <w:spacing w:after="0" w:line="240" w:lineRule="auto"/>
              <w:rPr>
                <w:rFonts w:ascii="Times New Roman" w:eastAsia="Times New Roman" w:hAnsi="Times New Roman"/>
                <w:noProof/>
                <w:color w:val="000000"/>
                <w:sz w:val="18"/>
                <w:szCs w:val="18"/>
              </w:rPr>
            </w:pPr>
            <w:r>
              <w:rPr>
                <w:rFonts w:ascii="Times New Roman" w:hAnsi="Times New Roman"/>
                <w:noProof/>
                <w:color w:val="000000"/>
                <w:sz w:val="18"/>
                <w:szCs w:val="18"/>
              </w:rPr>
              <w:t>AC</w:t>
            </w:r>
          </w:p>
        </w:tc>
        <w:tc>
          <w:tcPr>
            <w:tcW w:w="405" w:type="pct"/>
            <w:shd w:val="clear" w:color="auto" w:fill="auto"/>
            <w:noWrap/>
            <w:hideMark/>
          </w:tcPr>
          <w:p>
            <w:pPr>
              <w:spacing w:after="0" w:line="240" w:lineRule="auto"/>
              <w:jc w:val="center"/>
              <w:rPr>
                <w:rFonts w:ascii="Helvetica" w:eastAsia="Times New Roman" w:hAnsi="Helvetica" w:cs="Calibri"/>
                <w:noProof/>
                <w:color w:val="000000"/>
                <w:sz w:val="16"/>
                <w:szCs w:val="16"/>
              </w:rPr>
            </w:pPr>
          </w:p>
        </w:tc>
        <w:tc>
          <w:tcPr>
            <w:tcW w:w="405" w:type="pct"/>
            <w:shd w:val="clear" w:color="auto" w:fill="auto"/>
            <w:noWrap/>
            <w:hideMark/>
          </w:tcPr>
          <w:p>
            <w:pPr>
              <w:spacing w:after="0" w:line="240" w:lineRule="auto"/>
              <w:jc w:val="center"/>
              <w:rPr>
                <w:rFonts w:ascii="Helvetica" w:eastAsia="Times New Roman" w:hAnsi="Helvetica" w:cs="Calibri"/>
                <w:noProof/>
                <w:color w:val="000000"/>
                <w:sz w:val="16"/>
                <w:szCs w:val="16"/>
              </w:rPr>
            </w:pPr>
            <w:r>
              <w:rPr>
                <w:rFonts w:ascii="Wingdings" w:hAnsi="Wingdings"/>
                <w:noProof/>
                <w:color w:val="000000"/>
                <w:sz w:val="16"/>
                <w:szCs w:val="16"/>
              </w:rPr>
              <w:t></w:t>
            </w:r>
          </w:p>
        </w:tc>
        <w:tc>
          <w:tcPr>
            <w:tcW w:w="405" w:type="pct"/>
            <w:shd w:val="clear" w:color="auto" w:fill="auto"/>
            <w:noWrap/>
            <w:hideMark/>
          </w:tcPr>
          <w:p>
            <w:pPr>
              <w:spacing w:after="0" w:line="240" w:lineRule="auto"/>
              <w:jc w:val="center"/>
              <w:rPr>
                <w:rFonts w:ascii="Helvetica" w:eastAsia="Times New Roman" w:hAnsi="Helvetica" w:cs="Calibri"/>
                <w:noProof/>
                <w:color w:val="000000"/>
                <w:sz w:val="16"/>
                <w:szCs w:val="16"/>
              </w:rPr>
            </w:pPr>
            <w:r>
              <w:rPr>
                <w:rFonts w:ascii="Wingdings" w:hAnsi="Wingdings"/>
                <w:noProof/>
                <w:color w:val="000000"/>
                <w:sz w:val="16"/>
                <w:szCs w:val="16"/>
              </w:rPr>
              <w:t></w:t>
            </w:r>
          </w:p>
        </w:tc>
        <w:tc>
          <w:tcPr>
            <w:tcW w:w="405" w:type="pct"/>
            <w:shd w:val="clear" w:color="auto" w:fill="auto"/>
            <w:noWrap/>
            <w:hideMark/>
          </w:tcPr>
          <w:p>
            <w:pPr>
              <w:spacing w:after="0" w:line="240" w:lineRule="auto"/>
              <w:jc w:val="center"/>
              <w:rPr>
                <w:rFonts w:ascii="Helvetica" w:eastAsia="Times New Roman" w:hAnsi="Helvetica" w:cs="Calibri"/>
                <w:noProof/>
                <w:color w:val="000000"/>
                <w:sz w:val="16"/>
                <w:szCs w:val="16"/>
              </w:rPr>
            </w:pPr>
            <w:r>
              <w:rPr>
                <w:rFonts w:ascii="Wingdings" w:hAnsi="Wingdings"/>
                <w:noProof/>
                <w:color w:val="000000"/>
                <w:sz w:val="16"/>
                <w:szCs w:val="16"/>
              </w:rPr>
              <w:t></w:t>
            </w:r>
          </w:p>
        </w:tc>
        <w:tc>
          <w:tcPr>
            <w:tcW w:w="405" w:type="pct"/>
            <w:shd w:val="clear" w:color="auto" w:fill="auto"/>
            <w:noWrap/>
            <w:hideMark/>
          </w:tcPr>
          <w:p>
            <w:pPr>
              <w:spacing w:after="0" w:line="240" w:lineRule="auto"/>
              <w:jc w:val="center"/>
              <w:rPr>
                <w:rFonts w:ascii="Helvetica" w:eastAsia="Times New Roman" w:hAnsi="Helvetica" w:cs="Calibri"/>
                <w:noProof/>
                <w:color w:val="000000"/>
                <w:sz w:val="16"/>
                <w:szCs w:val="16"/>
              </w:rPr>
            </w:pPr>
          </w:p>
        </w:tc>
        <w:tc>
          <w:tcPr>
            <w:tcW w:w="405" w:type="pct"/>
            <w:shd w:val="clear" w:color="auto" w:fill="auto"/>
            <w:noWrap/>
            <w:hideMark/>
          </w:tcPr>
          <w:p>
            <w:pPr>
              <w:spacing w:after="0" w:line="240" w:lineRule="auto"/>
              <w:jc w:val="center"/>
              <w:rPr>
                <w:rFonts w:ascii="Helvetica" w:eastAsia="Times New Roman" w:hAnsi="Helvetica" w:cs="Calibri"/>
                <w:noProof/>
                <w:color w:val="000000"/>
                <w:sz w:val="16"/>
                <w:szCs w:val="16"/>
              </w:rPr>
            </w:pPr>
            <w:r>
              <w:rPr>
                <w:rFonts w:ascii="Wingdings" w:hAnsi="Wingdings"/>
                <w:noProof/>
                <w:color w:val="000000"/>
                <w:sz w:val="16"/>
                <w:szCs w:val="16"/>
              </w:rPr>
              <w:t></w:t>
            </w:r>
          </w:p>
        </w:tc>
        <w:tc>
          <w:tcPr>
            <w:tcW w:w="1622" w:type="pct"/>
            <w:shd w:val="clear" w:color="auto" w:fill="auto"/>
            <w:noWrap/>
            <w:hideMark/>
          </w:tcPr>
          <w:p>
            <w:pPr>
              <w:spacing w:after="0" w:line="240" w:lineRule="auto"/>
              <w:rPr>
                <w:rFonts w:ascii="Times New Roman" w:eastAsia="Times New Roman" w:hAnsi="Times New Roman"/>
                <w:noProof/>
                <w:color w:val="000000"/>
                <w:sz w:val="18"/>
                <w:szCs w:val="18"/>
              </w:rPr>
            </w:pPr>
            <w:r>
              <w:rPr>
                <w:rFonts w:ascii="Times New Roman" w:hAnsi="Times New Roman"/>
                <w:noProof/>
                <w:color w:val="000000"/>
                <w:sz w:val="18"/>
                <w:szCs w:val="18"/>
              </w:rPr>
              <w:t> </w:t>
            </w:r>
          </w:p>
        </w:tc>
      </w:tr>
      <w:tr>
        <w:trPr>
          <w:trHeight w:val="20"/>
        </w:trPr>
        <w:tc>
          <w:tcPr>
            <w:tcW w:w="455" w:type="pct"/>
            <w:shd w:val="clear" w:color="auto" w:fill="auto"/>
            <w:noWrap/>
            <w:hideMark/>
          </w:tcPr>
          <w:p>
            <w:pPr>
              <w:spacing w:after="0" w:line="240" w:lineRule="auto"/>
              <w:rPr>
                <w:rFonts w:ascii="Times New Roman" w:eastAsia="Times New Roman" w:hAnsi="Times New Roman"/>
                <w:noProof/>
                <w:color w:val="000000"/>
                <w:sz w:val="18"/>
                <w:szCs w:val="18"/>
              </w:rPr>
            </w:pPr>
            <w:r>
              <w:rPr>
                <w:rFonts w:ascii="Times New Roman" w:hAnsi="Times New Roman"/>
                <w:noProof/>
                <w:color w:val="000000"/>
                <w:sz w:val="18"/>
                <w:szCs w:val="18"/>
              </w:rPr>
              <w:t>Chypre</w:t>
            </w:r>
          </w:p>
        </w:tc>
        <w:tc>
          <w:tcPr>
            <w:tcW w:w="493" w:type="pct"/>
            <w:shd w:val="clear" w:color="auto" w:fill="auto"/>
            <w:noWrap/>
            <w:hideMark/>
          </w:tcPr>
          <w:p>
            <w:pPr>
              <w:spacing w:after="0" w:line="240" w:lineRule="auto"/>
              <w:rPr>
                <w:rFonts w:ascii="Times New Roman" w:eastAsia="Times New Roman" w:hAnsi="Times New Roman"/>
                <w:noProof/>
                <w:color w:val="000000"/>
                <w:sz w:val="18"/>
                <w:szCs w:val="18"/>
              </w:rPr>
            </w:pPr>
            <w:r>
              <w:rPr>
                <w:rFonts w:ascii="Times New Roman" w:hAnsi="Times New Roman"/>
                <w:noProof/>
                <w:color w:val="000000"/>
                <w:sz w:val="18"/>
                <w:szCs w:val="18"/>
              </w:rPr>
              <w:t>AC</w:t>
            </w:r>
          </w:p>
        </w:tc>
        <w:tc>
          <w:tcPr>
            <w:tcW w:w="405" w:type="pct"/>
            <w:shd w:val="clear" w:color="auto" w:fill="auto"/>
            <w:noWrap/>
            <w:hideMark/>
          </w:tcPr>
          <w:p>
            <w:pPr>
              <w:spacing w:after="0" w:line="240" w:lineRule="auto"/>
              <w:jc w:val="center"/>
              <w:rPr>
                <w:rFonts w:ascii="Helvetica" w:eastAsia="Times New Roman" w:hAnsi="Helvetica" w:cs="Calibri"/>
                <w:noProof/>
                <w:color w:val="000000"/>
                <w:sz w:val="16"/>
                <w:szCs w:val="16"/>
              </w:rPr>
            </w:pPr>
          </w:p>
        </w:tc>
        <w:tc>
          <w:tcPr>
            <w:tcW w:w="405" w:type="pct"/>
            <w:shd w:val="clear" w:color="auto" w:fill="auto"/>
            <w:noWrap/>
            <w:hideMark/>
          </w:tcPr>
          <w:p>
            <w:pPr>
              <w:spacing w:after="0" w:line="240" w:lineRule="auto"/>
              <w:jc w:val="center"/>
              <w:rPr>
                <w:rFonts w:ascii="Helvetica" w:eastAsia="Times New Roman" w:hAnsi="Helvetica" w:cs="Calibri"/>
                <w:noProof/>
                <w:color w:val="000000"/>
                <w:sz w:val="16"/>
                <w:szCs w:val="16"/>
              </w:rPr>
            </w:pPr>
          </w:p>
        </w:tc>
        <w:tc>
          <w:tcPr>
            <w:tcW w:w="405" w:type="pct"/>
            <w:shd w:val="clear" w:color="auto" w:fill="auto"/>
            <w:noWrap/>
            <w:hideMark/>
          </w:tcPr>
          <w:p>
            <w:pPr>
              <w:spacing w:after="0" w:line="240" w:lineRule="auto"/>
              <w:jc w:val="center"/>
              <w:rPr>
                <w:rFonts w:ascii="Helvetica" w:eastAsia="Times New Roman" w:hAnsi="Helvetica" w:cs="Calibri"/>
                <w:noProof/>
                <w:color w:val="000000"/>
                <w:sz w:val="16"/>
                <w:szCs w:val="16"/>
              </w:rPr>
            </w:pPr>
          </w:p>
        </w:tc>
        <w:tc>
          <w:tcPr>
            <w:tcW w:w="405" w:type="pct"/>
            <w:shd w:val="clear" w:color="auto" w:fill="auto"/>
            <w:noWrap/>
            <w:hideMark/>
          </w:tcPr>
          <w:p>
            <w:pPr>
              <w:spacing w:after="0" w:line="240" w:lineRule="auto"/>
              <w:jc w:val="center"/>
              <w:rPr>
                <w:rFonts w:ascii="Helvetica" w:eastAsia="Times New Roman" w:hAnsi="Helvetica" w:cs="Calibri"/>
                <w:noProof/>
                <w:color w:val="000000"/>
                <w:sz w:val="16"/>
                <w:szCs w:val="16"/>
              </w:rPr>
            </w:pPr>
          </w:p>
        </w:tc>
        <w:tc>
          <w:tcPr>
            <w:tcW w:w="405" w:type="pct"/>
            <w:shd w:val="clear" w:color="auto" w:fill="auto"/>
            <w:noWrap/>
            <w:hideMark/>
          </w:tcPr>
          <w:p>
            <w:pPr>
              <w:spacing w:after="0" w:line="240" w:lineRule="auto"/>
              <w:jc w:val="center"/>
              <w:rPr>
                <w:rFonts w:ascii="Helvetica" w:eastAsia="Times New Roman" w:hAnsi="Helvetica" w:cs="Calibri"/>
                <w:noProof/>
                <w:color w:val="000000"/>
                <w:sz w:val="16"/>
                <w:szCs w:val="16"/>
              </w:rPr>
            </w:pPr>
          </w:p>
        </w:tc>
        <w:tc>
          <w:tcPr>
            <w:tcW w:w="405" w:type="pct"/>
            <w:shd w:val="clear" w:color="auto" w:fill="auto"/>
            <w:noWrap/>
            <w:hideMark/>
          </w:tcPr>
          <w:p>
            <w:pPr>
              <w:spacing w:after="0" w:line="240" w:lineRule="auto"/>
              <w:jc w:val="center"/>
              <w:rPr>
                <w:rFonts w:ascii="Helvetica" w:eastAsia="Times New Roman" w:hAnsi="Helvetica" w:cs="Calibri"/>
                <w:noProof/>
                <w:color w:val="000000"/>
                <w:sz w:val="16"/>
                <w:szCs w:val="16"/>
              </w:rPr>
            </w:pPr>
            <w:r>
              <w:rPr>
                <w:rFonts w:ascii="Wingdings" w:hAnsi="Wingdings"/>
                <w:noProof/>
                <w:color w:val="000000"/>
                <w:sz w:val="16"/>
                <w:szCs w:val="16"/>
              </w:rPr>
              <w:t></w:t>
            </w:r>
          </w:p>
        </w:tc>
        <w:tc>
          <w:tcPr>
            <w:tcW w:w="1622" w:type="pct"/>
            <w:shd w:val="clear" w:color="auto" w:fill="auto"/>
            <w:noWrap/>
            <w:hideMark/>
          </w:tcPr>
          <w:p>
            <w:pPr>
              <w:spacing w:after="0" w:line="240" w:lineRule="auto"/>
              <w:rPr>
                <w:rFonts w:ascii="Times New Roman" w:eastAsia="Times New Roman" w:hAnsi="Times New Roman"/>
                <w:noProof/>
                <w:color w:val="000000"/>
                <w:sz w:val="18"/>
                <w:szCs w:val="18"/>
              </w:rPr>
            </w:pPr>
            <w:r>
              <w:rPr>
                <w:rFonts w:ascii="Times New Roman" w:hAnsi="Times New Roman"/>
                <w:noProof/>
                <w:color w:val="000000"/>
                <w:sz w:val="18"/>
                <w:szCs w:val="18"/>
              </w:rPr>
              <w:t>Non spécifié</w:t>
            </w:r>
          </w:p>
        </w:tc>
      </w:tr>
      <w:tr>
        <w:trPr>
          <w:trHeight w:val="20"/>
        </w:trPr>
        <w:tc>
          <w:tcPr>
            <w:tcW w:w="455" w:type="pct"/>
            <w:shd w:val="clear" w:color="auto" w:fill="auto"/>
            <w:noWrap/>
            <w:hideMark/>
          </w:tcPr>
          <w:p>
            <w:pPr>
              <w:spacing w:after="0" w:line="240" w:lineRule="auto"/>
              <w:rPr>
                <w:rFonts w:ascii="Times New Roman" w:eastAsia="Times New Roman" w:hAnsi="Times New Roman"/>
                <w:noProof/>
                <w:color w:val="000000"/>
                <w:sz w:val="18"/>
                <w:szCs w:val="18"/>
              </w:rPr>
            </w:pPr>
            <w:r>
              <w:rPr>
                <w:rFonts w:ascii="Times New Roman" w:hAnsi="Times New Roman"/>
                <w:noProof/>
                <w:color w:val="000000"/>
                <w:sz w:val="18"/>
                <w:szCs w:val="18"/>
                <w:lang w:val="fr-FR"/>
              </w:rPr>
              <w:t>République</w:t>
            </w:r>
            <w:r>
              <w:rPr>
                <w:rFonts w:ascii="Times New Roman" w:hAnsi="Times New Roman"/>
                <w:noProof/>
                <w:color w:val="000000"/>
                <w:sz w:val="18"/>
                <w:szCs w:val="18"/>
              </w:rPr>
              <w:t xml:space="preserve"> tchèque</w:t>
            </w:r>
          </w:p>
        </w:tc>
        <w:tc>
          <w:tcPr>
            <w:tcW w:w="493" w:type="pct"/>
            <w:shd w:val="clear" w:color="auto" w:fill="auto"/>
            <w:noWrap/>
            <w:hideMark/>
          </w:tcPr>
          <w:p>
            <w:pPr>
              <w:spacing w:after="0" w:line="240" w:lineRule="auto"/>
              <w:rPr>
                <w:rFonts w:ascii="Times New Roman" w:eastAsia="Times New Roman" w:hAnsi="Times New Roman"/>
                <w:noProof/>
                <w:color w:val="000000"/>
                <w:sz w:val="18"/>
                <w:szCs w:val="18"/>
              </w:rPr>
            </w:pPr>
            <w:r>
              <w:rPr>
                <w:rFonts w:ascii="Times New Roman" w:hAnsi="Times New Roman"/>
                <w:noProof/>
                <w:color w:val="000000"/>
                <w:sz w:val="18"/>
                <w:szCs w:val="18"/>
              </w:rPr>
              <w:t>AC et D</w:t>
            </w:r>
          </w:p>
        </w:tc>
        <w:tc>
          <w:tcPr>
            <w:tcW w:w="405" w:type="pct"/>
            <w:shd w:val="clear" w:color="auto" w:fill="auto"/>
            <w:noWrap/>
            <w:hideMark/>
          </w:tcPr>
          <w:p>
            <w:pPr>
              <w:spacing w:after="0" w:line="240" w:lineRule="auto"/>
              <w:jc w:val="center"/>
              <w:rPr>
                <w:rFonts w:ascii="Helvetica" w:eastAsia="Times New Roman" w:hAnsi="Helvetica" w:cs="Calibri"/>
                <w:noProof/>
                <w:color w:val="000000"/>
                <w:sz w:val="16"/>
                <w:szCs w:val="16"/>
              </w:rPr>
            </w:pPr>
            <w:r>
              <w:rPr>
                <w:rFonts w:ascii="Wingdings" w:hAnsi="Wingdings"/>
                <w:noProof/>
                <w:color w:val="000000"/>
                <w:sz w:val="16"/>
                <w:szCs w:val="16"/>
              </w:rPr>
              <w:t></w:t>
            </w:r>
          </w:p>
        </w:tc>
        <w:tc>
          <w:tcPr>
            <w:tcW w:w="405" w:type="pct"/>
            <w:shd w:val="clear" w:color="auto" w:fill="auto"/>
            <w:noWrap/>
            <w:hideMark/>
          </w:tcPr>
          <w:p>
            <w:pPr>
              <w:spacing w:after="0" w:line="240" w:lineRule="auto"/>
              <w:jc w:val="center"/>
              <w:rPr>
                <w:rFonts w:ascii="Helvetica" w:eastAsia="Times New Roman" w:hAnsi="Helvetica" w:cs="Calibri"/>
                <w:noProof/>
                <w:color w:val="000000"/>
                <w:sz w:val="16"/>
                <w:szCs w:val="16"/>
              </w:rPr>
            </w:pPr>
          </w:p>
        </w:tc>
        <w:tc>
          <w:tcPr>
            <w:tcW w:w="405" w:type="pct"/>
            <w:shd w:val="clear" w:color="auto" w:fill="auto"/>
            <w:noWrap/>
            <w:hideMark/>
          </w:tcPr>
          <w:p>
            <w:pPr>
              <w:spacing w:after="0" w:line="240" w:lineRule="auto"/>
              <w:jc w:val="center"/>
              <w:rPr>
                <w:rFonts w:ascii="Helvetica" w:eastAsia="Times New Roman" w:hAnsi="Helvetica" w:cs="Calibri"/>
                <w:noProof/>
                <w:color w:val="000000"/>
                <w:sz w:val="16"/>
                <w:szCs w:val="16"/>
              </w:rPr>
            </w:pPr>
          </w:p>
        </w:tc>
        <w:tc>
          <w:tcPr>
            <w:tcW w:w="405" w:type="pct"/>
            <w:shd w:val="clear" w:color="auto" w:fill="auto"/>
            <w:noWrap/>
            <w:hideMark/>
          </w:tcPr>
          <w:p>
            <w:pPr>
              <w:spacing w:after="0" w:line="240" w:lineRule="auto"/>
              <w:jc w:val="center"/>
              <w:rPr>
                <w:rFonts w:ascii="Helvetica" w:eastAsia="Times New Roman" w:hAnsi="Helvetica" w:cs="Calibri"/>
                <w:noProof/>
                <w:color w:val="000000"/>
                <w:sz w:val="16"/>
                <w:szCs w:val="16"/>
              </w:rPr>
            </w:pPr>
            <w:r>
              <w:rPr>
                <w:rFonts w:ascii="Wingdings" w:hAnsi="Wingdings"/>
                <w:noProof/>
                <w:color w:val="000000"/>
                <w:sz w:val="16"/>
                <w:szCs w:val="16"/>
              </w:rPr>
              <w:t></w:t>
            </w:r>
          </w:p>
        </w:tc>
        <w:tc>
          <w:tcPr>
            <w:tcW w:w="405" w:type="pct"/>
            <w:shd w:val="clear" w:color="auto" w:fill="auto"/>
            <w:noWrap/>
            <w:hideMark/>
          </w:tcPr>
          <w:p>
            <w:pPr>
              <w:spacing w:after="0" w:line="240" w:lineRule="auto"/>
              <w:jc w:val="center"/>
              <w:rPr>
                <w:rFonts w:ascii="Helvetica" w:eastAsia="Times New Roman" w:hAnsi="Helvetica" w:cs="Calibri"/>
                <w:noProof/>
                <w:color w:val="000000"/>
                <w:sz w:val="16"/>
                <w:szCs w:val="16"/>
              </w:rPr>
            </w:pPr>
          </w:p>
        </w:tc>
        <w:tc>
          <w:tcPr>
            <w:tcW w:w="405" w:type="pct"/>
            <w:shd w:val="clear" w:color="auto" w:fill="auto"/>
            <w:noWrap/>
            <w:hideMark/>
          </w:tcPr>
          <w:p>
            <w:pPr>
              <w:spacing w:after="0" w:line="240" w:lineRule="auto"/>
              <w:jc w:val="center"/>
              <w:rPr>
                <w:rFonts w:ascii="Helvetica" w:eastAsia="Times New Roman" w:hAnsi="Helvetica" w:cs="Calibri"/>
                <w:noProof/>
                <w:color w:val="000000"/>
                <w:sz w:val="16"/>
                <w:szCs w:val="16"/>
              </w:rPr>
            </w:pPr>
            <w:r>
              <w:rPr>
                <w:rFonts w:ascii="Wingdings" w:hAnsi="Wingdings"/>
                <w:noProof/>
                <w:color w:val="000000"/>
                <w:sz w:val="16"/>
                <w:szCs w:val="16"/>
              </w:rPr>
              <w:t></w:t>
            </w:r>
          </w:p>
        </w:tc>
        <w:tc>
          <w:tcPr>
            <w:tcW w:w="1622" w:type="pct"/>
            <w:shd w:val="clear" w:color="auto" w:fill="auto"/>
            <w:noWrap/>
            <w:hideMark/>
          </w:tcPr>
          <w:p>
            <w:pPr>
              <w:spacing w:after="0" w:line="240" w:lineRule="auto"/>
              <w:rPr>
                <w:rFonts w:ascii="Times New Roman" w:eastAsia="Times New Roman" w:hAnsi="Times New Roman"/>
                <w:noProof/>
                <w:color w:val="000000"/>
                <w:sz w:val="18"/>
                <w:szCs w:val="18"/>
              </w:rPr>
            </w:pPr>
            <w:r>
              <w:rPr>
                <w:rFonts w:ascii="Times New Roman" w:hAnsi="Times New Roman"/>
                <w:noProof/>
                <w:color w:val="000000"/>
                <w:sz w:val="18"/>
                <w:szCs w:val="18"/>
              </w:rPr>
              <w:t>Non spécifié</w:t>
            </w:r>
          </w:p>
        </w:tc>
      </w:tr>
      <w:tr>
        <w:trPr>
          <w:trHeight w:val="20"/>
        </w:trPr>
        <w:tc>
          <w:tcPr>
            <w:tcW w:w="455" w:type="pct"/>
            <w:shd w:val="clear" w:color="auto" w:fill="auto"/>
            <w:noWrap/>
            <w:hideMark/>
          </w:tcPr>
          <w:p>
            <w:pPr>
              <w:spacing w:after="0" w:line="240" w:lineRule="auto"/>
              <w:rPr>
                <w:rFonts w:ascii="Times New Roman" w:eastAsia="Times New Roman" w:hAnsi="Times New Roman"/>
                <w:noProof/>
                <w:color w:val="000000"/>
                <w:sz w:val="18"/>
                <w:szCs w:val="18"/>
              </w:rPr>
            </w:pPr>
            <w:r>
              <w:rPr>
                <w:rFonts w:ascii="Times New Roman" w:hAnsi="Times New Roman"/>
                <w:noProof/>
                <w:color w:val="000000"/>
                <w:sz w:val="18"/>
                <w:szCs w:val="18"/>
              </w:rPr>
              <w:t>Danemark</w:t>
            </w:r>
          </w:p>
        </w:tc>
        <w:tc>
          <w:tcPr>
            <w:tcW w:w="493" w:type="pct"/>
            <w:shd w:val="clear" w:color="auto" w:fill="auto"/>
            <w:noWrap/>
            <w:hideMark/>
          </w:tcPr>
          <w:p>
            <w:pPr>
              <w:spacing w:after="0" w:line="240" w:lineRule="auto"/>
              <w:rPr>
                <w:rFonts w:ascii="Times New Roman" w:eastAsia="Times New Roman" w:hAnsi="Times New Roman"/>
                <w:noProof/>
                <w:color w:val="000000"/>
                <w:sz w:val="18"/>
                <w:szCs w:val="18"/>
              </w:rPr>
            </w:pPr>
            <w:r>
              <w:rPr>
                <w:rFonts w:ascii="Times New Roman" w:hAnsi="Times New Roman"/>
                <w:noProof/>
                <w:color w:val="000000"/>
                <w:sz w:val="18"/>
                <w:szCs w:val="18"/>
              </w:rPr>
              <w:t>AC</w:t>
            </w:r>
          </w:p>
        </w:tc>
        <w:tc>
          <w:tcPr>
            <w:tcW w:w="405" w:type="pct"/>
            <w:shd w:val="clear" w:color="auto" w:fill="auto"/>
            <w:noWrap/>
            <w:hideMark/>
          </w:tcPr>
          <w:p>
            <w:pPr>
              <w:spacing w:after="0" w:line="240" w:lineRule="auto"/>
              <w:jc w:val="center"/>
              <w:rPr>
                <w:rFonts w:ascii="Helvetica" w:eastAsia="Times New Roman" w:hAnsi="Helvetica" w:cs="Calibri"/>
                <w:noProof/>
                <w:color w:val="000000"/>
                <w:sz w:val="16"/>
                <w:szCs w:val="16"/>
              </w:rPr>
            </w:pPr>
          </w:p>
        </w:tc>
        <w:tc>
          <w:tcPr>
            <w:tcW w:w="405" w:type="pct"/>
            <w:shd w:val="clear" w:color="auto" w:fill="auto"/>
            <w:noWrap/>
            <w:hideMark/>
          </w:tcPr>
          <w:p>
            <w:pPr>
              <w:spacing w:after="0" w:line="240" w:lineRule="auto"/>
              <w:jc w:val="center"/>
              <w:rPr>
                <w:rFonts w:ascii="Helvetica" w:eastAsia="Times New Roman" w:hAnsi="Helvetica" w:cs="Calibri"/>
                <w:noProof/>
                <w:color w:val="000000"/>
                <w:sz w:val="16"/>
                <w:szCs w:val="16"/>
              </w:rPr>
            </w:pPr>
          </w:p>
        </w:tc>
        <w:tc>
          <w:tcPr>
            <w:tcW w:w="405" w:type="pct"/>
            <w:shd w:val="clear" w:color="auto" w:fill="auto"/>
            <w:noWrap/>
            <w:hideMark/>
          </w:tcPr>
          <w:p>
            <w:pPr>
              <w:spacing w:after="0" w:line="240" w:lineRule="auto"/>
              <w:jc w:val="center"/>
              <w:rPr>
                <w:rFonts w:ascii="Helvetica" w:eastAsia="Times New Roman" w:hAnsi="Helvetica" w:cs="Calibri"/>
                <w:noProof/>
                <w:color w:val="000000"/>
                <w:sz w:val="16"/>
                <w:szCs w:val="16"/>
              </w:rPr>
            </w:pPr>
          </w:p>
        </w:tc>
        <w:tc>
          <w:tcPr>
            <w:tcW w:w="405" w:type="pct"/>
            <w:shd w:val="clear" w:color="auto" w:fill="auto"/>
            <w:noWrap/>
            <w:hideMark/>
          </w:tcPr>
          <w:p>
            <w:pPr>
              <w:spacing w:after="0" w:line="240" w:lineRule="auto"/>
              <w:jc w:val="center"/>
              <w:rPr>
                <w:rFonts w:ascii="Helvetica" w:eastAsia="Times New Roman" w:hAnsi="Helvetica" w:cs="Calibri"/>
                <w:noProof/>
                <w:color w:val="000000"/>
                <w:sz w:val="16"/>
                <w:szCs w:val="16"/>
              </w:rPr>
            </w:pPr>
            <w:r>
              <w:rPr>
                <w:rFonts w:ascii="Wingdings" w:hAnsi="Wingdings"/>
                <w:noProof/>
                <w:color w:val="000000"/>
                <w:sz w:val="16"/>
                <w:szCs w:val="16"/>
              </w:rPr>
              <w:t></w:t>
            </w:r>
          </w:p>
        </w:tc>
        <w:tc>
          <w:tcPr>
            <w:tcW w:w="405" w:type="pct"/>
            <w:shd w:val="clear" w:color="auto" w:fill="auto"/>
            <w:noWrap/>
            <w:hideMark/>
          </w:tcPr>
          <w:p>
            <w:pPr>
              <w:spacing w:after="0" w:line="240" w:lineRule="auto"/>
              <w:jc w:val="center"/>
              <w:rPr>
                <w:rFonts w:ascii="Helvetica" w:eastAsia="Times New Roman" w:hAnsi="Helvetica" w:cs="Calibri"/>
                <w:noProof/>
                <w:color w:val="000000"/>
                <w:sz w:val="16"/>
                <w:szCs w:val="16"/>
              </w:rPr>
            </w:pPr>
          </w:p>
        </w:tc>
        <w:tc>
          <w:tcPr>
            <w:tcW w:w="405" w:type="pct"/>
            <w:shd w:val="clear" w:color="auto" w:fill="auto"/>
            <w:noWrap/>
            <w:hideMark/>
          </w:tcPr>
          <w:p>
            <w:pPr>
              <w:spacing w:after="0" w:line="240" w:lineRule="auto"/>
              <w:jc w:val="center"/>
              <w:rPr>
                <w:rFonts w:ascii="Helvetica" w:eastAsia="Times New Roman" w:hAnsi="Helvetica" w:cs="Calibri"/>
                <w:noProof/>
                <w:color w:val="000000"/>
                <w:sz w:val="16"/>
                <w:szCs w:val="16"/>
              </w:rPr>
            </w:pPr>
            <w:r>
              <w:rPr>
                <w:rFonts w:ascii="Wingdings" w:hAnsi="Wingdings"/>
                <w:noProof/>
                <w:color w:val="000000"/>
                <w:sz w:val="16"/>
                <w:szCs w:val="16"/>
              </w:rPr>
              <w:t></w:t>
            </w:r>
          </w:p>
        </w:tc>
        <w:tc>
          <w:tcPr>
            <w:tcW w:w="1622" w:type="pct"/>
            <w:shd w:val="clear" w:color="auto" w:fill="auto"/>
            <w:noWrap/>
            <w:hideMark/>
          </w:tcPr>
          <w:p>
            <w:pPr>
              <w:spacing w:after="0" w:line="240" w:lineRule="auto"/>
              <w:rPr>
                <w:rFonts w:ascii="Times New Roman" w:eastAsia="Times New Roman" w:hAnsi="Times New Roman"/>
                <w:noProof/>
                <w:color w:val="000000"/>
                <w:sz w:val="18"/>
                <w:szCs w:val="18"/>
              </w:rPr>
            </w:pPr>
            <w:r>
              <w:rPr>
                <w:rFonts w:ascii="Times New Roman" w:hAnsi="Times New Roman"/>
                <w:noProof/>
                <w:color w:val="000000"/>
                <w:sz w:val="18"/>
                <w:szCs w:val="18"/>
              </w:rPr>
              <w:t>Non spécifié</w:t>
            </w:r>
          </w:p>
        </w:tc>
      </w:tr>
      <w:tr>
        <w:trPr>
          <w:trHeight w:val="20"/>
        </w:trPr>
        <w:tc>
          <w:tcPr>
            <w:tcW w:w="455" w:type="pct"/>
            <w:shd w:val="clear" w:color="auto" w:fill="auto"/>
            <w:noWrap/>
            <w:hideMark/>
          </w:tcPr>
          <w:p>
            <w:pPr>
              <w:spacing w:after="0" w:line="240" w:lineRule="auto"/>
              <w:rPr>
                <w:rFonts w:ascii="Times New Roman" w:eastAsia="Times New Roman" w:hAnsi="Times New Roman"/>
                <w:noProof/>
                <w:color w:val="000000"/>
                <w:sz w:val="18"/>
                <w:szCs w:val="18"/>
              </w:rPr>
            </w:pPr>
            <w:r>
              <w:rPr>
                <w:rFonts w:ascii="Times New Roman" w:hAnsi="Times New Roman"/>
                <w:noProof/>
                <w:color w:val="000000"/>
                <w:sz w:val="18"/>
                <w:szCs w:val="18"/>
              </w:rPr>
              <w:t>Estonie</w:t>
            </w:r>
          </w:p>
        </w:tc>
        <w:tc>
          <w:tcPr>
            <w:tcW w:w="493" w:type="pct"/>
            <w:shd w:val="clear" w:color="auto" w:fill="auto"/>
            <w:noWrap/>
            <w:hideMark/>
          </w:tcPr>
          <w:p>
            <w:pPr>
              <w:spacing w:after="0" w:line="240" w:lineRule="auto"/>
              <w:rPr>
                <w:rFonts w:ascii="Times New Roman" w:eastAsia="Times New Roman" w:hAnsi="Times New Roman"/>
                <w:noProof/>
                <w:color w:val="000000"/>
                <w:sz w:val="18"/>
                <w:szCs w:val="18"/>
              </w:rPr>
            </w:pPr>
            <w:r>
              <w:rPr>
                <w:rFonts w:ascii="Times New Roman" w:hAnsi="Times New Roman"/>
                <w:noProof/>
                <w:color w:val="000000"/>
                <w:sz w:val="18"/>
                <w:szCs w:val="18"/>
              </w:rPr>
              <w:t>D</w:t>
            </w:r>
          </w:p>
        </w:tc>
        <w:tc>
          <w:tcPr>
            <w:tcW w:w="405" w:type="pct"/>
            <w:shd w:val="clear" w:color="auto" w:fill="auto"/>
            <w:noWrap/>
            <w:hideMark/>
          </w:tcPr>
          <w:p>
            <w:pPr>
              <w:spacing w:after="0" w:line="240" w:lineRule="auto"/>
              <w:jc w:val="center"/>
              <w:rPr>
                <w:rFonts w:ascii="Helvetica" w:eastAsia="Times New Roman" w:hAnsi="Helvetica" w:cs="Calibri"/>
                <w:noProof/>
                <w:color w:val="000000"/>
                <w:sz w:val="16"/>
                <w:szCs w:val="16"/>
              </w:rPr>
            </w:pPr>
            <w:r>
              <w:rPr>
                <w:rFonts w:ascii="Wingdings" w:hAnsi="Wingdings"/>
                <w:noProof/>
                <w:color w:val="000000"/>
                <w:sz w:val="16"/>
                <w:szCs w:val="16"/>
              </w:rPr>
              <w:t></w:t>
            </w:r>
          </w:p>
        </w:tc>
        <w:tc>
          <w:tcPr>
            <w:tcW w:w="405" w:type="pct"/>
            <w:shd w:val="clear" w:color="auto" w:fill="auto"/>
            <w:noWrap/>
            <w:hideMark/>
          </w:tcPr>
          <w:p>
            <w:pPr>
              <w:spacing w:after="0" w:line="240" w:lineRule="auto"/>
              <w:jc w:val="center"/>
              <w:rPr>
                <w:rFonts w:ascii="Helvetica" w:eastAsia="Times New Roman" w:hAnsi="Helvetica" w:cs="Calibri"/>
                <w:noProof/>
                <w:color w:val="000000"/>
                <w:sz w:val="16"/>
                <w:szCs w:val="16"/>
              </w:rPr>
            </w:pPr>
          </w:p>
        </w:tc>
        <w:tc>
          <w:tcPr>
            <w:tcW w:w="405" w:type="pct"/>
            <w:shd w:val="clear" w:color="auto" w:fill="auto"/>
            <w:noWrap/>
            <w:hideMark/>
          </w:tcPr>
          <w:p>
            <w:pPr>
              <w:spacing w:after="0" w:line="240" w:lineRule="auto"/>
              <w:jc w:val="center"/>
              <w:rPr>
                <w:rFonts w:ascii="Helvetica" w:eastAsia="Times New Roman" w:hAnsi="Helvetica" w:cs="Calibri"/>
                <w:noProof/>
                <w:color w:val="000000"/>
                <w:sz w:val="16"/>
                <w:szCs w:val="16"/>
              </w:rPr>
            </w:pPr>
            <w:r>
              <w:rPr>
                <w:rFonts w:ascii="Wingdings" w:hAnsi="Wingdings"/>
                <w:noProof/>
                <w:color w:val="000000"/>
                <w:sz w:val="16"/>
                <w:szCs w:val="16"/>
              </w:rPr>
              <w:t></w:t>
            </w:r>
          </w:p>
        </w:tc>
        <w:tc>
          <w:tcPr>
            <w:tcW w:w="405" w:type="pct"/>
            <w:shd w:val="clear" w:color="auto" w:fill="auto"/>
            <w:noWrap/>
            <w:hideMark/>
          </w:tcPr>
          <w:p>
            <w:pPr>
              <w:spacing w:after="0" w:line="240" w:lineRule="auto"/>
              <w:jc w:val="center"/>
              <w:rPr>
                <w:rFonts w:ascii="Helvetica" w:eastAsia="Times New Roman" w:hAnsi="Helvetica" w:cs="Calibri"/>
                <w:noProof/>
                <w:color w:val="000000"/>
                <w:sz w:val="16"/>
                <w:szCs w:val="16"/>
              </w:rPr>
            </w:pPr>
            <w:r>
              <w:rPr>
                <w:rFonts w:ascii="Wingdings" w:hAnsi="Wingdings"/>
                <w:noProof/>
                <w:color w:val="000000"/>
                <w:sz w:val="16"/>
                <w:szCs w:val="16"/>
              </w:rPr>
              <w:t></w:t>
            </w:r>
          </w:p>
        </w:tc>
        <w:tc>
          <w:tcPr>
            <w:tcW w:w="405" w:type="pct"/>
            <w:shd w:val="clear" w:color="auto" w:fill="auto"/>
            <w:noWrap/>
            <w:hideMark/>
          </w:tcPr>
          <w:p>
            <w:pPr>
              <w:spacing w:after="0" w:line="240" w:lineRule="auto"/>
              <w:jc w:val="center"/>
              <w:rPr>
                <w:rFonts w:ascii="Helvetica" w:eastAsia="Times New Roman" w:hAnsi="Helvetica" w:cs="Calibri"/>
                <w:noProof/>
                <w:color w:val="000000"/>
                <w:sz w:val="16"/>
                <w:szCs w:val="16"/>
              </w:rPr>
            </w:pPr>
            <w:r>
              <w:rPr>
                <w:rFonts w:ascii="Wingdings" w:hAnsi="Wingdings"/>
                <w:noProof/>
                <w:color w:val="000000"/>
                <w:sz w:val="16"/>
                <w:szCs w:val="16"/>
              </w:rPr>
              <w:t></w:t>
            </w:r>
          </w:p>
        </w:tc>
        <w:tc>
          <w:tcPr>
            <w:tcW w:w="405" w:type="pct"/>
            <w:shd w:val="clear" w:color="auto" w:fill="auto"/>
            <w:noWrap/>
            <w:hideMark/>
          </w:tcPr>
          <w:p>
            <w:pPr>
              <w:spacing w:after="0" w:line="240" w:lineRule="auto"/>
              <w:jc w:val="center"/>
              <w:rPr>
                <w:rFonts w:ascii="Helvetica" w:eastAsia="Times New Roman" w:hAnsi="Helvetica" w:cs="Calibri"/>
                <w:noProof/>
                <w:color w:val="000000"/>
                <w:sz w:val="16"/>
                <w:szCs w:val="16"/>
              </w:rPr>
            </w:pPr>
            <w:r>
              <w:rPr>
                <w:rFonts w:ascii="Wingdings" w:hAnsi="Wingdings"/>
                <w:noProof/>
                <w:color w:val="000000"/>
                <w:sz w:val="16"/>
                <w:szCs w:val="16"/>
              </w:rPr>
              <w:t></w:t>
            </w:r>
          </w:p>
        </w:tc>
        <w:tc>
          <w:tcPr>
            <w:tcW w:w="1622" w:type="pct"/>
            <w:shd w:val="clear" w:color="auto" w:fill="auto"/>
            <w:noWrap/>
            <w:hideMark/>
          </w:tcPr>
          <w:p>
            <w:pPr>
              <w:spacing w:after="0" w:line="240" w:lineRule="auto"/>
              <w:rPr>
                <w:rFonts w:ascii="Times New Roman" w:eastAsia="Times New Roman" w:hAnsi="Times New Roman"/>
                <w:noProof/>
                <w:color w:val="000000"/>
                <w:sz w:val="18"/>
                <w:szCs w:val="18"/>
                <w:lang w:val="fr-BE"/>
              </w:rPr>
            </w:pPr>
            <w:r>
              <w:rPr>
                <w:rFonts w:ascii="Times New Roman" w:hAnsi="Times New Roman"/>
                <w:noProof/>
                <w:color w:val="000000"/>
                <w:sz w:val="18"/>
                <w:szCs w:val="18"/>
                <w:lang w:val="fr-BE"/>
              </w:rPr>
              <w:t>Par exemple, seule une copie de l’autorisation FLEGT est fournie</w:t>
            </w:r>
          </w:p>
        </w:tc>
      </w:tr>
      <w:tr>
        <w:trPr>
          <w:trHeight w:val="20"/>
        </w:trPr>
        <w:tc>
          <w:tcPr>
            <w:tcW w:w="455" w:type="pct"/>
            <w:shd w:val="clear" w:color="auto" w:fill="auto"/>
            <w:noWrap/>
            <w:hideMark/>
          </w:tcPr>
          <w:p>
            <w:pPr>
              <w:spacing w:after="0" w:line="240" w:lineRule="auto"/>
              <w:rPr>
                <w:rFonts w:ascii="Times New Roman" w:eastAsia="Times New Roman" w:hAnsi="Times New Roman"/>
                <w:noProof/>
                <w:color w:val="000000"/>
                <w:sz w:val="18"/>
                <w:szCs w:val="18"/>
              </w:rPr>
            </w:pPr>
            <w:r>
              <w:rPr>
                <w:rFonts w:ascii="Times New Roman" w:hAnsi="Times New Roman"/>
                <w:noProof/>
                <w:color w:val="000000"/>
                <w:sz w:val="18"/>
                <w:szCs w:val="18"/>
              </w:rPr>
              <w:t>Finlande</w:t>
            </w:r>
          </w:p>
        </w:tc>
        <w:tc>
          <w:tcPr>
            <w:tcW w:w="493" w:type="pct"/>
            <w:shd w:val="clear" w:color="auto" w:fill="auto"/>
            <w:noWrap/>
            <w:hideMark/>
          </w:tcPr>
          <w:p>
            <w:pPr>
              <w:spacing w:after="0" w:line="240" w:lineRule="auto"/>
              <w:rPr>
                <w:rFonts w:ascii="Times New Roman" w:eastAsia="Times New Roman" w:hAnsi="Times New Roman"/>
                <w:noProof/>
                <w:color w:val="000000"/>
                <w:sz w:val="18"/>
                <w:szCs w:val="18"/>
              </w:rPr>
            </w:pPr>
            <w:r>
              <w:rPr>
                <w:rFonts w:ascii="Times New Roman" w:hAnsi="Times New Roman"/>
                <w:noProof/>
                <w:color w:val="000000"/>
                <w:sz w:val="18"/>
                <w:szCs w:val="18"/>
              </w:rPr>
              <w:t>AC</w:t>
            </w:r>
          </w:p>
        </w:tc>
        <w:tc>
          <w:tcPr>
            <w:tcW w:w="405" w:type="pct"/>
            <w:shd w:val="clear" w:color="auto" w:fill="auto"/>
            <w:noWrap/>
            <w:hideMark/>
          </w:tcPr>
          <w:p>
            <w:pPr>
              <w:spacing w:after="0" w:line="240" w:lineRule="auto"/>
              <w:jc w:val="center"/>
              <w:rPr>
                <w:rFonts w:ascii="Helvetica" w:eastAsia="Times New Roman" w:hAnsi="Helvetica" w:cs="Calibri"/>
                <w:noProof/>
                <w:color w:val="000000"/>
                <w:sz w:val="16"/>
                <w:szCs w:val="16"/>
              </w:rPr>
            </w:pPr>
            <w:r>
              <w:rPr>
                <w:rFonts w:ascii="Wingdings" w:hAnsi="Wingdings"/>
                <w:noProof/>
                <w:color w:val="000000"/>
                <w:sz w:val="16"/>
                <w:szCs w:val="16"/>
              </w:rPr>
              <w:t></w:t>
            </w:r>
          </w:p>
        </w:tc>
        <w:tc>
          <w:tcPr>
            <w:tcW w:w="405" w:type="pct"/>
            <w:shd w:val="clear" w:color="auto" w:fill="auto"/>
            <w:noWrap/>
            <w:hideMark/>
          </w:tcPr>
          <w:p>
            <w:pPr>
              <w:spacing w:after="0" w:line="240" w:lineRule="auto"/>
              <w:jc w:val="center"/>
              <w:rPr>
                <w:rFonts w:ascii="Helvetica" w:eastAsia="Times New Roman" w:hAnsi="Helvetica" w:cs="Calibri"/>
                <w:noProof/>
                <w:color w:val="000000"/>
                <w:sz w:val="16"/>
                <w:szCs w:val="16"/>
              </w:rPr>
            </w:pPr>
          </w:p>
        </w:tc>
        <w:tc>
          <w:tcPr>
            <w:tcW w:w="405" w:type="pct"/>
            <w:shd w:val="clear" w:color="auto" w:fill="auto"/>
            <w:noWrap/>
            <w:hideMark/>
          </w:tcPr>
          <w:p>
            <w:pPr>
              <w:spacing w:after="0" w:line="240" w:lineRule="auto"/>
              <w:jc w:val="center"/>
              <w:rPr>
                <w:rFonts w:ascii="Helvetica" w:eastAsia="Times New Roman" w:hAnsi="Helvetica" w:cs="Calibri"/>
                <w:noProof/>
                <w:color w:val="000000"/>
                <w:sz w:val="16"/>
                <w:szCs w:val="16"/>
              </w:rPr>
            </w:pPr>
            <w:r>
              <w:rPr>
                <w:rFonts w:ascii="Wingdings" w:hAnsi="Wingdings"/>
                <w:noProof/>
                <w:color w:val="000000"/>
                <w:sz w:val="16"/>
                <w:szCs w:val="16"/>
              </w:rPr>
              <w:t></w:t>
            </w:r>
          </w:p>
        </w:tc>
        <w:tc>
          <w:tcPr>
            <w:tcW w:w="405" w:type="pct"/>
            <w:shd w:val="clear" w:color="auto" w:fill="auto"/>
            <w:noWrap/>
            <w:hideMark/>
          </w:tcPr>
          <w:p>
            <w:pPr>
              <w:spacing w:after="0" w:line="240" w:lineRule="auto"/>
              <w:jc w:val="center"/>
              <w:rPr>
                <w:rFonts w:ascii="Helvetica" w:eastAsia="Times New Roman" w:hAnsi="Helvetica" w:cs="Calibri"/>
                <w:noProof/>
                <w:color w:val="000000"/>
                <w:sz w:val="16"/>
                <w:szCs w:val="16"/>
              </w:rPr>
            </w:pPr>
            <w:r>
              <w:rPr>
                <w:rFonts w:ascii="Wingdings" w:hAnsi="Wingdings"/>
                <w:noProof/>
                <w:color w:val="000000"/>
                <w:sz w:val="16"/>
                <w:szCs w:val="16"/>
              </w:rPr>
              <w:t></w:t>
            </w:r>
          </w:p>
        </w:tc>
        <w:tc>
          <w:tcPr>
            <w:tcW w:w="405" w:type="pct"/>
            <w:shd w:val="clear" w:color="auto" w:fill="auto"/>
            <w:noWrap/>
            <w:hideMark/>
          </w:tcPr>
          <w:p>
            <w:pPr>
              <w:spacing w:after="0" w:line="240" w:lineRule="auto"/>
              <w:jc w:val="center"/>
              <w:rPr>
                <w:rFonts w:ascii="Helvetica" w:eastAsia="Times New Roman" w:hAnsi="Helvetica" w:cs="Calibri"/>
                <w:noProof/>
                <w:color w:val="000000"/>
                <w:sz w:val="16"/>
                <w:szCs w:val="16"/>
              </w:rPr>
            </w:pPr>
          </w:p>
        </w:tc>
        <w:tc>
          <w:tcPr>
            <w:tcW w:w="405" w:type="pct"/>
            <w:shd w:val="clear" w:color="auto" w:fill="auto"/>
            <w:noWrap/>
            <w:hideMark/>
          </w:tcPr>
          <w:p>
            <w:pPr>
              <w:spacing w:after="0" w:line="240" w:lineRule="auto"/>
              <w:jc w:val="center"/>
              <w:rPr>
                <w:rFonts w:ascii="Helvetica" w:eastAsia="Times New Roman" w:hAnsi="Helvetica" w:cs="Calibri"/>
                <w:noProof/>
                <w:color w:val="000000"/>
                <w:sz w:val="16"/>
                <w:szCs w:val="16"/>
              </w:rPr>
            </w:pPr>
            <w:r>
              <w:rPr>
                <w:rFonts w:ascii="Wingdings" w:hAnsi="Wingdings"/>
                <w:noProof/>
                <w:color w:val="000000"/>
                <w:sz w:val="16"/>
                <w:szCs w:val="16"/>
              </w:rPr>
              <w:t></w:t>
            </w:r>
          </w:p>
        </w:tc>
        <w:tc>
          <w:tcPr>
            <w:tcW w:w="1622" w:type="pct"/>
            <w:shd w:val="clear" w:color="auto" w:fill="auto"/>
            <w:noWrap/>
            <w:hideMark/>
          </w:tcPr>
          <w:p>
            <w:pPr>
              <w:spacing w:after="0" w:line="240" w:lineRule="auto"/>
              <w:rPr>
                <w:rFonts w:ascii="Times New Roman" w:eastAsia="Times New Roman" w:hAnsi="Times New Roman"/>
                <w:noProof/>
                <w:color w:val="000000"/>
                <w:sz w:val="18"/>
                <w:szCs w:val="18"/>
                <w:lang w:val="fr-BE"/>
              </w:rPr>
            </w:pPr>
            <w:r>
              <w:rPr>
                <w:rFonts w:ascii="Times New Roman" w:hAnsi="Times New Roman"/>
                <w:noProof/>
                <w:color w:val="000000"/>
                <w:sz w:val="18"/>
                <w:szCs w:val="18"/>
                <w:lang w:val="fr-BE"/>
              </w:rPr>
              <w:t>L’autorisation n’existe pas dans la base de données SILK, il manque le cachet et/ou la signature, l’autorisation n’est pas imprimée sur un papier officiel</w:t>
            </w:r>
          </w:p>
        </w:tc>
      </w:tr>
      <w:tr>
        <w:trPr>
          <w:trHeight w:val="20"/>
        </w:trPr>
        <w:tc>
          <w:tcPr>
            <w:tcW w:w="455" w:type="pct"/>
            <w:shd w:val="clear" w:color="auto" w:fill="auto"/>
            <w:noWrap/>
            <w:hideMark/>
          </w:tcPr>
          <w:p>
            <w:pPr>
              <w:spacing w:after="0" w:line="240" w:lineRule="auto"/>
              <w:rPr>
                <w:rFonts w:ascii="Times New Roman" w:eastAsia="Times New Roman" w:hAnsi="Times New Roman"/>
                <w:noProof/>
                <w:color w:val="000000"/>
                <w:sz w:val="18"/>
                <w:szCs w:val="18"/>
              </w:rPr>
            </w:pPr>
            <w:r>
              <w:rPr>
                <w:rFonts w:ascii="Times New Roman" w:hAnsi="Times New Roman"/>
                <w:noProof/>
                <w:color w:val="000000"/>
                <w:sz w:val="18"/>
                <w:szCs w:val="18"/>
              </w:rPr>
              <w:t>Allemagne</w:t>
            </w:r>
          </w:p>
        </w:tc>
        <w:tc>
          <w:tcPr>
            <w:tcW w:w="493" w:type="pct"/>
            <w:shd w:val="clear" w:color="auto" w:fill="auto"/>
            <w:noWrap/>
            <w:hideMark/>
          </w:tcPr>
          <w:p>
            <w:pPr>
              <w:spacing w:after="0" w:line="240" w:lineRule="auto"/>
              <w:rPr>
                <w:rFonts w:ascii="Times New Roman" w:eastAsia="Times New Roman" w:hAnsi="Times New Roman"/>
                <w:noProof/>
                <w:color w:val="000000"/>
                <w:sz w:val="18"/>
                <w:szCs w:val="18"/>
              </w:rPr>
            </w:pPr>
            <w:r>
              <w:rPr>
                <w:rFonts w:ascii="Times New Roman" w:hAnsi="Times New Roman"/>
                <w:noProof/>
                <w:color w:val="000000"/>
                <w:sz w:val="18"/>
                <w:szCs w:val="18"/>
              </w:rPr>
              <w:t>AC</w:t>
            </w:r>
          </w:p>
        </w:tc>
        <w:tc>
          <w:tcPr>
            <w:tcW w:w="405" w:type="pct"/>
            <w:shd w:val="clear" w:color="auto" w:fill="auto"/>
            <w:noWrap/>
            <w:hideMark/>
          </w:tcPr>
          <w:p>
            <w:pPr>
              <w:spacing w:after="0" w:line="240" w:lineRule="auto"/>
              <w:jc w:val="center"/>
              <w:rPr>
                <w:rFonts w:ascii="Helvetica" w:eastAsia="Times New Roman" w:hAnsi="Helvetica" w:cs="Calibri"/>
                <w:noProof/>
                <w:color w:val="000000"/>
                <w:sz w:val="16"/>
                <w:szCs w:val="16"/>
              </w:rPr>
            </w:pPr>
            <w:r>
              <w:rPr>
                <w:rFonts w:ascii="Wingdings" w:hAnsi="Wingdings"/>
                <w:noProof/>
                <w:color w:val="000000"/>
                <w:sz w:val="16"/>
                <w:szCs w:val="16"/>
              </w:rPr>
              <w:t></w:t>
            </w:r>
          </w:p>
        </w:tc>
        <w:tc>
          <w:tcPr>
            <w:tcW w:w="405" w:type="pct"/>
            <w:shd w:val="clear" w:color="auto" w:fill="auto"/>
            <w:noWrap/>
            <w:hideMark/>
          </w:tcPr>
          <w:p>
            <w:pPr>
              <w:spacing w:after="0" w:line="240" w:lineRule="auto"/>
              <w:jc w:val="center"/>
              <w:rPr>
                <w:rFonts w:ascii="Helvetica" w:eastAsia="Times New Roman" w:hAnsi="Helvetica" w:cs="Calibri"/>
                <w:noProof/>
                <w:color w:val="000000"/>
                <w:sz w:val="16"/>
                <w:szCs w:val="16"/>
              </w:rPr>
            </w:pPr>
            <w:r>
              <w:rPr>
                <w:rFonts w:ascii="Wingdings" w:hAnsi="Wingdings"/>
                <w:noProof/>
                <w:color w:val="000000"/>
                <w:sz w:val="16"/>
                <w:szCs w:val="16"/>
              </w:rPr>
              <w:t></w:t>
            </w:r>
          </w:p>
        </w:tc>
        <w:tc>
          <w:tcPr>
            <w:tcW w:w="405" w:type="pct"/>
            <w:shd w:val="clear" w:color="auto" w:fill="auto"/>
            <w:noWrap/>
            <w:hideMark/>
          </w:tcPr>
          <w:p>
            <w:pPr>
              <w:spacing w:after="0" w:line="240" w:lineRule="auto"/>
              <w:jc w:val="center"/>
              <w:rPr>
                <w:rFonts w:ascii="Helvetica" w:eastAsia="Times New Roman" w:hAnsi="Helvetica" w:cs="Calibri"/>
                <w:noProof/>
                <w:color w:val="000000"/>
                <w:sz w:val="16"/>
                <w:szCs w:val="16"/>
              </w:rPr>
            </w:pPr>
            <w:r>
              <w:rPr>
                <w:rFonts w:ascii="Wingdings" w:hAnsi="Wingdings"/>
                <w:noProof/>
                <w:color w:val="000000"/>
                <w:sz w:val="16"/>
                <w:szCs w:val="16"/>
              </w:rPr>
              <w:t></w:t>
            </w:r>
          </w:p>
        </w:tc>
        <w:tc>
          <w:tcPr>
            <w:tcW w:w="405" w:type="pct"/>
            <w:shd w:val="clear" w:color="auto" w:fill="auto"/>
            <w:noWrap/>
            <w:hideMark/>
          </w:tcPr>
          <w:p>
            <w:pPr>
              <w:spacing w:after="0" w:line="240" w:lineRule="auto"/>
              <w:jc w:val="center"/>
              <w:rPr>
                <w:rFonts w:ascii="Helvetica" w:eastAsia="Times New Roman" w:hAnsi="Helvetica" w:cs="Calibri"/>
                <w:noProof/>
                <w:color w:val="000000"/>
                <w:sz w:val="16"/>
                <w:szCs w:val="16"/>
              </w:rPr>
            </w:pPr>
            <w:r>
              <w:rPr>
                <w:rFonts w:ascii="Wingdings" w:hAnsi="Wingdings"/>
                <w:noProof/>
                <w:color w:val="000000"/>
                <w:sz w:val="16"/>
                <w:szCs w:val="16"/>
              </w:rPr>
              <w:t></w:t>
            </w:r>
          </w:p>
        </w:tc>
        <w:tc>
          <w:tcPr>
            <w:tcW w:w="405" w:type="pct"/>
            <w:shd w:val="clear" w:color="auto" w:fill="auto"/>
            <w:noWrap/>
            <w:hideMark/>
          </w:tcPr>
          <w:p>
            <w:pPr>
              <w:spacing w:after="0" w:line="240" w:lineRule="auto"/>
              <w:jc w:val="center"/>
              <w:rPr>
                <w:rFonts w:ascii="Helvetica" w:eastAsia="Times New Roman" w:hAnsi="Helvetica" w:cs="Calibri"/>
                <w:noProof/>
                <w:color w:val="000000"/>
                <w:sz w:val="16"/>
                <w:szCs w:val="16"/>
              </w:rPr>
            </w:pPr>
            <w:r>
              <w:rPr>
                <w:rFonts w:ascii="Wingdings" w:hAnsi="Wingdings"/>
                <w:noProof/>
                <w:color w:val="000000"/>
                <w:sz w:val="16"/>
                <w:szCs w:val="16"/>
              </w:rPr>
              <w:t></w:t>
            </w:r>
          </w:p>
        </w:tc>
        <w:tc>
          <w:tcPr>
            <w:tcW w:w="405" w:type="pct"/>
            <w:shd w:val="clear" w:color="auto" w:fill="auto"/>
            <w:noWrap/>
            <w:hideMark/>
          </w:tcPr>
          <w:p>
            <w:pPr>
              <w:spacing w:after="0" w:line="240" w:lineRule="auto"/>
              <w:jc w:val="center"/>
              <w:rPr>
                <w:rFonts w:ascii="Helvetica" w:eastAsia="Times New Roman" w:hAnsi="Helvetica" w:cs="Calibri"/>
                <w:noProof/>
                <w:color w:val="000000"/>
                <w:sz w:val="16"/>
                <w:szCs w:val="16"/>
              </w:rPr>
            </w:pPr>
            <w:r>
              <w:rPr>
                <w:rFonts w:ascii="Wingdings" w:hAnsi="Wingdings"/>
                <w:noProof/>
                <w:color w:val="000000"/>
                <w:sz w:val="16"/>
                <w:szCs w:val="16"/>
              </w:rPr>
              <w:t></w:t>
            </w:r>
          </w:p>
        </w:tc>
        <w:tc>
          <w:tcPr>
            <w:tcW w:w="1622" w:type="pct"/>
            <w:shd w:val="clear" w:color="auto" w:fill="auto"/>
            <w:noWrap/>
            <w:hideMark/>
          </w:tcPr>
          <w:p>
            <w:pPr>
              <w:spacing w:after="0" w:line="240" w:lineRule="auto"/>
              <w:rPr>
                <w:rFonts w:ascii="Times New Roman" w:eastAsia="Times New Roman" w:hAnsi="Times New Roman"/>
                <w:noProof/>
                <w:color w:val="000000"/>
                <w:sz w:val="18"/>
                <w:szCs w:val="18"/>
                <w:lang w:val="fr-BE"/>
              </w:rPr>
            </w:pPr>
            <w:r>
              <w:rPr>
                <w:rFonts w:ascii="Times New Roman" w:hAnsi="Times New Roman"/>
                <w:noProof/>
                <w:color w:val="000000"/>
                <w:sz w:val="18"/>
                <w:szCs w:val="18"/>
                <w:lang w:val="fr-BE"/>
              </w:rPr>
              <w:t>Comparer avec les informations de l’autorisation SILK</w:t>
            </w:r>
          </w:p>
        </w:tc>
      </w:tr>
      <w:tr>
        <w:trPr>
          <w:trHeight w:val="20"/>
        </w:trPr>
        <w:tc>
          <w:tcPr>
            <w:tcW w:w="455" w:type="pct"/>
            <w:shd w:val="clear" w:color="auto" w:fill="auto"/>
            <w:noWrap/>
            <w:hideMark/>
          </w:tcPr>
          <w:p>
            <w:pPr>
              <w:spacing w:after="0" w:line="240" w:lineRule="auto"/>
              <w:rPr>
                <w:rFonts w:ascii="Times New Roman" w:eastAsia="Times New Roman" w:hAnsi="Times New Roman"/>
                <w:noProof/>
                <w:color w:val="000000"/>
                <w:sz w:val="18"/>
                <w:szCs w:val="18"/>
              </w:rPr>
            </w:pPr>
            <w:r>
              <w:rPr>
                <w:rFonts w:ascii="Times New Roman" w:hAnsi="Times New Roman"/>
                <w:noProof/>
                <w:color w:val="000000"/>
                <w:sz w:val="18"/>
                <w:szCs w:val="18"/>
              </w:rPr>
              <w:t>Hongrie</w:t>
            </w:r>
          </w:p>
        </w:tc>
        <w:tc>
          <w:tcPr>
            <w:tcW w:w="493" w:type="pct"/>
            <w:shd w:val="clear" w:color="auto" w:fill="auto"/>
            <w:noWrap/>
            <w:hideMark/>
          </w:tcPr>
          <w:p>
            <w:pPr>
              <w:spacing w:after="0" w:line="240" w:lineRule="auto"/>
              <w:rPr>
                <w:rFonts w:ascii="Times New Roman" w:eastAsia="Times New Roman" w:hAnsi="Times New Roman"/>
                <w:noProof/>
                <w:color w:val="000000"/>
                <w:sz w:val="18"/>
                <w:szCs w:val="18"/>
              </w:rPr>
            </w:pPr>
            <w:r>
              <w:rPr>
                <w:rFonts w:ascii="Times New Roman" w:hAnsi="Times New Roman"/>
                <w:noProof/>
                <w:color w:val="000000"/>
                <w:sz w:val="18"/>
                <w:szCs w:val="18"/>
              </w:rPr>
              <w:t>AC</w:t>
            </w:r>
          </w:p>
        </w:tc>
        <w:tc>
          <w:tcPr>
            <w:tcW w:w="405" w:type="pct"/>
            <w:shd w:val="clear" w:color="auto" w:fill="auto"/>
            <w:noWrap/>
            <w:hideMark/>
          </w:tcPr>
          <w:p>
            <w:pPr>
              <w:spacing w:after="0" w:line="240" w:lineRule="auto"/>
              <w:jc w:val="center"/>
              <w:rPr>
                <w:rFonts w:ascii="Helvetica" w:eastAsia="Times New Roman" w:hAnsi="Helvetica" w:cs="Calibri"/>
                <w:noProof/>
                <w:color w:val="000000"/>
                <w:sz w:val="16"/>
                <w:szCs w:val="16"/>
              </w:rPr>
            </w:pPr>
          </w:p>
        </w:tc>
        <w:tc>
          <w:tcPr>
            <w:tcW w:w="405" w:type="pct"/>
            <w:shd w:val="clear" w:color="auto" w:fill="auto"/>
            <w:noWrap/>
            <w:hideMark/>
          </w:tcPr>
          <w:p>
            <w:pPr>
              <w:spacing w:after="0" w:line="240" w:lineRule="auto"/>
              <w:jc w:val="center"/>
              <w:rPr>
                <w:rFonts w:ascii="Helvetica" w:eastAsia="Times New Roman" w:hAnsi="Helvetica" w:cs="Calibri"/>
                <w:noProof/>
                <w:color w:val="000000"/>
                <w:sz w:val="16"/>
                <w:szCs w:val="16"/>
              </w:rPr>
            </w:pPr>
          </w:p>
        </w:tc>
        <w:tc>
          <w:tcPr>
            <w:tcW w:w="405" w:type="pct"/>
            <w:shd w:val="clear" w:color="auto" w:fill="auto"/>
            <w:noWrap/>
            <w:hideMark/>
          </w:tcPr>
          <w:p>
            <w:pPr>
              <w:spacing w:after="0" w:line="240" w:lineRule="auto"/>
              <w:jc w:val="center"/>
              <w:rPr>
                <w:rFonts w:ascii="Helvetica" w:eastAsia="Times New Roman" w:hAnsi="Helvetica" w:cs="Calibri"/>
                <w:noProof/>
                <w:color w:val="000000"/>
                <w:sz w:val="16"/>
                <w:szCs w:val="16"/>
              </w:rPr>
            </w:pPr>
            <w:r>
              <w:rPr>
                <w:rFonts w:ascii="Wingdings" w:hAnsi="Wingdings"/>
                <w:noProof/>
                <w:color w:val="000000"/>
                <w:sz w:val="16"/>
                <w:szCs w:val="16"/>
              </w:rPr>
              <w:t></w:t>
            </w:r>
          </w:p>
        </w:tc>
        <w:tc>
          <w:tcPr>
            <w:tcW w:w="405" w:type="pct"/>
            <w:shd w:val="clear" w:color="auto" w:fill="auto"/>
            <w:noWrap/>
            <w:hideMark/>
          </w:tcPr>
          <w:p>
            <w:pPr>
              <w:spacing w:after="0" w:line="240" w:lineRule="auto"/>
              <w:jc w:val="center"/>
              <w:rPr>
                <w:rFonts w:ascii="Helvetica" w:eastAsia="Times New Roman" w:hAnsi="Helvetica" w:cs="Calibri"/>
                <w:noProof/>
                <w:color w:val="000000"/>
                <w:sz w:val="16"/>
                <w:szCs w:val="16"/>
              </w:rPr>
            </w:pPr>
            <w:r>
              <w:rPr>
                <w:rFonts w:ascii="Wingdings" w:hAnsi="Wingdings"/>
                <w:noProof/>
                <w:color w:val="000000"/>
                <w:sz w:val="16"/>
                <w:szCs w:val="16"/>
              </w:rPr>
              <w:t></w:t>
            </w:r>
          </w:p>
        </w:tc>
        <w:tc>
          <w:tcPr>
            <w:tcW w:w="405" w:type="pct"/>
            <w:shd w:val="clear" w:color="auto" w:fill="auto"/>
            <w:noWrap/>
            <w:hideMark/>
          </w:tcPr>
          <w:p>
            <w:pPr>
              <w:spacing w:after="0" w:line="240" w:lineRule="auto"/>
              <w:jc w:val="center"/>
              <w:rPr>
                <w:rFonts w:ascii="Helvetica" w:eastAsia="Times New Roman" w:hAnsi="Helvetica" w:cs="Calibri"/>
                <w:noProof/>
                <w:color w:val="000000"/>
                <w:sz w:val="16"/>
                <w:szCs w:val="16"/>
              </w:rPr>
            </w:pPr>
          </w:p>
        </w:tc>
        <w:tc>
          <w:tcPr>
            <w:tcW w:w="405" w:type="pct"/>
            <w:shd w:val="clear" w:color="auto" w:fill="auto"/>
            <w:noWrap/>
            <w:hideMark/>
          </w:tcPr>
          <w:p>
            <w:pPr>
              <w:spacing w:after="0" w:line="240" w:lineRule="auto"/>
              <w:jc w:val="center"/>
              <w:rPr>
                <w:rFonts w:ascii="Helvetica" w:eastAsia="Times New Roman" w:hAnsi="Helvetica" w:cs="Calibri"/>
                <w:noProof/>
                <w:color w:val="000000"/>
                <w:sz w:val="16"/>
                <w:szCs w:val="16"/>
              </w:rPr>
            </w:pPr>
            <w:r>
              <w:rPr>
                <w:rFonts w:ascii="Wingdings" w:hAnsi="Wingdings"/>
                <w:noProof/>
                <w:color w:val="000000"/>
                <w:sz w:val="16"/>
                <w:szCs w:val="16"/>
              </w:rPr>
              <w:t></w:t>
            </w:r>
          </w:p>
        </w:tc>
        <w:tc>
          <w:tcPr>
            <w:tcW w:w="1622" w:type="pct"/>
            <w:shd w:val="clear" w:color="auto" w:fill="auto"/>
            <w:noWrap/>
            <w:hideMark/>
          </w:tcPr>
          <w:p>
            <w:pPr>
              <w:spacing w:after="0" w:line="240" w:lineRule="auto"/>
              <w:rPr>
                <w:rFonts w:ascii="Times New Roman" w:eastAsia="Times New Roman" w:hAnsi="Times New Roman"/>
                <w:noProof/>
                <w:color w:val="000000"/>
                <w:sz w:val="18"/>
                <w:szCs w:val="18"/>
              </w:rPr>
            </w:pPr>
            <w:r>
              <w:rPr>
                <w:rFonts w:ascii="Times New Roman" w:hAnsi="Times New Roman"/>
                <w:noProof/>
                <w:color w:val="000000"/>
                <w:sz w:val="18"/>
                <w:szCs w:val="18"/>
              </w:rPr>
              <w:t>Non spécifié</w:t>
            </w:r>
          </w:p>
        </w:tc>
      </w:tr>
      <w:tr>
        <w:trPr>
          <w:trHeight w:val="20"/>
        </w:trPr>
        <w:tc>
          <w:tcPr>
            <w:tcW w:w="455" w:type="pct"/>
            <w:shd w:val="clear" w:color="auto" w:fill="auto"/>
            <w:noWrap/>
            <w:hideMark/>
          </w:tcPr>
          <w:p>
            <w:pPr>
              <w:spacing w:after="0" w:line="240" w:lineRule="auto"/>
              <w:rPr>
                <w:rFonts w:ascii="Times New Roman" w:eastAsia="Times New Roman" w:hAnsi="Times New Roman"/>
                <w:noProof/>
                <w:color w:val="000000"/>
                <w:sz w:val="18"/>
                <w:szCs w:val="18"/>
              </w:rPr>
            </w:pPr>
            <w:r>
              <w:rPr>
                <w:rFonts w:ascii="Times New Roman" w:hAnsi="Times New Roman"/>
                <w:noProof/>
                <w:color w:val="000000"/>
                <w:sz w:val="18"/>
                <w:szCs w:val="18"/>
              </w:rPr>
              <w:t>Irlande</w:t>
            </w:r>
          </w:p>
        </w:tc>
        <w:tc>
          <w:tcPr>
            <w:tcW w:w="493" w:type="pct"/>
            <w:shd w:val="clear" w:color="auto" w:fill="auto"/>
            <w:noWrap/>
            <w:hideMark/>
          </w:tcPr>
          <w:p>
            <w:pPr>
              <w:spacing w:after="0" w:line="240" w:lineRule="auto"/>
              <w:rPr>
                <w:rFonts w:ascii="Times New Roman" w:eastAsia="Times New Roman" w:hAnsi="Times New Roman"/>
                <w:noProof/>
                <w:color w:val="000000"/>
                <w:sz w:val="18"/>
                <w:szCs w:val="18"/>
              </w:rPr>
            </w:pPr>
            <w:r>
              <w:rPr>
                <w:rFonts w:ascii="Times New Roman" w:hAnsi="Times New Roman"/>
                <w:noProof/>
                <w:color w:val="000000"/>
                <w:sz w:val="18"/>
                <w:szCs w:val="18"/>
              </w:rPr>
              <w:t>AC</w:t>
            </w:r>
          </w:p>
        </w:tc>
        <w:tc>
          <w:tcPr>
            <w:tcW w:w="405" w:type="pct"/>
            <w:shd w:val="clear" w:color="auto" w:fill="auto"/>
            <w:noWrap/>
            <w:hideMark/>
          </w:tcPr>
          <w:p>
            <w:pPr>
              <w:spacing w:after="0" w:line="240" w:lineRule="auto"/>
              <w:jc w:val="center"/>
              <w:rPr>
                <w:rFonts w:ascii="Helvetica" w:eastAsia="Times New Roman" w:hAnsi="Helvetica" w:cs="Calibri"/>
                <w:noProof/>
                <w:color w:val="000000"/>
                <w:sz w:val="16"/>
                <w:szCs w:val="16"/>
              </w:rPr>
            </w:pPr>
          </w:p>
        </w:tc>
        <w:tc>
          <w:tcPr>
            <w:tcW w:w="405" w:type="pct"/>
            <w:shd w:val="clear" w:color="auto" w:fill="auto"/>
            <w:noWrap/>
            <w:hideMark/>
          </w:tcPr>
          <w:p>
            <w:pPr>
              <w:spacing w:after="0" w:line="240" w:lineRule="auto"/>
              <w:jc w:val="center"/>
              <w:rPr>
                <w:rFonts w:ascii="Helvetica" w:eastAsia="Times New Roman" w:hAnsi="Helvetica" w:cs="Calibri"/>
                <w:noProof/>
                <w:color w:val="000000"/>
                <w:sz w:val="16"/>
                <w:szCs w:val="16"/>
              </w:rPr>
            </w:pPr>
          </w:p>
        </w:tc>
        <w:tc>
          <w:tcPr>
            <w:tcW w:w="405" w:type="pct"/>
            <w:shd w:val="clear" w:color="auto" w:fill="auto"/>
            <w:noWrap/>
            <w:hideMark/>
          </w:tcPr>
          <w:p>
            <w:pPr>
              <w:spacing w:after="0" w:line="240" w:lineRule="auto"/>
              <w:jc w:val="center"/>
              <w:rPr>
                <w:rFonts w:ascii="Helvetica" w:eastAsia="Times New Roman" w:hAnsi="Helvetica" w:cs="Calibri"/>
                <w:noProof/>
                <w:color w:val="000000"/>
                <w:sz w:val="16"/>
                <w:szCs w:val="16"/>
              </w:rPr>
            </w:pPr>
          </w:p>
        </w:tc>
        <w:tc>
          <w:tcPr>
            <w:tcW w:w="405" w:type="pct"/>
            <w:shd w:val="clear" w:color="auto" w:fill="auto"/>
            <w:noWrap/>
            <w:hideMark/>
          </w:tcPr>
          <w:p>
            <w:pPr>
              <w:spacing w:after="0" w:line="240" w:lineRule="auto"/>
              <w:jc w:val="center"/>
              <w:rPr>
                <w:rFonts w:ascii="Helvetica" w:eastAsia="Times New Roman" w:hAnsi="Helvetica" w:cs="Calibri"/>
                <w:noProof/>
                <w:color w:val="000000"/>
                <w:sz w:val="16"/>
                <w:szCs w:val="16"/>
              </w:rPr>
            </w:pPr>
          </w:p>
        </w:tc>
        <w:tc>
          <w:tcPr>
            <w:tcW w:w="405" w:type="pct"/>
            <w:shd w:val="clear" w:color="auto" w:fill="auto"/>
            <w:noWrap/>
            <w:hideMark/>
          </w:tcPr>
          <w:p>
            <w:pPr>
              <w:spacing w:after="0" w:line="240" w:lineRule="auto"/>
              <w:jc w:val="center"/>
              <w:rPr>
                <w:rFonts w:ascii="Helvetica" w:eastAsia="Times New Roman" w:hAnsi="Helvetica" w:cs="Calibri"/>
                <w:noProof/>
                <w:color w:val="000000"/>
                <w:sz w:val="16"/>
                <w:szCs w:val="16"/>
              </w:rPr>
            </w:pPr>
          </w:p>
        </w:tc>
        <w:tc>
          <w:tcPr>
            <w:tcW w:w="405" w:type="pct"/>
            <w:shd w:val="clear" w:color="auto" w:fill="auto"/>
            <w:noWrap/>
            <w:hideMark/>
          </w:tcPr>
          <w:p>
            <w:pPr>
              <w:spacing w:after="0" w:line="240" w:lineRule="auto"/>
              <w:jc w:val="center"/>
              <w:rPr>
                <w:rFonts w:ascii="Helvetica" w:eastAsia="Times New Roman" w:hAnsi="Helvetica" w:cs="Calibri"/>
                <w:noProof/>
                <w:color w:val="000000"/>
                <w:sz w:val="16"/>
                <w:szCs w:val="16"/>
              </w:rPr>
            </w:pPr>
            <w:r>
              <w:rPr>
                <w:rFonts w:ascii="Wingdings" w:hAnsi="Wingdings"/>
                <w:noProof/>
                <w:color w:val="000000"/>
                <w:sz w:val="16"/>
                <w:szCs w:val="16"/>
              </w:rPr>
              <w:t></w:t>
            </w:r>
          </w:p>
        </w:tc>
        <w:tc>
          <w:tcPr>
            <w:tcW w:w="1622" w:type="pct"/>
            <w:shd w:val="clear" w:color="auto" w:fill="auto"/>
            <w:noWrap/>
            <w:hideMark/>
          </w:tcPr>
          <w:p>
            <w:pPr>
              <w:spacing w:after="0" w:line="240" w:lineRule="auto"/>
              <w:rPr>
                <w:rFonts w:ascii="Times New Roman" w:eastAsia="Times New Roman" w:hAnsi="Times New Roman"/>
                <w:noProof/>
                <w:color w:val="000000"/>
                <w:sz w:val="18"/>
                <w:szCs w:val="18"/>
                <w:lang w:val="fr-BE"/>
              </w:rPr>
            </w:pPr>
            <w:r>
              <w:rPr>
                <w:rFonts w:ascii="Times New Roman" w:hAnsi="Times New Roman"/>
                <w:noProof/>
                <w:color w:val="000000"/>
                <w:sz w:val="18"/>
                <w:szCs w:val="18"/>
                <w:lang w:val="fr-BE"/>
              </w:rPr>
              <w:t>Comparer avec les informations de l’autorisation sur SILK</w:t>
            </w:r>
          </w:p>
        </w:tc>
      </w:tr>
      <w:tr>
        <w:trPr>
          <w:trHeight w:val="20"/>
        </w:trPr>
        <w:tc>
          <w:tcPr>
            <w:tcW w:w="455" w:type="pct"/>
            <w:shd w:val="clear" w:color="auto" w:fill="auto"/>
            <w:noWrap/>
            <w:hideMark/>
          </w:tcPr>
          <w:p>
            <w:pPr>
              <w:spacing w:after="0" w:line="240" w:lineRule="auto"/>
              <w:rPr>
                <w:rFonts w:ascii="Times New Roman" w:eastAsia="Times New Roman" w:hAnsi="Times New Roman"/>
                <w:noProof/>
                <w:color w:val="000000"/>
                <w:sz w:val="18"/>
                <w:szCs w:val="18"/>
              </w:rPr>
            </w:pPr>
            <w:r>
              <w:rPr>
                <w:rFonts w:ascii="Times New Roman" w:hAnsi="Times New Roman"/>
                <w:noProof/>
                <w:color w:val="000000"/>
                <w:sz w:val="18"/>
                <w:szCs w:val="18"/>
              </w:rPr>
              <w:t>Italie</w:t>
            </w:r>
          </w:p>
        </w:tc>
        <w:tc>
          <w:tcPr>
            <w:tcW w:w="493" w:type="pct"/>
            <w:shd w:val="clear" w:color="auto" w:fill="auto"/>
            <w:noWrap/>
            <w:hideMark/>
          </w:tcPr>
          <w:p>
            <w:pPr>
              <w:spacing w:after="0" w:line="240" w:lineRule="auto"/>
              <w:rPr>
                <w:rFonts w:ascii="Times New Roman" w:eastAsia="Times New Roman" w:hAnsi="Times New Roman"/>
                <w:noProof/>
                <w:color w:val="000000"/>
                <w:sz w:val="18"/>
                <w:szCs w:val="18"/>
              </w:rPr>
            </w:pPr>
            <w:r>
              <w:rPr>
                <w:rFonts w:ascii="Times New Roman" w:hAnsi="Times New Roman"/>
                <w:noProof/>
                <w:color w:val="000000"/>
                <w:sz w:val="18"/>
                <w:szCs w:val="18"/>
              </w:rPr>
              <w:t>AC et D</w:t>
            </w:r>
          </w:p>
        </w:tc>
        <w:tc>
          <w:tcPr>
            <w:tcW w:w="405" w:type="pct"/>
            <w:shd w:val="clear" w:color="auto" w:fill="auto"/>
            <w:noWrap/>
            <w:hideMark/>
          </w:tcPr>
          <w:p>
            <w:pPr>
              <w:spacing w:after="0" w:line="240" w:lineRule="auto"/>
              <w:jc w:val="center"/>
              <w:rPr>
                <w:rFonts w:ascii="Helvetica" w:eastAsia="Times New Roman" w:hAnsi="Helvetica" w:cs="Calibri"/>
                <w:noProof/>
                <w:color w:val="000000"/>
                <w:sz w:val="16"/>
                <w:szCs w:val="16"/>
              </w:rPr>
            </w:pPr>
          </w:p>
        </w:tc>
        <w:tc>
          <w:tcPr>
            <w:tcW w:w="405" w:type="pct"/>
            <w:shd w:val="clear" w:color="auto" w:fill="auto"/>
            <w:noWrap/>
            <w:hideMark/>
          </w:tcPr>
          <w:p>
            <w:pPr>
              <w:spacing w:after="0" w:line="240" w:lineRule="auto"/>
              <w:jc w:val="center"/>
              <w:rPr>
                <w:rFonts w:ascii="Helvetica" w:eastAsia="Times New Roman" w:hAnsi="Helvetica" w:cs="Calibri"/>
                <w:noProof/>
                <w:color w:val="000000"/>
                <w:sz w:val="16"/>
                <w:szCs w:val="16"/>
              </w:rPr>
            </w:pPr>
          </w:p>
        </w:tc>
        <w:tc>
          <w:tcPr>
            <w:tcW w:w="405" w:type="pct"/>
            <w:shd w:val="clear" w:color="auto" w:fill="auto"/>
            <w:noWrap/>
            <w:hideMark/>
          </w:tcPr>
          <w:p>
            <w:pPr>
              <w:spacing w:after="0" w:line="240" w:lineRule="auto"/>
              <w:jc w:val="center"/>
              <w:rPr>
                <w:rFonts w:ascii="Helvetica" w:eastAsia="Times New Roman" w:hAnsi="Helvetica" w:cs="Calibri"/>
                <w:noProof/>
                <w:color w:val="000000"/>
                <w:sz w:val="16"/>
                <w:szCs w:val="16"/>
              </w:rPr>
            </w:pPr>
            <w:r>
              <w:rPr>
                <w:rFonts w:ascii="Wingdings" w:hAnsi="Wingdings"/>
                <w:noProof/>
                <w:color w:val="000000"/>
                <w:sz w:val="16"/>
                <w:szCs w:val="16"/>
              </w:rPr>
              <w:t></w:t>
            </w:r>
          </w:p>
        </w:tc>
        <w:tc>
          <w:tcPr>
            <w:tcW w:w="405" w:type="pct"/>
            <w:shd w:val="clear" w:color="auto" w:fill="auto"/>
            <w:noWrap/>
            <w:hideMark/>
          </w:tcPr>
          <w:p>
            <w:pPr>
              <w:spacing w:after="0" w:line="240" w:lineRule="auto"/>
              <w:jc w:val="center"/>
              <w:rPr>
                <w:rFonts w:ascii="Helvetica" w:eastAsia="Times New Roman" w:hAnsi="Helvetica" w:cs="Calibri"/>
                <w:noProof/>
                <w:color w:val="000000"/>
                <w:sz w:val="16"/>
                <w:szCs w:val="16"/>
              </w:rPr>
            </w:pPr>
            <w:r>
              <w:rPr>
                <w:rFonts w:ascii="Wingdings" w:hAnsi="Wingdings"/>
                <w:noProof/>
                <w:color w:val="000000"/>
                <w:sz w:val="16"/>
                <w:szCs w:val="16"/>
              </w:rPr>
              <w:t></w:t>
            </w:r>
          </w:p>
        </w:tc>
        <w:tc>
          <w:tcPr>
            <w:tcW w:w="405" w:type="pct"/>
            <w:shd w:val="clear" w:color="auto" w:fill="auto"/>
            <w:noWrap/>
            <w:hideMark/>
          </w:tcPr>
          <w:p>
            <w:pPr>
              <w:spacing w:after="0" w:line="240" w:lineRule="auto"/>
              <w:jc w:val="center"/>
              <w:rPr>
                <w:rFonts w:ascii="Helvetica" w:eastAsia="Times New Roman" w:hAnsi="Helvetica" w:cs="Calibri"/>
                <w:noProof/>
                <w:color w:val="000000"/>
                <w:sz w:val="16"/>
                <w:szCs w:val="16"/>
              </w:rPr>
            </w:pPr>
          </w:p>
        </w:tc>
        <w:tc>
          <w:tcPr>
            <w:tcW w:w="405" w:type="pct"/>
            <w:shd w:val="clear" w:color="auto" w:fill="auto"/>
            <w:noWrap/>
            <w:hideMark/>
          </w:tcPr>
          <w:p>
            <w:pPr>
              <w:spacing w:after="0" w:line="240" w:lineRule="auto"/>
              <w:jc w:val="center"/>
              <w:rPr>
                <w:rFonts w:ascii="Helvetica" w:eastAsia="Times New Roman" w:hAnsi="Helvetica" w:cs="Calibri"/>
                <w:noProof/>
                <w:color w:val="000000"/>
                <w:sz w:val="16"/>
                <w:szCs w:val="16"/>
              </w:rPr>
            </w:pPr>
            <w:r>
              <w:rPr>
                <w:rFonts w:ascii="Wingdings" w:hAnsi="Wingdings"/>
                <w:noProof/>
                <w:color w:val="000000"/>
                <w:sz w:val="16"/>
                <w:szCs w:val="16"/>
              </w:rPr>
              <w:t></w:t>
            </w:r>
          </w:p>
        </w:tc>
        <w:tc>
          <w:tcPr>
            <w:tcW w:w="1622" w:type="pct"/>
            <w:shd w:val="clear" w:color="auto" w:fill="auto"/>
            <w:noWrap/>
            <w:hideMark/>
          </w:tcPr>
          <w:p>
            <w:pPr>
              <w:spacing w:after="0" w:line="240" w:lineRule="auto"/>
              <w:rPr>
                <w:rFonts w:ascii="Times New Roman" w:eastAsia="Times New Roman" w:hAnsi="Times New Roman"/>
                <w:noProof/>
                <w:color w:val="000000"/>
                <w:sz w:val="18"/>
                <w:szCs w:val="18"/>
              </w:rPr>
            </w:pPr>
            <w:r>
              <w:rPr>
                <w:rFonts w:ascii="Times New Roman" w:hAnsi="Times New Roman"/>
                <w:noProof/>
                <w:color w:val="000000"/>
                <w:sz w:val="18"/>
                <w:szCs w:val="18"/>
              </w:rPr>
              <w:t> </w:t>
            </w:r>
          </w:p>
        </w:tc>
      </w:tr>
      <w:tr>
        <w:trPr>
          <w:trHeight w:val="20"/>
        </w:trPr>
        <w:tc>
          <w:tcPr>
            <w:tcW w:w="455" w:type="pct"/>
            <w:shd w:val="clear" w:color="auto" w:fill="auto"/>
            <w:noWrap/>
            <w:hideMark/>
          </w:tcPr>
          <w:p>
            <w:pPr>
              <w:spacing w:after="0" w:line="240" w:lineRule="auto"/>
              <w:rPr>
                <w:rFonts w:ascii="Times New Roman" w:eastAsia="Times New Roman" w:hAnsi="Times New Roman"/>
                <w:noProof/>
                <w:color w:val="000000"/>
                <w:sz w:val="18"/>
                <w:szCs w:val="18"/>
              </w:rPr>
            </w:pPr>
            <w:r>
              <w:rPr>
                <w:rFonts w:ascii="Times New Roman" w:hAnsi="Times New Roman"/>
                <w:noProof/>
                <w:color w:val="000000"/>
                <w:sz w:val="18"/>
                <w:szCs w:val="18"/>
              </w:rPr>
              <w:t>Lettonie</w:t>
            </w:r>
          </w:p>
        </w:tc>
        <w:tc>
          <w:tcPr>
            <w:tcW w:w="493" w:type="pct"/>
            <w:shd w:val="clear" w:color="auto" w:fill="auto"/>
            <w:noWrap/>
            <w:hideMark/>
          </w:tcPr>
          <w:p>
            <w:pPr>
              <w:spacing w:after="0" w:line="240" w:lineRule="auto"/>
              <w:rPr>
                <w:rFonts w:ascii="Times New Roman" w:eastAsia="Times New Roman" w:hAnsi="Times New Roman"/>
                <w:noProof/>
                <w:color w:val="000000"/>
                <w:sz w:val="18"/>
                <w:szCs w:val="18"/>
              </w:rPr>
            </w:pPr>
            <w:r>
              <w:rPr>
                <w:rFonts w:ascii="Times New Roman" w:hAnsi="Times New Roman"/>
                <w:noProof/>
                <w:color w:val="000000"/>
                <w:sz w:val="18"/>
                <w:szCs w:val="18"/>
              </w:rPr>
              <w:t xml:space="preserve">AC </w:t>
            </w:r>
          </w:p>
        </w:tc>
        <w:tc>
          <w:tcPr>
            <w:tcW w:w="405" w:type="pct"/>
            <w:shd w:val="clear" w:color="auto" w:fill="auto"/>
            <w:noWrap/>
            <w:hideMark/>
          </w:tcPr>
          <w:p>
            <w:pPr>
              <w:spacing w:after="0" w:line="240" w:lineRule="auto"/>
              <w:jc w:val="center"/>
              <w:rPr>
                <w:rFonts w:ascii="Helvetica" w:eastAsia="Times New Roman" w:hAnsi="Helvetica" w:cs="Calibri"/>
                <w:noProof/>
                <w:color w:val="000000"/>
                <w:sz w:val="16"/>
                <w:szCs w:val="16"/>
              </w:rPr>
            </w:pPr>
          </w:p>
        </w:tc>
        <w:tc>
          <w:tcPr>
            <w:tcW w:w="405" w:type="pct"/>
            <w:shd w:val="clear" w:color="auto" w:fill="auto"/>
            <w:noWrap/>
            <w:hideMark/>
          </w:tcPr>
          <w:p>
            <w:pPr>
              <w:spacing w:after="0" w:line="240" w:lineRule="auto"/>
              <w:jc w:val="center"/>
              <w:rPr>
                <w:rFonts w:ascii="Helvetica" w:eastAsia="Times New Roman" w:hAnsi="Helvetica" w:cs="Calibri"/>
                <w:noProof/>
                <w:color w:val="000000"/>
                <w:sz w:val="16"/>
                <w:szCs w:val="16"/>
              </w:rPr>
            </w:pPr>
          </w:p>
        </w:tc>
        <w:tc>
          <w:tcPr>
            <w:tcW w:w="405" w:type="pct"/>
            <w:shd w:val="clear" w:color="auto" w:fill="auto"/>
            <w:noWrap/>
            <w:hideMark/>
          </w:tcPr>
          <w:p>
            <w:pPr>
              <w:spacing w:after="0" w:line="240" w:lineRule="auto"/>
              <w:jc w:val="center"/>
              <w:rPr>
                <w:rFonts w:ascii="Helvetica" w:eastAsia="Times New Roman" w:hAnsi="Helvetica" w:cs="Calibri"/>
                <w:noProof/>
                <w:color w:val="000000"/>
                <w:sz w:val="16"/>
                <w:szCs w:val="16"/>
              </w:rPr>
            </w:pPr>
          </w:p>
        </w:tc>
        <w:tc>
          <w:tcPr>
            <w:tcW w:w="405" w:type="pct"/>
            <w:shd w:val="clear" w:color="auto" w:fill="auto"/>
            <w:noWrap/>
            <w:hideMark/>
          </w:tcPr>
          <w:p>
            <w:pPr>
              <w:spacing w:after="0" w:line="240" w:lineRule="auto"/>
              <w:jc w:val="center"/>
              <w:rPr>
                <w:rFonts w:ascii="Helvetica" w:eastAsia="Times New Roman" w:hAnsi="Helvetica" w:cs="Calibri"/>
                <w:noProof/>
                <w:color w:val="000000"/>
                <w:sz w:val="16"/>
                <w:szCs w:val="16"/>
              </w:rPr>
            </w:pPr>
            <w:r>
              <w:rPr>
                <w:rFonts w:ascii="Wingdings" w:hAnsi="Wingdings"/>
                <w:noProof/>
                <w:color w:val="000000"/>
                <w:sz w:val="16"/>
                <w:szCs w:val="16"/>
              </w:rPr>
              <w:t></w:t>
            </w:r>
          </w:p>
        </w:tc>
        <w:tc>
          <w:tcPr>
            <w:tcW w:w="405" w:type="pct"/>
            <w:shd w:val="clear" w:color="auto" w:fill="auto"/>
            <w:noWrap/>
            <w:hideMark/>
          </w:tcPr>
          <w:p>
            <w:pPr>
              <w:spacing w:after="0" w:line="240" w:lineRule="auto"/>
              <w:jc w:val="center"/>
              <w:rPr>
                <w:rFonts w:ascii="Helvetica" w:eastAsia="Times New Roman" w:hAnsi="Helvetica" w:cs="Calibri"/>
                <w:noProof/>
                <w:color w:val="000000"/>
                <w:sz w:val="16"/>
                <w:szCs w:val="16"/>
              </w:rPr>
            </w:pPr>
          </w:p>
        </w:tc>
        <w:tc>
          <w:tcPr>
            <w:tcW w:w="405" w:type="pct"/>
            <w:shd w:val="clear" w:color="auto" w:fill="auto"/>
            <w:noWrap/>
            <w:hideMark/>
          </w:tcPr>
          <w:p>
            <w:pPr>
              <w:spacing w:after="0" w:line="240" w:lineRule="auto"/>
              <w:jc w:val="center"/>
              <w:rPr>
                <w:rFonts w:ascii="Helvetica" w:eastAsia="Times New Roman" w:hAnsi="Helvetica" w:cs="Calibri"/>
                <w:noProof/>
                <w:color w:val="000000"/>
                <w:sz w:val="16"/>
                <w:szCs w:val="16"/>
              </w:rPr>
            </w:pPr>
            <w:r>
              <w:rPr>
                <w:rFonts w:ascii="Wingdings" w:hAnsi="Wingdings"/>
                <w:noProof/>
                <w:color w:val="000000"/>
                <w:sz w:val="16"/>
                <w:szCs w:val="16"/>
              </w:rPr>
              <w:t></w:t>
            </w:r>
          </w:p>
        </w:tc>
        <w:tc>
          <w:tcPr>
            <w:tcW w:w="1622" w:type="pct"/>
            <w:shd w:val="clear" w:color="auto" w:fill="auto"/>
            <w:noWrap/>
            <w:hideMark/>
          </w:tcPr>
          <w:p>
            <w:pPr>
              <w:spacing w:after="0" w:line="240" w:lineRule="auto"/>
              <w:rPr>
                <w:rFonts w:ascii="Times New Roman" w:eastAsia="Times New Roman" w:hAnsi="Times New Roman"/>
                <w:noProof/>
                <w:color w:val="000000"/>
                <w:sz w:val="18"/>
                <w:szCs w:val="18"/>
                <w:lang w:val="fr-BE"/>
              </w:rPr>
            </w:pPr>
            <w:r>
              <w:rPr>
                <w:rFonts w:ascii="Times New Roman" w:hAnsi="Times New Roman"/>
                <w:noProof/>
                <w:color w:val="000000"/>
                <w:sz w:val="18"/>
                <w:szCs w:val="18"/>
                <w:lang w:val="fr-BE"/>
              </w:rPr>
              <w:t>L’AC vérifie la légalité des autorisations dans le système indonésien d’information sur la légalité du bois</w:t>
            </w:r>
          </w:p>
        </w:tc>
      </w:tr>
      <w:tr>
        <w:trPr>
          <w:trHeight w:val="20"/>
        </w:trPr>
        <w:tc>
          <w:tcPr>
            <w:tcW w:w="455" w:type="pct"/>
            <w:shd w:val="clear" w:color="auto" w:fill="auto"/>
            <w:noWrap/>
            <w:hideMark/>
          </w:tcPr>
          <w:p>
            <w:pPr>
              <w:spacing w:after="0" w:line="240" w:lineRule="auto"/>
              <w:rPr>
                <w:rFonts w:ascii="Times New Roman" w:eastAsia="Times New Roman" w:hAnsi="Times New Roman"/>
                <w:noProof/>
                <w:color w:val="000000"/>
                <w:sz w:val="18"/>
                <w:szCs w:val="18"/>
              </w:rPr>
            </w:pPr>
            <w:r>
              <w:rPr>
                <w:rFonts w:ascii="Times New Roman" w:hAnsi="Times New Roman"/>
                <w:noProof/>
                <w:color w:val="000000"/>
                <w:sz w:val="18"/>
                <w:szCs w:val="18"/>
              </w:rPr>
              <w:t>Lituanie</w:t>
            </w:r>
          </w:p>
        </w:tc>
        <w:tc>
          <w:tcPr>
            <w:tcW w:w="493" w:type="pct"/>
            <w:shd w:val="clear" w:color="auto" w:fill="auto"/>
            <w:noWrap/>
            <w:hideMark/>
          </w:tcPr>
          <w:p>
            <w:pPr>
              <w:spacing w:after="0" w:line="240" w:lineRule="auto"/>
              <w:rPr>
                <w:rFonts w:ascii="Times New Roman" w:eastAsia="Times New Roman" w:hAnsi="Times New Roman"/>
                <w:noProof/>
                <w:color w:val="000000"/>
                <w:sz w:val="18"/>
                <w:szCs w:val="18"/>
              </w:rPr>
            </w:pPr>
            <w:r>
              <w:rPr>
                <w:rFonts w:ascii="Times New Roman" w:hAnsi="Times New Roman"/>
                <w:noProof/>
                <w:color w:val="000000"/>
                <w:sz w:val="18"/>
                <w:szCs w:val="18"/>
              </w:rPr>
              <w:t>D</w:t>
            </w:r>
          </w:p>
        </w:tc>
        <w:tc>
          <w:tcPr>
            <w:tcW w:w="405" w:type="pct"/>
            <w:shd w:val="clear" w:color="auto" w:fill="auto"/>
            <w:noWrap/>
            <w:hideMark/>
          </w:tcPr>
          <w:p>
            <w:pPr>
              <w:spacing w:after="0" w:line="240" w:lineRule="auto"/>
              <w:jc w:val="center"/>
              <w:rPr>
                <w:rFonts w:ascii="Helvetica" w:eastAsia="Times New Roman" w:hAnsi="Helvetica" w:cs="Calibri"/>
                <w:noProof/>
                <w:color w:val="000000"/>
                <w:sz w:val="16"/>
                <w:szCs w:val="16"/>
              </w:rPr>
            </w:pPr>
            <w:r>
              <w:rPr>
                <w:rFonts w:ascii="Wingdings" w:hAnsi="Wingdings"/>
                <w:noProof/>
                <w:color w:val="000000"/>
                <w:sz w:val="16"/>
                <w:szCs w:val="16"/>
              </w:rPr>
              <w:t></w:t>
            </w:r>
          </w:p>
        </w:tc>
        <w:tc>
          <w:tcPr>
            <w:tcW w:w="405" w:type="pct"/>
            <w:shd w:val="clear" w:color="auto" w:fill="auto"/>
            <w:noWrap/>
            <w:hideMark/>
          </w:tcPr>
          <w:p>
            <w:pPr>
              <w:spacing w:after="0" w:line="240" w:lineRule="auto"/>
              <w:jc w:val="center"/>
              <w:rPr>
                <w:rFonts w:ascii="Helvetica" w:eastAsia="Times New Roman" w:hAnsi="Helvetica" w:cs="Calibri"/>
                <w:noProof/>
                <w:color w:val="000000"/>
                <w:sz w:val="16"/>
                <w:szCs w:val="16"/>
              </w:rPr>
            </w:pPr>
          </w:p>
        </w:tc>
        <w:tc>
          <w:tcPr>
            <w:tcW w:w="405" w:type="pct"/>
            <w:shd w:val="clear" w:color="auto" w:fill="auto"/>
            <w:noWrap/>
            <w:hideMark/>
          </w:tcPr>
          <w:p>
            <w:pPr>
              <w:spacing w:after="0" w:line="240" w:lineRule="auto"/>
              <w:jc w:val="center"/>
              <w:rPr>
                <w:rFonts w:ascii="Helvetica" w:eastAsia="Times New Roman" w:hAnsi="Helvetica" w:cs="Calibri"/>
                <w:noProof/>
                <w:color w:val="000000"/>
                <w:sz w:val="16"/>
                <w:szCs w:val="16"/>
              </w:rPr>
            </w:pPr>
            <w:r>
              <w:rPr>
                <w:rFonts w:ascii="Wingdings" w:hAnsi="Wingdings"/>
                <w:noProof/>
                <w:color w:val="000000"/>
                <w:sz w:val="16"/>
                <w:szCs w:val="16"/>
              </w:rPr>
              <w:t></w:t>
            </w:r>
          </w:p>
        </w:tc>
        <w:tc>
          <w:tcPr>
            <w:tcW w:w="405" w:type="pct"/>
            <w:shd w:val="clear" w:color="auto" w:fill="auto"/>
            <w:noWrap/>
            <w:hideMark/>
          </w:tcPr>
          <w:p>
            <w:pPr>
              <w:spacing w:after="0" w:line="240" w:lineRule="auto"/>
              <w:jc w:val="center"/>
              <w:rPr>
                <w:rFonts w:ascii="Helvetica" w:eastAsia="Times New Roman" w:hAnsi="Helvetica" w:cs="Calibri"/>
                <w:noProof/>
                <w:color w:val="000000"/>
                <w:sz w:val="16"/>
                <w:szCs w:val="16"/>
              </w:rPr>
            </w:pPr>
          </w:p>
        </w:tc>
        <w:tc>
          <w:tcPr>
            <w:tcW w:w="405" w:type="pct"/>
            <w:shd w:val="clear" w:color="auto" w:fill="auto"/>
            <w:noWrap/>
            <w:hideMark/>
          </w:tcPr>
          <w:p>
            <w:pPr>
              <w:spacing w:after="0" w:line="240" w:lineRule="auto"/>
              <w:jc w:val="center"/>
              <w:rPr>
                <w:rFonts w:ascii="Helvetica" w:eastAsia="Times New Roman" w:hAnsi="Helvetica" w:cs="Calibri"/>
                <w:noProof/>
                <w:color w:val="000000"/>
                <w:sz w:val="16"/>
                <w:szCs w:val="16"/>
              </w:rPr>
            </w:pPr>
          </w:p>
        </w:tc>
        <w:tc>
          <w:tcPr>
            <w:tcW w:w="405" w:type="pct"/>
            <w:shd w:val="clear" w:color="auto" w:fill="auto"/>
            <w:noWrap/>
            <w:hideMark/>
          </w:tcPr>
          <w:p>
            <w:pPr>
              <w:spacing w:after="0" w:line="240" w:lineRule="auto"/>
              <w:jc w:val="center"/>
              <w:rPr>
                <w:rFonts w:ascii="Helvetica" w:eastAsia="Times New Roman" w:hAnsi="Helvetica" w:cs="Calibri"/>
                <w:noProof/>
                <w:color w:val="000000"/>
                <w:sz w:val="16"/>
                <w:szCs w:val="16"/>
              </w:rPr>
            </w:pPr>
            <w:r>
              <w:rPr>
                <w:rFonts w:ascii="Wingdings" w:hAnsi="Wingdings"/>
                <w:noProof/>
                <w:color w:val="000000"/>
                <w:sz w:val="16"/>
                <w:szCs w:val="16"/>
              </w:rPr>
              <w:t></w:t>
            </w:r>
          </w:p>
        </w:tc>
        <w:tc>
          <w:tcPr>
            <w:tcW w:w="1622" w:type="pct"/>
            <w:shd w:val="clear" w:color="auto" w:fill="auto"/>
            <w:noWrap/>
            <w:hideMark/>
          </w:tcPr>
          <w:p>
            <w:pPr>
              <w:spacing w:after="0" w:line="240" w:lineRule="auto"/>
              <w:rPr>
                <w:rFonts w:ascii="Times New Roman" w:eastAsia="Times New Roman" w:hAnsi="Times New Roman"/>
                <w:b/>
                <w:noProof/>
                <w:color w:val="000000"/>
                <w:sz w:val="18"/>
                <w:szCs w:val="18"/>
              </w:rPr>
            </w:pPr>
            <w:r>
              <w:rPr>
                <w:rFonts w:ascii="Times New Roman" w:hAnsi="Times New Roman"/>
                <w:noProof/>
                <w:color w:val="000000"/>
                <w:sz w:val="18"/>
                <w:szCs w:val="18"/>
              </w:rPr>
              <w:t>Non spécifié</w:t>
            </w:r>
          </w:p>
        </w:tc>
      </w:tr>
      <w:tr>
        <w:trPr>
          <w:trHeight w:val="20"/>
        </w:trPr>
        <w:tc>
          <w:tcPr>
            <w:tcW w:w="455" w:type="pct"/>
            <w:shd w:val="clear" w:color="auto" w:fill="auto"/>
            <w:noWrap/>
            <w:hideMark/>
          </w:tcPr>
          <w:p>
            <w:pPr>
              <w:spacing w:after="0" w:line="240" w:lineRule="auto"/>
              <w:rPr>
                <w:rFonts w:ascii="Times New Roman" w:eastAsia="Times New Roman" w:hAnsi="Times New Roman"/>
                <w:noProof/>
                <w:color w:val="000000"/>
                <w:sz w:val="18"/>
                <w:szCs w:val="18"/>
              </w:rPr>
            </w:pPr>
            <w:r>
              <w:rPr>
                <w:rFonts w:ascii="Times New Roman" w:hAnsi="Times New Roman"/>
                <w:noProof/>
                <w:color w:val="000000"/>
                <w:sz w:val="18"/>
                <w:szCs w:val="18"/>
              </w:rPr>
              <w:t>Malte</w:t>
            </w:r>
          </w:p>
        </w:tc>
        <w:tc>
          <w:tcPr>
            <w:tcW w:w="493" w:type="pct"/>
            <w:shd w:val="clear" w:color="auto" w:fill="auto"/>
            <w:noWrap/>
            <w:hideMark/>
          </w:tcPr>
          <w:p>
            <w:pPr>
              <w:spacing w:after="0" w:line="240" w:lineRule="auto"/>
              <w:rPr>
                <w:rFonts w:ascii="Times New Roman" w:eastAsia="Times New Roman" w:hAnsi="Times New Roman"/>
                <w:noProof/>
                <w:color w:val="000000"/>
                <w:sz w:val="18"/>
                <w:szCs w:val="18"/>
              </w:rPr>
            </w:pPr>
            <w:r>
              <w:rPr>
                <w:rFonts w:ascii="Times New Roman" w:hAnsi="Times New Roman"/>
                <w:noProof/>
                <w:color w:val="000000"/>
                <w:sz w:val="18"/>
                <w:szCs w:val="18"/>
              </w:rPr>
              <w:t>AC et D</w:t>
            </w:r>
          </w:p>
        </w:tc>
        <w:tc>
          <w:tcPr>
            <w:tcW w:w="405" w:type="pct"/>
            <w:shd w:val="clear" w:color="auto" w:fill="auto"/>
            <w:noWrap/>
            <w:hideMark/>
          </w:tcPr>
          <w:p>
            <w:pPr>
              <w:spacing w:after="0" w:line="240" w:lineRule="auto"/>
              <w:jc w:val="center"/>
              <w:rPr>
                <w:rFonts w:ascii="Helvetica" w:eastAsia="Times New Roman" w:hAnsi="Helvetica" w:cs="Calibri"/>
                <w:noProof/>
                <w:color w:val="000000"/>
                <w:sz w:val="16"/>
                <w:szCs w:val="16"/>
              </w:rPr>
            </w:pPr>
          </w:p>
        </w:tc>
        <w:tc>
          <w:tcPr>
            <w:tcW w:w="405" w:type="pct"/>
            <w:shd w:val="clear" w:color="auto" w:fill="auto"/>
            <w:noWrap/>
            <w:hideMark/>
          </w:tcPr>
          <w:p>
            <w:pPr>
              <w:spacing w:after="0" w:line="240" w:lineRule="auto"/>
              <w:jc w:val="center"/>
              <w:rPr>
                <w:rFonts w:ascii="Helvetica" w:eastAsia="Times New Roman" w:hAnsi="Helvetica" w:cs="Calibri"/>
                <w:noProof/>
                <w:color w:val="000000"/>
                <w:sz w:val="16"/>
                <w:szCs w:val="16"/>
              </w:rPr>
            </w:pPr>
          </w:p>
        </w:tc>
        <w:tc>
          <w:tcPr>
            <w:tcW w:w="405" w:type="pct"/>
            <w:shd w:val="clear" w:color="auto" w:fill="auto"/>
            <w:noWrap/>
            <w:hideMark/>
          </w:tcPr>
          <w:p>
            <w:pPr>
              <w:spacing w:after="0" w:line="240" w:lineRule="auto"/>
              <w:jc w:val="center"/>
              <w:rPr>
                <w:rFonts w:ascii="Helvetica" w:eastAsia="Times New Roman" w:hAnsi="Helvetica" w:cs="Calibri"/>
                <w:noProof/>
                <w:color w:val="000000"/>
                <w:sz w:val="16"/>
                <w:szCs w:val="16"/>
              </w:rPr>
            </w:pPr>
          </w:p>
        </w:tc>
        <w:tc>
          <w:tcPr>
            <w:tcW w:w="405" w:type="pct"/>
            <w:shd w:val="clear" w:color="auto" w:fill="auto"/>
            <w:noWrap/>
            <w:hideMark/>
          </w:tcPr>
          <w:p>
            <w:pPr>
              <w:spacing w:after="0" w:line="240" w:lineRule="auto"/>
              <w:jc w:val="center"/>
              <w:rPr>
                <w:rFonts w:ascii="Helvetica" w:eastAsia="Times New Roman" w:hAnsi="Helvetica" w:cs="Calibri"/>
                <w:noProof/>
                <w:color w:val="000000"/>
                <w:sz w:val="16"/>
                <w:szCs w:val="16"/>
              </w:rPr>
            </w:pPr>
          </w:p>
        </w:tc>
        <w:tc>
          <w:tcPr>
            <w:tcW w:w="405" w:type="pct"/>
            <w:shd w:val="clear" w:color="auto" w:fill="auto"/>
            <w:noWrap/>
            <w:hideMark/>
          </w:tcPr>
          <w:p>
            <w:pPr>
              <w:spacing w:after="0" w:line="240" w:lineRule="auto"/>
              <w:jc w:val="center"/>
              <w:rPr>
                <w:rFonts w:ascii="Helvetica" w:eastAsia="Times New Roman" w:hAnsi="Helvetica" w:cs="Calibri"/>
                <w:noProof/>
                <w:color w:val="000000"/>
                <w:sz w:val="16"/>
                <w:szCs w:val="16"/>
              </w:rPr>
            </w:pPr>
          </w:p>
        </w:tc>
        <w:tc>
          <w:tcPr>
            <w:tcW w:w="405" w:type="pct"/>
            <w:shd w:val="clear" w:color="auto" w:fill="auto"/>
            <w:noWrap/>
            <w:hideMark/>
          </w:tcPr>
          <w:p>
            <w:pPr>
              <w:spacing w:after="0" w:line="240" w:lineRule="auto"/>
              <w:jc w:val="center"/>
              <w:rPr>
                <w:rFonts w:ascii="Helvetica" w:eastAsia="Times New Roman" w:hAnsi="Helvetica" w:cs="Calibri"/>
                <w:noProof/>
                <w:color w:val="000000"/>
                <w:sz w:val="16"/>
                <w:szCs w:val="16"/>
              </w:rPr>
            </w:pPr>
            <w:r>
              <w:rPr>
                <w:rFonts w:ascii="Wingdings" w:hAnsi="Wingdings"/>
                <w:noProof/>
                <w:color w:val="000000"/>
                <w:sz w:val="16"/>
                <w:szCs w:val="16"/>
              </w:rPr>
              <w:t></w:t>
            </w:r>
          </w:p>
        </w:tc>
        <w:tc>
          <w:tcPr>
            <w:tcW w:w="1622" w:type="pct"/>
            <w:shd w:val="clear" w:color="auto" w:fill="auto"/>
            <w:noWrap/>
            <w:hideMark/>
          </w:tcPr>
          <w:p>
            <w:pPr>
              <w:spacing w:after="0" w:line="240" w:lineRule="auto"/>
              <w:rPr>
                <w:rFonts w:ascii="Times New Roman" w:eastAsia="Times New Roman" w:hAnsi="Times New Roman"/>
                <w:noProof/>
                <w:color w:val="000000"/>
                <w:sz w:val="18"/>
                <w:szCs w:val="18"/>
              </w:rPr>
            </w:pPr>
            <w:r>
              <w:rPr>
                <w:rFonts w:ascii="Times New Roman" w:hAnsi="Times New Roman"/>
                <w:noProof/>
                <w:color w:val="000000"/>
                <w:sz w:val="18"/>
                <w:szCs w:val="18"/>
              </w:rPr>
              <w:t>Non spécifié</w:t>
            </w:r>
          </w:p>
        </w:tc>
      </w:tr>
      <w:tr>
        <w:trPr>
          <w:trHeight w:val="20"/>
        </w:trPr>
        <w:tc>
          <w:tcPr>
            <w:tcW w:w="455" w:type="pct"/>
            <w:shd w:val="clear" w:color="auto" w:fill="auto"/>
            <w:noWrap/>
            <w:hideMark/>
          </w:tcPr>
          <w:p>
            <w:pPr>
              <w:spacing w:after="0" w:line="240" w:lineRule="auto"/>
              <w:rPr>
                <w:rFonts w:ascii="Times New Roman" w:eastAsia="Times New Roman" w:hAnsi="Times New Roman"/>
                <w:noProof/>
                <w:color w:val="000000"/>
                <w:sz w:val="18"/>
                <w:szCs w:val="18"/>
              </w:rPr>
            </w:pPr>
            <w:r>
              <w:rPr>
                <w:rFonts w:ascii="Times New Roman" w:hAnsi="Times New Roman"/>
                <w:noProof/>
                <w:color w:val="000000"/>
                <w:sz w:val="18"/>
                <w:szCs w:val="18"/>
              </w:rPr>
              <w:t>Pays-Bas</w:t>
            </w:r>
          </w:p>
        </w:tc>
        <w:tc>
          <w:tcPr>
            <w:tcW w:w="493" w:type="pct"/>
            <w:shd w:val="clear" w:color="auto" w:fill="auto"/>
            <w:noWrap/>
            <w:hideMark/>
          </w:tcPr>
          <w:p>
            <w:pPr>
              <w:spacing w:after="0" w:line="240" w:lineRule="auto"/>
              <w:rPr>
                <w:rFonts w:ascii="Times New Roman" w:eastAsia="Times New Roman" w:hAnsi="Times New Roman"/>
                <w:noProof/>
                <w:color w:val="000000"/>
                <w:sz w:val="18"/>
                <w:szCs w:val="18"/>
              </w:rPr>
            </w:pPr>
            <w:r>
              <w:rPr>
                <w:rFonts w:ascii="Times New Roman" w:hAnsi="Times New Roman"/>
                <w:noProof/>
                <w:color w:val="000000"/>
                <w:sz w:val="18"/>
                <w:szCs w:val="18"/>
              </w:rPr>
              <w:t>AC</w:t>
            </w:r>
          </w:p>
        </w:tc>
        <w:tc>
          <w:tcPr>
            <w:tcW w:w="405" w:type="pct"/>
            <w:shd w:val="clear" w:color="auto" w:fill="auto"/>
            <w:noWrap/>
            <w:hideMark/>
          </w:tcPr>
          <w:p>
            <w:pPr>
              <w:spacing w:after="0" w:line="240" w:lineRule="auto"/>
              <w:jc w:val="center"/>
              <w:rPr>
                <w:rFonts w:ascii="Helvetica" w:eastAsia="Times New Roman" w:hAnsi="Helvetica" w:cs="Calibri"/>
                <w:noProof/>
                <w:color w:val="000000"/>
                <w:sz w:val="16"/>
                <w:szCs w:val="16"/>
              </w:rPr>
            </w:pPr>
          </w:p>
        </w:tc>
        <w:tc>
          <w:tcPr>
            <w:tcW w:w="405" w:type="pct"/>
            <w:shd w:val="clear" w:color="auto" w:fill="auto"/>
            <w:noWrap/>
            <w:hideMark/>
          </w:tcPr>
          <w:p>
            <w:pPr>
              <w:spacing w:after="0" w:line="240" w:lineRule="auto"/>
              <w:jc w:val="center"/>
              <w:rPr>
                <w:rFonts w:ascii="Helvetica" w:eastAsia="Times New Roman" w:hAnsi="Helvetica" w:cs="Calibri"/>
                <w:noProof/>
                <w:color w:val="000000"/>
                <w:sz w:val="16"/>
                <w:szCs w:val="16"/>
              </w:rPr>
            </w:pPr>
          </w:p>
        </w:tc>
        <w:tc>
          <w:tcPr>
            <w:tcW w:w="405" w:type="pct"/>
            <w:shd w:val="clear" w:color="auto" w:fill="auto"/>
            <w:noWrap/>
            <w:hideMark/>
          </w:tcPr>
          <w:p>
            <w:pPr>
              <w:spacing w:after="0" w:line="240" w:lineRule="auto"/>
              <w:jc w:val="center"/>
              <w:rPr>
                <w:rFonts w:ascii="Helvetica" w:eastAsia="Times New Roman" w:hAnsi="Helvetica" w:cs="Calibri"/>
                <w:noProof/>
                <w:color w:val="000000"/>
                <w:sz w:val="16"/>
                <w:szCs w:val="16"/>
              </w:rPr>
            </w:pPr>
            <w:r>
              <w:rPr>
                <w:rFonts w:ascii="Wingdings" w:hAnsi="Wingdings"/>
                <w:noProof/>
                <w:color w:val="000000"/>
                <w:sz w:val="16"/>
                <w:szCs w:val="16"/>
              </w:rPr>
              <w:t></w:t>
            </w:r>
          </w:p>
        </w:tc>
        <w:tc>
          <w:tcPr>
            <w:tcW w:w="405" w:type="pct"/>
            <w:shd w:val="clear" w:color="auto" w:fill="auto"/>
            <w:noWrap/>
            <w:hideMark/>
          </w:tcPr>
          <w:p>
            <w:pPr>
              <w:spacing w:after="0" w:line="240" w:lineRule="auto"/>
              <w:jc w:val="center"/>
              <w:rPr>
                <w:rFonts w:ascii="Helvetica" w:eastAsia="Times New Roman" w:hAnsi="Helvetica" w:cs="Calibri"/>
                <w:noProof/>
                <w:color w:val="000000"/>
                <w:sz w:val="16"/>
                <w:szCs w:val="16"/>
              </w:rPr>
            </w:pPr>
          </w:p>
        </w:tc>
        <w:tc>
          <w:tcPr>
            <w:tcW w:w="405" w:type="pct"/>
            <w:shd w:val="clear" w:color="auto" w:fill="auto"/>
            <w:noWrap/>
            <w:hideMark/>
          </w:tcPr>
          <w:p>
            <w:pPr>
              <w:spacing w:after="0" w:line="240" w:lineRule="auto"/>
              <w:jc w:val="center"/>
              <w:rPr>
                <w:rFonts w:ascii="Helvetica" w:eastAsia="Times New Roman" w:hAnsi="Helvetica" w:cs="Calibri"/>
                <w:noProof/>
                <w:color w:val="000000"/>
                <w:sz w:val="16"/>
                <w:szCs w:val="16"/>
              </w:rPr>
            </w:pPr>
          </w:p>
        </w:tc>
        <w:tc>
          <w:tcPr>
            <w:tcW w:w="405" w:type="pct"/>
            <w:shd w:val="clear" w:color="auto" w:fill="auto"/>
            <w:noWrap/>
            <w:hideMark/>
          </w:tcPr>
          <w:p>
            <w:pPr>
              <w:spacing w:after="0" w:line="240" w:lineRule="auto"/>
              <w:jc w:val="center"/>
              <w:rPr>
                <w:rFonts w:ascii="Helvetica" w:eastAsia="Times New Roman" w:hAnsi="Helvetica" w:cs="Calibri"/>
                <w:noProof/>
                <w:color w:val="000000"/>
                <w:sz w:val="16"/>
                <w:szCs w:val="16"/>
              </w:rPr>
            </w:pPr>
            <w:r>
              <w:rPr>
                <w:rFonts w:ascii="Wingdings" w:hAnsi="Wingdings"/>
                <w:noProof/>
                <w:color w:val="000000"/>
                <w:sz w:val="16"/>
                <w:szCs w:val="16"/>
              </w:rPr>
              <w:t></w:t>
            </w:r>
          </w:p>
        </w:tc>
        <w:tc>
          <w:tcPr>
            <w:tcW w:w="1622" w:type="pct"/>
            <w:shd w:val="clear" w:color="auto" w:fill="auto"/>
            <w:noWrap/>
            <w:hideMark/>
          </w:tcPr>
          <w:p>
            <w:pPr>
              <w:spacing w:after="0" w:line="240" w:lineRule="auto"/>
              <w:rPr>
                <w:rFonts w:ascii="Times New Roman" w:eastAsia="Times New Roman" w:hAnsi="Times New Roman"/>
                <w:noProof/>
                <w:color w:val="000000"/>
                <w:sz w:val="18"/>
                <w:szCs w:val="18"/>
              </w:rPr>
            </w:pPr>
            <w:r>
              <w:rPr>
                <w:rFonts w:ascii="Times New Roman" w:hAnsi="Times New Roman"/>
                <w:noProof/>
                <w:color w:val="000000"/>
                <w:sz w:val="18"/>
                <w:szCs w:val="18"/>
              </w:rPr>
              <w:t>Non spécifié</w:t>
            </w:r>
          </w:p>
        </w:tc>
      </w:tr>
      <w:tr>
        <w:trPr>
          <w:trHeight w:val="20"/>
        </w:trPr>
        <w:tc>
          <w:tcPr>
            <w:tcW w:w="455" w:type="pct"/>
            <w:shd w:val="clear" w:color="auto" w:fill="auto"/>
            <w:noWrap/>
            <w:hideMark/>
          </w:tcPr>
          <w:p>
            <w:pPr>
              <w:spacing w:after="0" w:line="240" w:lineRule="auto"/>
              <w:rPr>
                <w:rFonts w:ascii="Times New Roman" w:eastAsia="Times New Roman" w:hAnsi="Times New Roman"/>
                <w:noProof/>
                <w:color w:val="000000"/>
                <w:sz w:val="18"/>
                <w:szCs w:val="18"/>
              </w:rPr>
            </w:pPr>
            <w:r>
              <w:rPr>
                <w:rFonts w:ascii="Times New Roman" w:hAnsi="Times New Roman"/>
                <w:noProof/>
                <w:color w:val="000000"/>
                <w:sz w:val="18"/>
                <w:szCs w:val="18"/>
              </w:rPr>
              <w:t>Pologne</w:t>
            </w:r>
          </w:p>
        </w:tc>
        <w:tc>
          <w:tcPr>
            <w:tcW w:w="493" w:type="pct"/>
            <w:shd w:val="clear" w:color="auto" w:fill="auto"/>
            <w:noWrap/>
            <w:hideMark/>
          </w:tcPr>
          <w:p>
            <w:pPr>
              <w:spacing w:after="0" w:line="240" w:lineRule="auto"/>
              <w:rPr>
                <w:rFonts w:ascii="Times New Roman" w:eastAsia="Times New Roman" w:hAnsi="Times New Roman"/>
                <w:noProof/>
                <w:color w:val="000000"/>
                <w:sz w:val="18"/>
                <w:szCs w:val="18"/>
              </w:rPr>
            </w:pPr>
            <w:r>
              <w:rPr>
                <w:rFonts w:ascii="Times New Roman" w:hAnsi="Times New Roman"/>
                <w:noProof/>
                <w:color w:val="000000"/>
                <w:sz w:val="18"/>
                <w:szCs w:val="18"/>
              </w:rPr>
              <w:t>AC</w:t>
            </w:r>
          </w:p>
        </w:tc>
        <w:tc>
          <w:tcPr>
            <w:tcW w:w="405" w:type="pct"/>
            <w:shd w:val="clear" w:color="auto" w:fill="auto"/>
            <w:noWrap/>
            <w:hideMark/>
          </w:tcPr>
          <w:p>
            <w:pPr>
              <w:spacing w:after="0" w:line="240" w:lineRule="auto"/>
              <w:jc w:val="center"/>
              <w:rPr>
                <w:rFonts w:ascii="Helvetica" w:eastAsia="Times New Roman" w:hAnsi="Helvetica" w:cs="Calibri"/>
                <w:noProof/>
                <w:color w:val="000000"/>
                <w:sz w:val="16"/>
                <w:szCs w:val="16"/>
              </w:rPr>
            </w:pPr>
          </w:p>
        </w:tc>
        <w:tc>
          <w:tcPr>
            <w:tcW w:w="405" w:type="pct"/>
            <w:shd w:val="clear" w:color="auto" w:fill="auto"/>
            <w:noWrap/>
            <w:hideMark/>
          </w:tcPr>
          <w:p>
            <w:pPr>
              <w:spacing w:after="0" w:line="240" w:lineRule="auto"/>
              <w:jc w:val="center"/>
              <w:rPr>
                <w:rFonts w:ascii="Helvetica" w:eastAsia="Times New Roman" w:hAnsi="Helvetica" w:cs="Calibri"/>
                <w:noProof/>
                <w:color w:val="000000"/>
                <w:sz w:val="16"/>
                <w:szCs w:val="16"/>
              </w:rPr>
            </w:pPr>
          </w:p>
        </w:tc>
        <w:tc>
          <w:tcPr>
            <w:tcW w:w="405" w:type="pct"/>
            <w:shd w:val="clear" w:color="auto" w:fill="auto"/>
            <w:noWrap/>
            <w:hideMark/>
          </w:tcPr>
          <w:p>
            <w:pPr>
              <w:spacing w:after="0" w:line="240" w:lineRule="auto"/>
              <w:jc w:val="center"/>
              <w:rPr>
                <w:rFonts w:ascii="Helvetica" w:eastAsia="Times New Roman" w:hAnsi="Helvetica" w:cs="Calibri"/>
                <w:noProof/>
                <w:color w:val="000000"/>
                <w:sz w:val="16"/>
                <w:szCs w:val="16"/>
              </w:rPr>
            </w:pPr>
            <w:r>
              <w:rPr>
                <w:rFonts w:ascii="Wingdings" w:hAnsi="Wingdings"/>
                <w:noProof/>
                <w:color w:val="000000"/>
                <w:sz w:val="16"/>
                <w:szCs w:val="16"/>
              </w:rPr>
              <w:t></w:t>
            </w:r>
          </w:p>
        </w:tc>
        <w:tc>
          <w:tcPr>
            <w:tcW w:w="405" w:type="pct"/>
            <w:shd w:val="clear" w:color="auto" w:fill="auto"/>
            <w:noWrap/>
            <w:hideMark/>
          </w:tcPr>
          <w:p>
            <w:pPr>
              <w:spacing w:after="0" w:line="240" w:lineRule="auto"/>
              <w:jc w:val="center"/>
              <w:rPr>
                <w:rFonts w:ascii="Helvetica" w:eastAsia="Times New Roman" w:hAnsi="Helvetica" w:cs="Calibri"/>
                <w:noProof/>
                <w:color w:val="000000"/>
                <w:sz w:val="16"/>
                <w:szCs w:val="16"/>
              </w:rPr>
            </w:pPr>
            <w:r>
              <w:rPr>
                <w:rFonts w:ascii="Wingdings" w:hAnsi="Wingdings"/>
                <w:noProof/>
                <w:color w:val="000000"/>
                <w:sz w:val="16"/>
                <w:szCs w:val="16"/>
              </w:rPr>
              <w:t></w:t>
            </w:r>
          </w:p>
        </w:tc>
        <w:tc>
          <w:tcPr>
            <w:tcW w:w="405" w:type="pct"/>
            <w:shd w:val="clear" w:color="auto" w:fill="auto"/>
            <w:noWrap/>
            <w:hideMark/>
          </w:tcPr>
          <w:p>
            <w:pPr>
              <w:spacing w:after="0" w:line="240" w:lineRule="auto"/>
              <w:jc w:val="center"/>
              <w:rPr>
                <w:rFonts w:ascii="Helvetica" w:eastAsia="Times New Roman" w:hAnsi="Helvetica" w:cs="Calibri"/>
                <w:noProof/>
                <w:color w:val="000000"/>
                <w:sz w:val="16"/>
                <w:szCs w:val="16"/>
              </w:rPr>
            </w:pPr>
          </w:p>
        </w:tc>
        <w:tc>
          <w:tcPr>
            <w:tcW w:w="405" w:type="pct"/>
            <w:shd w:val="clear" w:color="auto" w:fill="auto"/>
            <w:noWrap/>
            <w:hideMark/>
          </w:tcPr>
          <w:p>
            <w:pPr>
              <w:spacing w:after="0" w:line="240" w:lineRule="auto"/>
              <w:jc w:val="center"/>
              <w:rPr>
                <w:rFonts w:ascii="Helvetica" w:eastAsia="Times New Roman" w:hAnsi="Helvetica" w:cs="Calibri"/>
                <w:noProof/>
                <w:color w:val="000000"/>
                <w:sz w:val="16"/>
                <w:szCs w:val="16"/>
              </w:rPr>
            </w:pPr>
          </w:p>
        </w:tc>
        <w:tc>
          <w:tcPr>
            <w:tcW w:w="1622" w:type="pct"/>
            <w:shd w:val="clear" w:color="auto" w:fill="auto"/>
            <w:noWrap/>
            <w:hideMark/>
          </w:tcPr>
          <w:p>
            <w:pPr>
              <w:spacing w:after="0" w:line="240" w:lineRule="auto"/>
              <w:rPr>
                <w:rFonts w:ascii="Times New Roman" w:eastAsia="Times New Roman" w:hAnsi="Times New Roman"/>
                <w:noProof/>
                <w:color w:val="000000"/>
                <w:sz w:val="18"/>
                <w:szCs w:val="18"/>
                <w:lang w:val="fr-BE"/>
              </w:rPr>
            </w:pPr>
            <w:r>
              <w:rPr>
                <w:rFonts w:ascii="Times New Roman" w:hAnsi="Times New Roman"/>
                <w:noProof/>
                <w:color w:val="000000"/>
                <w:sz w:val="18"/>
                <w:szCs w:val="18"/>
                <w:lang w:val="fr-BE"/>
              </w:rPr>
              <w:t>Doutes quant à l’authenticité de la signature sur l’autorisation FLEGT</w:t>
            </w:r>
          </w:p>
        </w:tc>
      </w:tr>
      <w:tr>
        <w:trPr>
          <w:trHeight w:val="20"/>
        </w:trPr>
        <w:tc>
          <w:tcPr>
            <w:tcW w:w="455" w:type="pct"/>
            <w:shd w:val="clear" w:color="auto" w:fill="auto"/>
            <w:noWrap/>
            <w:hideMark/>
          </w:tcPr>
          <w:p>
            <w:pPr>
              <w:spacing w:after="0" w:line="240" w:lineRule="auto"/>
              <w:rPr>
                <w:rFonts w:ascii="Times New Roman" w:eastAsia="Times New Roman" w:hAnsi="Times New Roman"/>
                <w:noProof/>
                <w:color w:val="000000"/>
                <w:sz w:val="18"/>
                <w:szCs w:val="18"/>
              </w:rPr>
            </w:pPr>
            <w:r>
              <w:rPr>
                <w:rFonts w:ascii="Times New Roman" w:hAnsi="Times New Roman"/>
                <w:noProof/>
                <w:color w:val="000000"/>
                <w:sz w:val="18"/>
                <w:szCs w:val="18"/>
              </w:rPr>
              <w:t>Slovaquie</w:t>
            </w:r>
          </w:p>
        </w:tc>
        <w:tc>
          <w:tcPr>
            <w:tcW w:w="493" w:type="pct"/>
            <w:shd w:val="clear" w:color="auto" w:fill="auto"/>
            <w:noWrap/>
            <w:hideMark/>
          </w:tcPr>
          <w:p>
            <w:pPr>
              <w:spacing w:after="0" w:line="240" w:lineRule="auto"/>
              <w:rPr>
                <w:rFonts w:ascii="Times New Roman" w:eastAsia="Times New Roman" w:hAnsi="Times New Roman"/>
                <w:noProof/>
                <w:color w:val="000000"/>
                <w:sz w:val="18"/>
                <w:szCs w:val="18"/>
              </w:rPr>
            </w:pPr>
            <w:r>
              <w:rPr>
                <w:rFonts w:ascii="Times New Roman" w:hAnsi="Times New Roman"/>
                <w:noProof/>
                <w:color w:val="000000"/>
                <w:sz w:val="18"/>
                <w:szCs w:val="18"/>
              </w:rPr>
              <w:t>AC</w:t>
            </w:r>
          </w:p>
        </w:tc>
        <w:tc>
          <w:tcPr>
            <w:tcW w:w="405" w:type="pct"/>
            <w:shd w:val="clear" w:color="auto" w:fill="auto"/>
            <w:noWrap/>
            <w:hideMark/>
          </w:tcPr>
          <w:p>
            <w:pPr>
              <w:spacing w:after="0" w:line="240" w:lineRule="auto"/>
              <w:jc w:val="center"/>
              <w:rPr>
                <w:rFonts w:ascii="Helvetica" w:eastAsia="Times New Roman" w:hAnsi="Helvetica" w:cs="Calibri"/>
                <w:noProof/>
                <w:color w:val="000000"/>
                <w:sz w:val="16"/>
                <w:szCs w:val="16"/>
              </w:rPr>
            </w:pPr>
            <w:r>
              <w:rPr>
                <w:rFonts w:ascii="Wingdings" w:hAnsi="Wingdings"/>
                <w:noProof/>
                <w:color w:val="000000"/>
                <w:sz w:val="16"/>
                <w:szCs w:val="16"/>
              </w:rPr>
              <w:t></w:t>
            </w:r>
          </w:p>
        </w:tc>
        <w:tc>
          <w:tcPr>
            <w:tcW w:w="405" w:type="pct"/>
            <w:shd w:val="clear" w:color="auto" w:fill="auto"/>
            <w:noWrap/>
            <w:hideMark/>
          </w:tcPr>
          <w:p>
            <w:pPr>
              <w:spacing w:after="0" w:line="240" w:lineRule="auto"/>
              <w:jc w:val="center"/>
              <w:rPr>
                <w:rFonts w:ascii="Helvetica" w:eastAsia="Times New Roman" w:hAnsi="Helvetica" w:cs="Calibri"/>
                <w:noProof/>
                <w:color w:val="000000"/>
                <w:sz w:val="16"/>
                <w:szCs w:val="16"/>
              </w:rPr>
            </w:pPr>
            <w:r>
              <w:rPr>
                <w:rFonts w:ascii="Wingdings" w:hAnsi="Wingdings"/>
                <w:noProof/>
                <w:color w:val="000000"/>
                <w:sz w:val="16"/>
                <w:szCs w:val="16"/>
              </w:rPr>
              <w:t></w:t>
            </w:r>
          </w:p>
        </w:tc>
        <w:tc>
          <w:tcPr>
            <w:tcW w:w="405" w:type="pct"/>
            <w:shd w:val="clear" w:color="auto" w:fill="auto"/>
            <w:noWrap/>
            <w:hideMark/>
          </w:tcPr>
          <w:p>
            <w:pPr>
              <w:spacing w:after="0" w:line="240" w:lineRule="auto"/>
              <w:jc w:val="center"/>
              <w:rPr>
                <w:rFonts w:ascii="Helvetica" w:eastAsia="Times New Roman" w:hAnsi="Helvetica" w:cs="Calibri"/>
                <w:noProof/>
                <w:color w:val="000000"/>
                <w:sz w:val="16"/>
                <w:szCs w:val="16"/>
              </w:rPr>
            </w:pPr>
            <w:r>
              <w:rPr>
                <w:rFonts w:ascii="Wingdings" w:hAnsi="Wingdings"/>
                <w:noProof/>
                <w:color w:val="000000"/>
                <w:sz w:val="16"/>
                <w:szCs w:val="16"/>
              </w:rPr>
              <w:t></w:t>
            </w:r>
          </w:p>
        </w:tc>
        <w:tc>
          <w:tcPr>
            <w:tcW w:w="405" w:type="pct"/>
            <w:shd w:val="clear" w:color="auto" w:fill="auto"/>
            <w:noWrap/>
            <w:hideMark/>
          </w:tcPr>
          <w:p>
            <w:pPr>
              <w:spacing w:after="0" w:line="240" w:lineRule="auto"/>
              <w:jc w:val="center"/>
              <w:rPr>
                <w:rFonts w:ascii="Helvetica" w:eastAsia="Times New Roman" w:hAnsi="Helvetica" w:cs="Calibri"/>
                <w:noProof/>
                <w:color w:val="000000"/>
                <w:sz w:val="16"/>
                <w:szCs w:val="16"/>
              </w:rPr>
            </w:pPr>
            <w:r>
              <w:rPr>
                <w:rFonts w:ascii="Wingdings" w:hAnsi="Wingdings"/>
                <w:noProof/>
                <w:color w:val="000000"/>
                <w:sz w:val="16"/>
                <w:szCs w:val="16"/>
              </w:rPr>
              <w:t></w:t>
            </w:r>
          </w:p>
        </w:tc>
        <w:tc>
          <w:tcPr>
            <w:tcW w:w="405" w:type="pct"/>
            <w:shd w:val="clear" w:color="auto" w:fill="auto"/>
            <w:noWrap/>
            <w:hideMark/>
          </w:tcPr>
          <w:p>
            <w:pPr>
              <w:spacing w:after="0" w:line="240" w:lineRule="auto"/>
              <w:jc w:val="center"/>
              <w:rPr>
                <w:rFonts w:ascii="Helvetica" w:eastAsia="Times New Roman" w:hAnsi="Helvetica" w:cs="Calibri"/>
                <w:noProof/>
                <w:color w:val="000000"/>
                <w:sz w:val="16"/>
                <w:szCs w:val="16"/>
              </w:rPr>
            </w:pPr>
            <w:r>
              <w:rPr>
                <w:rFonts w:ascii="Wingdings" w:hAnsi="Wingdings"/>
                <w:noProof/>
                <w:color w:val="000000"/>
                <w:sz w:val="16"/>
                <w:szCs w:val="16"/>
              </w:rPr>
              <w:t></w:t>
            </w:r>
          </w:p>
        </w:tc>
        <w:tc>
          <w:tcPr>
            <w:tcW w:w="405" w:type="pct"/>
            <w:shd w:val="clear" w:color="auto" w:fill="auto"/>
            <w:noWrap/>
            <w:hideMark/>
          </w:tcPr>
          <w:p>
            <w:pPr>
              <w:spacing w:after="0" w:line="240" w:lineRule="auto"/>
              <w:jc w:val="center"/>
              <w:rPr>
                <w:rFonts w:ascii="Helvetica" w:eastAsia="Times New Roman" w:hAnsi="Helvetica" w:cs="Calibri"/>
                <w:noProof/>
                <w:color w:val="000000"/>
                <w:sz w:val="16"/>
                <w:szCs w:val="16"/>
              </w:rPr>
            </w:pPr>
            <w:r>
              <w:rPr>
                <w:rFonts w:ascii="Wingdings" w:hAnsi="Wingdings"/>
                <w:noProof/>
                <w:color w:val="000000"/>
                <w:sz w:val="16"/>
                <w:szCs w:val="16"/>
              </w:rPr>
              <w:t></w:t>
            </w:r>
          </w:p>
        </w:tc>
        <w:tc>
          <w:tcPr>
            <w:tcW w:w="1622" w:type="pct"/>
            <w:shd w:val="clear" w:color="auto" w:fill="auto"/>
            <w:noWrap/>
            <w:hideMark/>
          </w:tcPr>
          <w:p>
            <w:pPr>
              <w:spacing w:after="0" w:line="240" w:lineRule="auto"/>
              <w:rPr>
                <w:rFonts w:ascii="Times New Roman" w:eastAsia="Times New Roman" w:hAnsi="Times New Roman"/>
                <w:noProof/>
                <w:color w:val="000000"/>
                <w:sz w:val="18"/>
                <w:szCs w:val="18"/>
              </w:rPr>
            </w:pPr>
            <w:r>
              <w:rPr>
                <w:rFonts w:ascii="Times New Roman" w:hAnsi="Times New Roman"/>
                <w:noProof/>
                <w:color w:val="000000"/>
                <w:sz w:val="18"/>
                <w:szCs w:val="18"/>
              </w:rPr>
              <w:t> </w:t>
            </w:r>
          </w:p>
        </w:tc>
      </w:tr>
      <w:tr>
        <w:trPr>
          <w:trHeight w:val="20"/>
        </w:trPr>
        <w:tc>
          <w:tcPr>
            <w:tcW w:w="455" w:type="pct"/>
            <w:shd w:val="clear" w:color="auto" w:fill="auto"/>
            <w:noWrap/>
            <w:hideMark/>
          </w:tcPr>
          <w:p>
            <w:pPr>
              <w:spacing w:after="0" w:line="240" w:lineRule="auto"/>
              <w:rPr>
                <w:rFonts w:ascii="Times New Roman" w:eastAsia="Times New Roman" w:hAnsi="Times New Roman"/>
                <w:noProof/>
                <w:color w:val="000000"/>
                <w:sz w:val="18"/>
                <w:szCs w:val="18"/>
              </w:rPr>
            </w:pPr>
            <w:r>
              <w:rPr>
                <w:rFonts w:ascii="Times New Roman" w:hAnsi="Times New Roman"/>
                <w:noProof/>
                <w:color w:val="000000"/>
                <w:sz w:val="18"/>
                <w:szCs w:val="18"/>
              </w:rPr>
              <w:t>Slovénie</w:t>
            </w:r>
          </w:p>
        </w:tc>
        <w:tc>
          <w:tcPr>
            <w:tcW w:w="493" w:type="pct"/>
            <w:shd w:val="clear" w:color="auto" w:fill="auto"/>
            <w:noWrap/>
            <w:hideMark/>
          </w:tcPr>
          <w:p>
            <w:pPr>
              <w:spacing w:after="0" w:line="240" w:lineRule="auto"/>
              <w:rPr>
                <w:rFonts w:ascii="Times New Roman" w:eastAsia="Times New Roman" w:hAnsi="Times New Roman"/>
                <w:noProof/>
                <w:color w:val="000000"/>
                <w:sz w:val="18"/>
                <w:szCs w:val="18"/>
              </w:rPr>
            </w:pPr>
            <w:r>
              <w:rPr>
                <w:rFonts w:ascii="Times New Roman" w:hAnsi="Times New Roman"/>
                <w:noProof/>
                <w:color w:val="000000"/>
                <w:sz w:val="18"/>
                <w:szCs w:val="18"/>
              </w:rPr>
              <w:t>AC et D</w:t>
            </w:r>
          </w:p>
        </w:tc>
        <w:tc>
          <w:tcPr>
            <w:tcW w:w="405" w:type="pct"/>
            <w:shd w:val="clear" w:color="auto" w:fill="auto"/>
            <w:noWrap/>
            <w:hideMark/>
          </w:tcPr>
          <w:p>
            <w:pPr>
              <w:spacing w:after="0" w:line="240" w:lineRule="auto"/>
              <w:jc w:val="center"/>
              <w:rPr>
                <w:rFonts w:ascii="Helvetica" w:eastAsia="Times New Roman" w:hAnsi="Helvetica" w:cs="Calibri"/>
                <w:noProof/>
                <w:color w:val="000000"/>
                <w:sz w:val="16"/>
                <w:szCs w:val="16"/>
              </w:rPr>
            </w:pPr>
          </w:p>
        </w:tc>
        <w:tc>
          <w:tcPr>
            <w:tcW w:w="405" w:type="pct"/>
            <w:shd w:val="clear" w:color="auto" w:fill="auto"/>
            <w:noWrap/>
            <w:hideMark/>
          </w:tcPr>
          <w:p>
            <w:pPr>
              <w:spacing w:after="0" w:line="240" w:lineRule="auto"/>
              <w:jc w:val="center"/>
              <w:rPr>
                <w:rFonts w:ascii="Helvetica" w:eastAsia="Times New Roman" w:hAnsi="Helvetica" w:cs="Calibri"/>
                <w:noProof/>
                <w:color w:val="000000"/>
                <w:sz w:val="16"/>
                <w:szCs w:val="16"/>
              </w:rPr>
            </w:pPr>
          </w:p>
        </w:tc>
        <w:tc>
          <w:tcPr>
            <w:tcW w:w="405" w:type="pct"/>
            <w:shd w:val="clear" w:color="auto" w:fill="auto"/>
            <w:noWrap/>
            <w:hideMark/>
          </w:tcPr>
          <w:p>
            <w:pPr>
              <w:spacing w:after="0" w:line="240" w:lineRule="auto"/>
              <w:jc w:val="center"/>
              <w:rPr>
                <w:rFonts w:ascii="Helvetica" w:eastAsia="Times New Roman" w:hAnsi="Helvetica" w:cs="Calibri"/>
                <w:noProof/>
                <w:color w:val="000000"/>
                <w:sz w:val="16"/>
                <w:szCs w:val="16"/>
              </w:rPr>
            </w:pPr>
          </w:p>
        </w:tc>
        <w:tc>
          <w:tcPr>
            <w:tcW w:w="405" w:type="pct"/>
            <w:shd w:val="clear" w:color="auto" w:fill="auto"/>
            <w:noWrap/>
            <w:hideMark/>
          </w:tcPr>
          <w:p>
            <w:pPr>
              <w:spacing w:after="0" w:line="240" w:lineRule="auto"/>
              <w:jc w:val="center"/>
              <w:rPr>
                <w:rFonts w:ascii="Helvetica" w:eastAsia="Times New Roman" w:hAnsi="Helvetica" w:cs="Calibri"/>
                <w:noProof/>
                <w:color w:val="000000"/>
                <w:sz w:val="16"/>
                <w:szCs w:val="16"/>
              </w:rPr>
            </w:pPr>
          </w:p>
        </w:tc>
        <w:tc>
          <w:tcPr>
            <w:tcW w:w="405" w:type="pct"/>
            <w:shd w:val="clear" w:color="auto" w:fill="auto"/>
            <w:noWrap/>
            <w:hideMark/>
          </w:tcPr>
          <w:p>
            <w:pPr>
              <w:spacing w:after="0" w:line="240" w:lineRule="auto"/>
              <w:jc w:val="center"/>
              <w:rPr>
                <w:rFonts w:ascii="Helvetica" w:eastAsia="Times New Roman" w:hAnsi="Helvetica" w:cs="Calibri"/>
                <w:noProof/>
                <w:color w:val="000000"/>
                <w:sz w:val="16"/>
                <w:szCs w:val="16"/>
              </w:rPr>
            </w:pPr>
          </w:p>
        </w:tc>
        <w:tc>
          <w:tcPr>
            <w:tcW w:w="405" w:type="pct"/>
            <w:shd w:val="clear" w:color="auto" w:fill="auto"/>
            <w:noWrap/>
            <w:hideMark/>
          </w:tcPr>
          <w:p>
            <w:pPr>
              <w:spacing w:after="0" w:line="240" w:lineRule="auto"/>
              <w:jc w:val="center"/>
              <w:rPr>
                <w:rFonts w:ascii="Helvetica" w:eastAsia="Times New Roman" w:hAnsi="Helvetica" w:cs="Calibri"/>
                <w:noProof/>
                <w:color w:val="000000"/>
                <w:sz w:val="16"/>
                <w:szCs w:val="16"/>
              </w:rPr>
            </w:pPr>
            <w:r>
              <w:rPr>
                <w:rFonts w:ascii="Wingdings" w:hAnsi="Wingdings"/>
                <w:noProof/>
                <w:color w:val="000000"/>
                <w:sz w:val="16"/>
                <w:szCs w:val="16"/>
              </w:rPr>
              <w:t></w:t>
            </w:r>
          </w:p>
        </w:tc>
        <w:tc>
          <w:tcPr>
            <w:tcW w:w="1622" w:type="pct"/>
            <w:shd w:val="clear" w:color="auto" w:fill="auto"/>
            <w:noWrap/>
            <w:hideMark/>
          </w:tcPr>
          <w:p>
            <w:pPr>
              <w:spacing w:after="0" w:line="240" w:lineRule="auto"/>
              <w:rPr>
                <w:rFonts w:ascii="Times New Roman" w:eastAsia="Times New Roman" w:hAnsi="Times New Roman"/>
                <w:noProof/>
                <w:color w:val="000000"/>
                <w:sz w:val="18"/>
                <w:szCs w:val="18"/>
              </w:rPr>
            </w:pPr>
            <w:r>
              <w:rPr>
                <w:rFonts w:ascii="Times New Roman" w:hAnsi="Times New Roman"/>
                <w:noProof/>
                <w:color w:val="000000"/>
                <w:sz w:val="18"/>
                <w:szCs w:val="18"/>
              </w:rPr>
              <w:t>Non spécifié</w:t>
            </w:r>
          </w:p>
        </w:tc>
      </w:tr>
      <w:tr>
        <w:trPr>
          <w:trHeight w:val="20"/>
        </w:trPr>
        <w:tc>
          <w:tcPr>
            <w:tcW w:w="455" w:type="pct"/>
            <w:shd w:val="clear" w:color="auto" w:fill="auto"/>
            <w:noWrap/>
            <w:hideMark/>
          </w:tcPr>
          <w:p>
            <w:pPr>
              <w:spacing w:after="0" w:line="240" w:lineRule="auto"/>
              <w:rPr>
                <w:rFonts w:ascii="Times New Roman" w:eastAsia="Times New Roman" w:hAnsi="Times New Roman"/>
                <w:noProof/>
                <w:color w:val="000000"/>
                <w:sz w:val="18"/>
                <w:szCs w:val="18"/>
              </w:rPr>
            </w:pPr>
            <w:r>
              <w:rPr>
                <w:rFonts w:ascii="Times New Roman" w:hAnsi="Times New Roman"/>
                <w:noProof/>
                <w:color w:val="000000"/>
                <w:sz w:val="18"/>
                <w:szCs w:val="18"/>
              </w:rPr>
              <w:t>Espagne</w:t>
            </w:r>
          </w:p>
        </w:tc>
        <w:tc>
          <w:tcPr>
            <w:tcW w:w="493" w:type="pct"/>
            <w:shd w:val="clear" w:color="auto" w:fill="auto"/>
            <w:noWrap/>
            <w:hideMark/>
          </w:tcPr>
          <w:p>
            <w:pPr>
              <w:spacing w:after="0" w:line="240" w:lineRule="auto"/>
              <w:rPr>
                <w:rFonts w:ascii="Times New Roman" w:eastAsia="Times New Roman" w:hAnsi="Times New Roman"/>
                <w:noProof/>
                <w:color w:val="000000"/>
                <w:sz w:val="18"/>
                <w:szCs w:val="18"/>
              </w:rPr>
            </w:pPr>
            <w:r>
              <w:rPr>
                <w:rFonts w:ascii="Times New Roman" w:hAnsi="Times New Roman"/>
                <w:noProof/>
                <w:color w:val="000000"/>
                <w:sz w:val="18"/>
                <w:szCs w:val="18"/>
              </w:rPr>
              <w:t>AC</w:t>
            </w:r>
          </w:p>
        </w:tc>
        <w:tc>
          <w:tcPr>
            <w:tcW w:w="405" w:type="pct"/>
            <w:shd w:val="clear" w:color="auto" w:fill="auto"/>
            <w:noWrap/>
            <w:hideMark/>
          </w:tcPr>
          <w:p>
            <w:pPr>
              <w:spacing w:after="0" w:line="240" w:lineRule="auto"/>
              <w:jc w:val="center"/>
              <w:rPr>
                <w:rFonts w:ascii="Helvetica" w:eastAsia="Times New Roman" w:hAnsi="Helvetica" w:cs="Calibri"/>
                <w:noProof/>
                <w:color w:val="000000"/>
                <w:sz w:val="16"/>
                <w:szCs w:val="16"/>
              </w:rPr>
            </w:pPr>
          </w:p>
        </w:tc>
        <w:tc>
          <w:tcPr>
            <w:tcW w:w="405" w:type="pct"/>
            <w:shd w:val="clear" w:color="auto" w:fill="auto"/>
            <w:noWrap/>
            <w:hideMark/>
          </w:tcPr>
          <w:p>
            <w:pPr>
              <w:spacing w:after="0" w:line="240" w:lineRule="auto"/>
              <w:jc w:val="center"/>
              <w:rPr>
                <w:rFonts w:ascii="Helvetica" w:eastAsia="Times New Roman" w:hAnsi="Helvetica" w:cs="Calibri"/>
                <w:noProof/>
                <w:color w:val="000000"/>
                <w:sz w:val="16"/>
                <w:szCs w:val="16"/>
              </w:rPr>
            </w:pPr>
          </w:p>
        </w:tc>
        <w:tc>
          <w:tcPr>
            <w:tcW w:w="405" w:type="pct"/>
            <w:shd w:val="clear" w:color="auto" w:fill="auto"/>
            <w:noWrap/>
            <w:hideMark/>
          </w:tcPr>
          <w:p>
            <w:pPr>
              <w:spacing w:after="0" w:line="240" w:lineRule="auto"/>
              <w:jc w:val="center"/>
              <w:rPr>
                <w:rFonts w:ascii="Helvetica" w:eastAsia="Times New Roman" w:hAnsi="Helvetica" w:cs="Calibri"/>
                <w:noProof/>
                <w:color w:val="000000"/>
                <w:sz w:val="16"/>
                <w:szCs w:val="16"/>
              </w:rPr>
            </w:pPr>
          </w:p>
        </w:tc>
        <w:tc>
          <w:tcPr>
            <w:tcW w:w="405" w:type="pct"/>
            <w:shd w:val="clear" w:color="auto" w:fill="auto"/>
            <w:noWrap/>
            <w:hideMark/>
          </w:tcPr>
          <w:p>
            <w:pPr>
              <w:spacing w:after="0" w:line="240" w:lineRule="auto"/>
              <w:jc w:val="center"/>
              <w:rPr>
                <w:rFonts w:ascii="Helvetica" w:eastAsia="Times New Roman" w:hAnsi="Helvetica" w:cs="Calibri"/>
                <w:noProof/>
                <w:color w:val="000000"/>
                <w:sz w:val="16"/>
                <w:szCs w:val="16"/>
              </w:rPr>
            </w:pPr>
          </w:p>
        </w:tc>
        <w:tc>
          <w:tcPr>
            <w:tcW w:w="405" w:type="pct"/>
            <w:shd w:val="clear" w:color="auto" w:fill="auto"/>
            <w:noWrap/>
            <w:hideMark/>
          </w:tcPr>
          <w:p>
            <w:pPr>
              <w:spacing w:after="0" w:line="240" w:lineRule="auto"/>
              <w:jc w:val="center"/>
              <w:rPr>
                <w:rFonts w:ascii="Helvetica" w:eastAsia="Times New Roman" w:hAnsi="Helvetica" w:cs="Calibri"/>
                <w:noProof/>
                <w:color w:val="000000"/>
                <w:sz w:val="16"/>
                <w:szCs w:val="16"/>
              </w:rPr>
            </w:pPr>
          </w:p>
        </w:tc>
        <w:tc>
          <w:tcPr>
            <w:tcW w:w="405" w:type="pct"/>
            <w:shd w:val="clear" w:color="auto" w:fill="auto"/>
            <w:noWrap/>
            <w:hideMark/>
          </w:tcPr>
          <w:p>
            <w:pPr>
              <w:spacing w:after="0" w:line="240" w:lineRule="auto"/>
              <w:jc w:val="center"/>
              <w:rPr>
                <w:rFonts w:ascii="Helvetica" w:eastAsia="Times New Roman" w:hAnsi="Helvetica" w:cs="Calibri"/>
                <w:noProof/>
                <w:color w:val="000000"/>
                <w:sz w:val="16"/>
                <w:szCs w:val="16"/>
              </w:rPr>
            </w:pPr>
          </w:p>
        </w:tc>
        <w:tc>
          <w:tcPr>
            <w:tcW w:w="1622" w:type="pct"/>
            <w:shd w:val="clear" w:color="auto" w:fill="auto"/>
            <w:noWrap/>
            <w:hideMark/>
          </w:tcPr>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noProof/>
                <w:color w:val="212121"/>
                <w:sz w:val="18"/>
                <w:szCs w:val="18"/>
                <w:lang w:val="fr-BE"/>
              </w:rPr>
            </w:pPr>
            <w:r>
              <w:rPr>
                <w:rFonts w:ascii="Times New Roman" w:hAnsi="Times New Roman"/>
                <w:noProof/>
                <w:color w:val="212121"/>
                <w:sz w:val="18"/>
                <w:szCs w:val="18"/>
                <w:lang w:val="fr-BE"/>
              </w:rPr>
              <w:t>[Lorsque l’autorisation n’existe pas ou ne coïncide pas avec SILK ou lorsqu’elle a expiré]</w:t>
            </w:r>
          </w:p>
        </w:tc>
      </w:tr>
      <w:tr>
        <w:trPr>
          <w:trHeight w:val="20"/>
        </w:trPr>
        <w:tc>
          <w:tcPr>
            <w:tcW w:w="455" w:type="pct"/>
            <w:shd w:val="clear" w:color="auto" w:fill="auto"/>
            <w:noWrap/>
            <w:hideMark/>
          </w:tcPr>
          <w:p>
            <w:pPr>
              <w:spacing w:after="0" w:line="240" w:lineRule="auto"/>
              <w:rPr>
                <w:rFonts w:ascii="Times New Roman" w:eastAsia="Times New Roman" w:hAnsi="Times New Roman"/>
                <w:noProof/>
                <w:color w:val="000000"/>
                <w:sz w:val="18"/>
                <w:szCs w:val="18"/>
              </w:rPr>
            </w:pPr>
            <w:r>
              <w:rPr>
                <w:rFonts w:ascii="Times New Roman" w:hAnsi="Times New Roman"/>
                <w:noProof/>
                <w:color w:val="000000"/>
                <w:sz w:val="18"/>
                <w:szCs w:val="18"/>
              </w:rPr>
              <w:t>Suède</w:t>
            </w:r>
          </w:p>
        </w:tc>
        <w:tc>
          <w:tcPr>
            <w:tcW w:w="493" w:type="pct"/>
            <w:shd w:val="clear" w:color="auto" w:fill="auto"/>
            <w:noWrap/>
            <w:hideMark/>
          </w:tcPr>
          <w:p>
            <w:pPr>
              <w:spacing w:after="0" w:line="240" w:lineRule="auto"/>
              <w:rPr>
                <w:rFonts w:ascii="Times New Roman" w:eastAsia="Times New Roman" w:hAnsi="Times New Roman"/>
                <w:noProof/>
                <w:color w:val="000000"/>
                <w:sz w:val="18"/>
                <w:szCs w:val="18"/>
              </w:rPr>
            </w:pPr>
            <w:r>
              <w:rPr>
                <w:rFonts w:ascii="Times New Roman" w:hAnsi="Times New Roman"/>
                <w:noProof/>
                <w:color w:val="000000"/>
                <w:sz w:val="18"/>
                <w:szCs w:val="18"/>
              </w:rPr>
              <w:t>AC et autre (LIU)</w:t>
            </w:r>
          </w:p>
        </w:tc>
        <w:tc>
          <w:tcPr>
            <w:tcW w:w="405" w:type="pct"/>
            <w:shd w:val="clear" w:color="auto" w:fill="auto"/>
            <w:noWrap/>
            <w:hideMark/>
          </w:tcPr>
          <w:p>
            <w:pPr>
              <w:spacing w:after="0" w:line="240" w:lineRule="auto"/>
              <w:jc w:val="center"/>
              <w:rPr>
                <w:rFonts w:ascii="Helvetica" w:eastAsia="Times New Roman" w:hAnsi="Helvetica" w:cs="Calibri"/>
                <w:noProof/>
                <w:color w:val="000000"/>
                <w:sz w:val="16"/>
                <w:szCs w:val="16"/>
              </w:rPr>
            </w:pPr>
            <w:r>
              <w:rPr>
                <w:rFonts w:ascii="Wingdings" w:hAnsi="Wingdings"/>
                <w:noProof/>
                <w:color w:val="000000"/>
                <w:sz w:val="16"/>
                <w:szCs w:val="16"/>
              </w:rPr>
              <w:t></w:t>
            </w:r>
          </w:p>
        </w:tc>
        <w:tc>
          <w:tcPr>
            <w:tcW w:w="405" w:type="pct"/>
            <w:shd w:val="clear" w:color="auto" w:fill="auto"/>
            <w:noWrap/>
            <w:hideMark/>
          </w:tcPr>
          <w:p>
            <w:pPr>
              <w:spacing w:after="0" w:line="240" w:lineRule="auto"/>
              <w:jc w:val="center"/>
              <w:rPr>
                <w:rFonts w:ascii="Helvetica" w:eastAsia="Times New Roman" w:hAnsi="Helvetica" w:cs="Calibri"/>
                <w:noProof/>
                <w:color w:val="000000"/>
                <w:sz w:val="16"/>
                <w:szCs w:val="16"/>
              </w:rPr>
            </w:pPr>
            <w:r>
              <w:rPr>
                <w:rFonts w:ascii="Wingdings" w:hAnsi="Wingdings"/>
                <w:noProof/>
                <w:color w:val="000000"/>
                <w:sz w:val="16"/>
                <w:szCs w:val="16"/>
              </w:rPr>
              <w:t></w:t>
            </w:r>
          </w:p>
        </w:tc>
        <w:tc>
          <w:tcPr>
            <w:tcW w:w="405" w:type="pct"/>
            <w:shd w:val="clear" w:color="auto" w:fill="auto"/>
            <w:noWrap/>
            <w:hideMark/>
          </w:tcPr>
          <w:p>
            <w:pPr>
              <w:spacing w:after="0" w:line="240" w:lineRule="auto"/>
              <w:jc w:val="center"/>
              <w:rPr>
                <w:rFonts w:ascii="Helvetica" w:eastAsia="Times New Roman" w:hAnsi="Helvetica" w:cs="Calibri"/>
                <w:noProof/>
                <w:color w:val="000000"/>
                <w:sz w:val="16"/>
                <w:szCs w:val="16"/>
              </w:rPr>
            </w:pPr>
          </w:p>
        </w:tc>
        <w:tc>
          <w:tcPr>
            <w:tcW w:w="405" w:type="pct"/>
            <w:shd w:val="clear" w:color="auto" w:fill="auto"/>
            <w:noWrap/>
            <w:hideMark/>
          </w:tcPr>
          <w:p>
            <w:pPr>
              <w:spacing w:after="0" w:line="240" w:lineRule="auto"/>
              <w:jc w:val="center"/>
              <w:rPr>
                <w:rFonts w:ascii="Helvetica" w:eastAsia="Times New Roman" w:hAnsi="Helvetica" w:cs="Calibri"/>
                <w:noProof/>
                <w:color w:val="000000"/>
                <w:sz w:val="16"/>
                <w:szCs w:val="16"/>
              </w:rPr>
            </w:pPr>
            <w:r>
              <w:rPr>
                <w:rFonts w:ascii="Wingdings" w:hAnsi="Wingdings"/>
                <w:noProof/>
                <w:color w:val="000000"/>
                <w:sz w:val="16"/>
                <w:szCs w:val="16"/>
              </w:rPr>
              <w:t></w:t>
            </w:r>
          </w:p>
        </w:tc>
        <w:tc>
          <w:tcPr>
            <w:tcW w:w="405" w:type="pct"/>
            <w:shd w:val="clear" w:color="auto" w:fill="auto"/>
            <w:noWrap/>
            <w:hideMark/>
          </w:tcPr>
          <w:p>
            <w:pPr>
              <w:spacing w:after="0" w:line="240" w:lineRule="auto"/>
              <w:jc w:val="center"/>
              <w:rPr>
                <w:rFonts w:ascii="Helvetica" w:eastAsia="Times New Roman" w:hAnsi="Helvetica" w:cs="Calibri"/>
                <w:noProof/>
                <w:color w:val="000000"/>
                <w:sz w:val="16"/>
                <w:szCs w:val="16"/>
              </w:rPr>
            </w:pPr>
            <w:r>
              <w:rPr>
                <w:rFonts w:ascii="Wingdings" w:hAnsi="Wingdings"/>
                <w:noProof/>
                <w:color w:val="000000"/>
                <w:sz w:val="16"/>
                <w:szCs w:val="16"/>
              </w:rPr>
              <w:t></w:t>
            </w:r>
          </w:p>
        </w:tc>
        <w:tc>
          <w:tcPr>
            <w:tcW w:w="405" w:type="pct"/>
            <w:shd w:val="clear" w:color="auto" w:fill="auto"/>
            <w:noWrap/>
            <w:hideMark/>
          </w:tcPr>
          <w:p>
            <w:pPr>
              <w:spacing w:after="0" w:line="240" w:lineRule="auto"/>
              <w:jc w:val="center"/>
              <w:rPr>
                <w:rFonts w:ascii="Helvetica" w:eastAsia="Times New Roman" w:hAnsi="Helvetica" w:cs="Calibri"/>
                <w:noProof/>
                <w:color w:val="000000"/>
                <w:sz w:val="16"/>
                <w:szCs w:val="16"/>
              </w:rPr>
            </w:pPr>
          </w:p>
        </w:tc>
        <w:tc>
          <w:tcPr>
            <w:tcW w:w="1622" w:type="pct"/>
            <w:shd w:val="clear" w:color="auto" w:fill="auto"/>
            <w:noWrap/>
            <w:hideMark/>
          </w:tcPr>
          <w:p>
            <w:pPr>
              <w:spacing w:after="0" w:line="240" w:lineRule="auto"/>
              <w:rPr>
                <w:rFonts w:ascii="Times New Roman" w:eastAsia="Times New Roman" w:hAnsi="Times New Roman"/>
                <w:noProof/>
                <w:color w:val="000000"/>
                <w:sz w:val="18"/>
                <w:szCs w:val="18"/>
                <w:lang w:val="fr-BE"/>
              </w:rPr>
            </w:pPr>
            <w:r>
              <w:rPr>
                <w:rFonts w:ascii="Times New Roman" w:hAnsi="Times New Roman"/>
                <w:noProof/>
                <w:color w:val="000000"/>
                <w:sz w:val="18"/>
                <w:szCs w:val="18"/>
                <w:lang w:val="fr-BE"/>
              </w:rPr>
              <w:t>L’autorisation ne contient pas de signature, de cachets ou d’autres renseignements obligatoires; la signature est manquante dans SILK ou n’est plus valide; l’autorisation n’est plus valide.</w:t>
            </w:r>
          </w:p>
        </w:tc>
      </w:tr>
      <w:tr>
        <w:trPr>
          <w:trHeight w:val="20"/>
        </w:trPr>
        <w:tc>
          <w:tcPr>
            <w:tcW w:w="455" w:type="pct"/>
            <w:shd w:val="clear" w:color="auto" w:fill="auto"/>
            <w:noWrap/>
            <w:hideMark/>
          </w:tcPr>
          <w:p>
            <w:pPr>
              <w:spacing w:after="0" w:line="240" w:lineRule="auto"/>
              <w:rPr>
                <w:rFonts w:ascii="Times New Roman" w:eastAsia="Times New Roman" w:hAnsi="Times New Roman"/>
                <w:noProof/>
                <w:color w:val="000000"/>
                <w:sz w:val="18"/>
                <w:szCs w:val="18"/>
              </w:rPr>
            </w:pPr>
            <w:r>
              <w:rPr>
                <w:rFonts w:ascii="Times New Roman" w:hAnsi="Times New Roman"/>
                <w:noProof/>
                <w:color w:val="000000"/>
                <w:sz w:val="18"/>
                <w:szCs w:val="18"/>
              </w:rPr>
              <w:t>Royaume-Uni</w:t>
            </w:r>
          </w:p>
        </w:tc>
        <w:tc>
          <w:tcPr>
            <w:tcW w:w="493" w:type="pct"/>
            <w:shd w:val="clear" w:color="auto" w:fill="auto"/>
            <w:noWrap/>
            <w:hideMark/>
          </w:tcPr>
          <w:p>
            <w:pPr>
              <w:spacing w:after="0" w:line="240" w:lineRule="auto"/>
              <w:rPr>
                <w:rFonts w:ascii="Times New Roman" w:eastAsia="Times New Roman" w:hAnsi="Times New Roman"/>
                <w:noProof/>
                <w:color w:val="000000"/>
                <w:sz w:val="18"/>
                <w:szCs w:val="18"/>
              </w:rPr>
            </w:pPr>
            <w:r>
              <w:rPr>
                <w:rFonts w:ascii="Times New Roman" w:hAnsi="Times New Roman"/>
                <w:noProof/>
                <w:color w:val="000000"/>
                <w:sz w:val="18"/>
                <w:szCs w:val="18"/>
              </w:rPr>
              <w:t>AC</w:t>
            </w:r>
          </w:p>
        </w:tc>
        <w:tc>
          <w:tcPr>
            <w:tcW w:w="405" w:type="pct"/>
            <w:shd w:val="clear" w:color="auto" w:fill="auto"/>
            <w:noWrap/>
            <w:hideMark/>
          </w:tcPr>
          <w:p>
            <w:pPr>
              <w:spacing w:after="0" w:line="240" w:lineRule="auto"/>
              <w:jc w:val="center"/>
              <w:rPr>
                <w:rFonts w:ascii="Helvetica" w:eastAsia="Times New Roman" w:hAnsi="Helvetica" w:cs="Calibri"/>
                <w:noProof/>
                <w:color w:val="000000"/>
                <w:sz w:val="16"/>
                <w:szCs w:val="16"/>
              </w:rPr>
            </w:pPr>
          </w:p>
        </w:tc>
        <w:tc>
          <w:tcPr>
            <w:tcW w:w="405" w:type="pct"/>
            <w:shd w:val="clear" w:color="auto" w:fill="auto"/>
            <w:noWrap/>
            <w:hideMark/>
          </w:tcPr>
          <w:p>
            <w:pPr>
              <w:spacing w:after="0" w:line="240" w:lineRule="auto"/>
              <w:jc w:val="center"/>
              <w:rPr>
                <w:rFonts w:ascii="Helvetica" w:eastAsia="Times New Roman" w:hAnsi="Helvetica" w:cs="Calibri"/>
                <w:noProof/>
                <w:color w:val="000000"/>
                <w:sz w:val="16"/>
                <w:szCs w:val="16"/>
              </w:rPr>
            </w:pPr>
            <w:r>
              <w:rPr>
                <w:rFonts w:ascii="Wingdings" w:hAnsi="Wingdings"/>
                <w:noProof/>
                <w:color w:val="000000"/>
                <w:sz w:val="16"/>
                <w:szCs w:val="16"/>
              </w:rPr>
              <w:t></w:t>
            </w:r>
          </w:p>
        </w:tc>
        <w:tc>
          <w:tcPr>
            <w:tcW w:w="405" w:type="pct"/>
            <w:shd w:val="clear" w:color="auto" w:fill="auto"/>
            <w:noWrap/>
            <w:hideMark/>
          </w:tcPr>
          <w:p>
            <w:pPr>
              <w:spacing w:after="0" w:line="240" w:lineRule="auto"/>
              <w:jc w:val="center"/>
              <w:rPr>
                <w:rFonts w:ascii="Helvetica" w:eastAsia="Times New Roman" w:hAnsi="Helvetica" w:cs="Calibri"/>
                <w:noProof/>
                <w:color w:val="000000"/>
                <w:sz w:val="16"/>
                <w:szCs w:val="16"/>
              </w:rPr>
            </w:pPr>
            <w:r>
              <w:rPr>
                <w:rFonts w:ascii="Wingdings" w:hAnsi="Wingdings"/>
                <w:noProof/>
                <w:color w:val="000000"/>
                <w:sz w:val="16"/>
                <w:szCs w:val="16"/>
              </w:rPr>
              <w:t></w:t>
            </w:r>
          </w:p>
        </w:tc>
        <w:tc>
          <w:tcPr>
            <w:tcW w:w="405" w:type="pct"/>
            <w:shd w:val="clear" w:color="auto" w:fill="auto"/>
            <w:noWrap/>
            <w:hideMark/>
          </w:tcPr>
          <w:p>
            <w:pPr>
              <w:spacing w:after="0" w:line="240" w:lineRule="auto"/>
              <w:jc w:val="center"/>
              <w:rPr>
                <w:rFonts w:ascii="Helvetica" w:eastAsia="Times New Roman" w:hAnsi="Helvetica" w:cs="Calibri"/>
                <w:noProof/>
                <w:color w:val="000000"/>
                <w:sz w:val="16"/>
                <w:szCs w:val="16"/>
              </w:rPr>
            </w:pPr>
            <w:r>
              <w:rPr>
                <w:rFonts w:ascii="Wingdings" w:hAnsi="Wingdings"/>
                <w:noProof/>
                <w:color w:val="000000"/>
                <w:sz w:val="16"/>
                <w:szCs w:val="16"/>
              </w:rPr>
              <w:t></w:t>
            </w:r>
          </w:p>
        </w:tc>
        <w:tc>
          <w:tcPr>
            <w:tcW w:w="405" w:type="pct"/>
            <w:shd w:val="clear" w:color="auto" w:fill="auto"/>
            <w:noWrap/>
            <w:hideMark/>
          </w:tcPr>
          <w:p>
            <w:pPr>
              <w:spacing w:after="0" w:line="240" w:lineRule="auto"/>
              <w:jc w:val="center"/>
              <w:rPr>
                <w:rFonts w:ascii="Helvetica" w:eastAsia="Times New Roman" w:hAnsi="Helvetica" w:cs="Calibri"/>
                <w:noProof/>
                <w:color w:val="000000"/>
                <w:sz w:val="16"/>
                <w:szCs w:val="16"/>
              </w:rPr>
            </w:pPr>
          </w:p>
        </w:tc>
        <w:tc>
          <w:tcPr>
            <w:tcW w:w="405" w:type="pct"/>
            <w:shd w:val="clear" w:color="auto" w:fill="auto"/>
            <w:noWrap/>
            <w:hideMark/>
          </w:tcPr>
          <w:p>
            <w:pPr>
              <w:spacing w:after="0" w:line="240" w:lineRule="auto"/>
              <w:jc w:val="center"/>
              <w:rPr>
                <w:rFonts w:ascii="Helvetica" w:eastAsia="Times New Roman" w:hAnsi="Helvetica" w:cs="Calibri"/>
                <w:noProof/>
                <w:color w:val="000000"/>
                <w:sz w:val="16"/>
                <w:szCs w:val="16"/>
              </w:rPr>
            </w:pPr>
            <w:r>
              <w:rPr>
                <w:rFonts w:ascii="Wingdings" w:hAnsi="Wingdings"/>
                <w:noProof/>
                <w:color w:val="000000"/>
                <w:sz w:val="16"/>
                <w:szCs w:val="16"/>
              </w:rPr>
              <w:t></w:t>
            </w:r>
          </w:p>
        </w:tc>
        <w:tc>
          <w:tcPr>
            <w:tcW w:w="1622" w:type="pct"/>
            <w:shd w:val="clear" w:color="auto" w:fill="auto"/>
            <w:noWrap/>
            <w:hideMark/>
          </w:tcPr>
          <w:p>
            <w:pPr>
              <w:spacing w:after="0" w:line="240" w:lineRule="auto"/>
              <w:rPr>
                <w:rFonts w:ascii="Times New Roman" w:eastAsia="Times New Roman" w:hAnsi="Times New Roman"/>
                <w:noProof/>
                <w:color w:val="000000"/>
                <w:sz w:val="18"/>
                <w:szCs w:val="18"/>
                <w:lang w:val="fr-BE"/>
              </w:rPr>
            </w:pPr>
            <w:r>
              <w:rPr>
                <w:rFonts w:ascii="Times New Roman" w:hAnsi="Times New Roman"/>
                <w:noProof/>
                <w:color w:val="000000"/>
                <w:sz w:val="18"/>
                <w:szCs w:val="18"/>
                <w:lang w:val="fr-BE"/>
              </w:rPr>
              <w:t>Divergence entre les codes tarifaires du Royaume-Uni et de l’Indonésie</w:t>
            </w:r>
          </w:p>
        </w:tc>
      </w:tr>
    </w:tbl>
    <w:p>
      <w:pPr>
        <w:spacing w:after="0" w:line="240" w:lineRule="auto"/>
        <w:rPr>
          <w:rFonts w:ascii="Times New Roman" w:hAnsi="Times New Roman"/>
          <w:noProof/>
          <w:sz w:val="18"/>
          <w:szCs w:val="18"/>
          <w:lang w:val="fr-BE"/>
        </w:rPr>
      </w:pPr>
      <w:r>
        <w:rPr>
          <w:rFonts w:ascii="Times New Roman" w:hAnsi="Times New Roman"/>
          <w:noProof/>
          <w:sz w:val="18"/>
          <w:szCs w:val="18"/>
          <w:lang w:val="fr-BE"/>
        </w:rPr>
        <w:t>* AC = Autorité compétente; D = Douanes.</w:t>
      </w:r>
    </w:p>
    <w:p>
      <w:pPr>
        <w:keepNext/>
        <w:spacing w:after="0" w:line="240" w:lineRule="auto"/>
        <w:rPr>
          <w:rFonts w:ascii="Times New Roman" w:hAnsi="Times New Roman"/>
          <w:noProof/>
          <w:sz w:val="18"/>
          <w:szCs w:val="18"/>
          <w:lang w:val="fr-BE"/>
        </w:rPr>
      </w:pPr>
      <w:r>
        <w:rPr>
          <w:rFonts w:ascii="Times New Roman" w:hAnsi="Times New Roman"/>
          <w:noProof/>
          <w:sz w:val="18"/>
          <w:szCs w:val="18"/>
          <w:lang w:val="fr-BE"/>
        </w:rPr>
        <w:t>** Le texte entre crochets «[ ]» a été traduit ou résumé à partir des commentaires fournis par les États membres.</w:t>
      </w:r>
    </w:p>
    <w:p>
      <w:pPr>
        <w:spacing w:line="270" w:lineRule="atLeast"/>
        <w:rPr>
          <w:rFonts w:ascii="Times New Roman" w:hAnsi="Times New Roman"/>
          <w:b/>
          <w:bCs/>
          <w:noProof/>
          <w:sz w:val="20"/>
          <w:szCs w:val="20"/>
          <w:lang w:val="fr-BE" w:eastAsia="en-GB"/>
        </w:rPr>
      </w:pPr>
    </w:p>
    <w:p>
      <w:pPr>
        <w:spacing w:line="270" w:lineRule="atLeast"/>
        <w:rPr>
          <w:rFonts w:ascii="Times New Roman" w:hAnsi="Times New Roman"/>
          <w:b/>
          <w:noProof/>
          <w:sz w:val="20"/>
          <w:szCs w:val="20"/>
          <w:lang w:val="fr-BE"/>
        </w:rPr>
      </w:pPr>
      <w:r>
        <w:rPr>
          <w:rFonts w:ascii="Times New Roman" w:hAnsi="Times New Roman"/>
          <w:b/>
          <w:bCs/>
          <w:noProof/>
          <w:sz w:val="20"/>
          <w:szCs w:val="20"/>
          <w:lang w:val="fr-BE"/>
        </w:rPr>
        <w:t>Tableau 2:</w:t>
      </w:r>
      <w:r>
        <w:rPr>
          <w:rFonts w:ascii="Times New Roman" w:hAnsi="Times New Roman"/>
          <w:b/>
          <w:noProof/>
          <w:sz w:val="20"/>
          <w:szCs w:val="20"/>
          <w:lang w:val="fr-BE"/>
        </w:rPr>
        <w:t xml:space="preserve"> Critères utilisés pour déterminer si une vérification supplémentaire d’une expédition couverte par une autorisation FLEGT était nécessaire, lorsque les États membres l’ont signalée. </w:t>
      </w:r>
    </w:p>
    <w:tbl>
      <w:tblPr>
        <w:tblW w:w="4931" w:type="pct"/>
        <w:tblBorders>
          <w:top w:val="single" w:sz="4" w:space="0" w:color="auto"/>
          <w:bottom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268"/>
        <w:gridCol w:w="2159"/>
        <w:gridCol w:w="1162"/>
        <w:gridCol w:w="1162"/>
        <w:gridCol w:w="1223"/>
        <w:gridCol w:w="1104"/>
        <w:gridCol w:w="1162"/>
        <w:gridCol w:w="1162"/>
        <w:gridCol w:w="1162"/>
        <w:gridCol w:w="1151"/>
        <w:gridCol w:w="1151"/>
      </w:tblGrid>
      <w:tr>
        <w:trPr>
          <w:trHeight w:val="20"/>
          <w:tblHeader/>
        </w:trPr>
        <w:tc>
          <w:tcPr>
            <w:tcW w:w="457" w:type="pct"/>
            <w:shd w:val="clear" w:color="000000" w:fill="6C8911"/>
            <w:noWrap/>
            <w:hideMark/>
          </w:tcPr>
          <w:p>
            <w:pPr>
              <w:spacing w:after="0" w:line="240" w:lineRule="auto"/>
              <w:rPr>
                <w:rFonts w:ascii="Times New Roman" w:eastAsia="Times New Roman" w:hAnsi="Times New Roman"/>
                <w:noProof/>
                <w:color w:val="FFFFFF" w:themeColor="background1"/>
                <w:sz w:val="18"/>
                <w:szCs w:val="18"/>
              </w:rPr>
            </w:pPr>
            <w:r>
              <w:rPr>
                <w:rFonts w:ascii="Times New Roman" w:hAnsi="Times New Roman"/>
                <w:noProof/>
                <w:color w:val="FFFFFF" w:themeColor="background1"/>
                <w:sz w:val="18"/>
                <w:szCs w:val="18"/>
              </w:rPr>
              <w:t>Pays</w:t>
            </w:r>
          </w:p>
        </w:tc>
        <w:tc>
          <w:tcPr>
            <w:tcW w:w="778" w:type="pct"/>
            <w:shd w:val="clear" w:color="000000" w:fill="6C8911"/>
            <w:noWrap/>
            <w:hideMark/>
          </w:tcPr>
          <w:p>
            <w:pPr>
              <w:spacing w:after="0" w:line="240" w:lineRule="auto"/>
              <w:rPr>
                <w:rFonts w:ascii="Times New Roman" w:eastAsia="Times New Roman" w:hAnsi="Times New Roman"/>
                <w:noProof/>
                <w:color w:val="FFFFFF" w:themeColor="background1"/>
                <w:sz w:val="18"/>
                <w:szCs w:val="18"/>
              </w:rPr>
            </w:pPr>
            <w:r>
              <w:rPr>
                <w:rFonts w:ascii="Times New Roman" w:hAnsi="Times New Roman"/>
                <w:noProof/>
                <w:color w:val="FFFFFF"/>
                <w:sz w:val="18"/>
                <w:szCs w:val="18"/>
              </w:rPr>
              <w:t>Agence effectuant les contrôles*</w:t>
            </w:r>
          </w:p>
        </w:tc>
        <w:tc>
          <w:tcPr>
            <w:tcW w:w="419" w:type="pct"/>
            <w:shd w:val="clear" w:color="000000" w:fill="6C8911"/>
          </w:tcPr>
          <w:p>
            <w:pPr>
              <w:spacing w:after="0" w:line="240" w:lineRule="auto"/>
              <w:jc w:val="center"/>
              <w:rPr>
                <w:rFonts w:ascii="Times New Roman" w:hAnsi="Times New Roman"/>
                <w:noProof/>
                <w:color w:val="FFFFFF" w:themeColor="background1"/>
                <w:sz w:val="18"/>
                <w:szCs w:val="18"/>
              </w:rPr>
            </w:pPr>
            <w:r>
              <w:rPr>
                <w:rFonts w:ascii="Times New Roman" w:hAnsi="Times New Roman"/>
                <w:noProof/>
                <w:color w:val="FFFFFF" w:themeColor="background1"/>
                <w:sz w:val="18"/>
                <w:szCs w:val="18"/>
              </w:rPr>
              <w:t>Espèces</w:t>
            </w:r>
          </w:p>
        </w:tc>
        <w:tc>
          <w:tcPr>
            <w:tcW w:w="419" w:type="pct"/>
            <w:shd w:val="clear" w:color="000000" w:fill="6C8911"/>
          </w:tcPr>
          <w:p>
            <w:pPr>
              <w:spacing w:after="0" w:line="240" w:lineRule="auto"/>
              <w:jc w:val="center"/>
              <w:rPr>
                <w:rFonts w:ascii="Times New Roman" w:hAnsi="Times New Roman"/>
                <w:noProof/>
                <w:color w:val="FFFFFF" w:themeColor="background1"/>
                <w:sz w:val="18"/>
                <w:szCs w:val="18"/>
              </w:rPr>
            </w:pPr>
            <w:r>
              <w:rPr>
                <w:rFonts w:ascii="Times New Roman" w:hAnsi="Times New Roman"/>
                <w:noProof/>
                <w:color w:val="FFFFFF" w:themeColor="background1"/>
                <w:sz w:val="18"/>
                <w:szCs w:val="18"/>
              </w:rPr>
              <w:t>Exploitant</w:t>
            </w:r>
          </w:p>
        </w:tc>
        <w:tc>
          <w:tcPr>
            <w:tcW w:w="441" w:type="pct"/>
            <w:shd w:val="clear" w:color="000000" w:fill="6C8911"/>
          </w:tcPr>
          <w:p>
            <w:pPr>
              <w:spacing w:after="0" w:line="240" w:lineRule="auto"/>
              <w:jc w:val="center"/>
              <w:rPr>
                <w:rFonts w:ascii="Times New Roman" w:hAnsi="Times New Roman"/>
                <w:noProof/>
                <w:color w:val="FFFFFF" w:themeColor="background1"/>
                <w:sz w:val="18"/>
                <w:szCs w:val="18"/>
              </w:rPr>
            </w:pPr>
            <w:r>
              <w:rPr>
                <w:rFonts w:ascii="Times New Roman" w:hAnsi="Times New Roman"/>
                <w:noProof/>
                <w:color w:val="FFFFFF" w:themeColor="background1"/>
                <w:sz w:val="18"/>
                <w:szCs w:val="18"/>
              </w:rPr>
              <w:t>Volume/poids de l’expédition</w:t>
            </w:r>
          </w:p>
        </w:tc>
        <w:tc>
          <w:tcPr>
            <w:tcW w:w="398" w:type="pct"/>
            <w:shd w:val="clear" w:color="000000" w:fill="6C8911"/>
          </w:tcPr>
          <w:p>
            <w:pPr>
              <w:spacing w:after="0" w:line="240" w:lineRule="auto"/>
              <w:jc w:val="center"/>
              <w:rPr>
                <w:rFonts w:ascii="Times New Roman" w:hAnsi="Times New Roman"/>
                <w:noProof/>
                <w:color w:val="FFFFFF" w:themeColor="background1"/>
                <w:sz w:val="18"/>
                <w:szCs w:val="18"/>
              </w:rPr>
            </w:pPr>
            <w:r>
              <w:rPr>
                <w:rFonts w:ascii="Times New Roman" w:hAnsi="Times New Roman"/>
                <w:noProof/>
                <w:color w:val="FFFFFF" w:themeColor="background1"/>
                <w:sz w:val="18"/>
                <w:szCs w:val="18"/>
              </w:rPr>
              <w:t>Codes SH</w:t>
            </w:r>
          </w:p>
        </w:tc>
        <w:tc>
          <w:tcPr>
            <w:tcW w:w="419" w:type="pct"/>
            <w:shd w:val="clear" w:color="000000" w:fill="6C8911"/>
          </w:tcPr>
          <w:p>
            <w:pPr>
              <w:spacing w:after="0" w:line="240" w:lineRule="auto"/>
              <w:jc w:val="center"/>
              <w:rPr>
                <w:rFonts w:ascii="Times New Roman" w:hAnsi="Times New Roman"/>
                <w:noProof/>
                <w:color w:val="FFFFFF" w:themeColor="background1"/>
                <w:sz w:val="18"/>
                <w:szCs w:val="18"/>
              </w:rPr>
            </w:pPr>
            <w:r>
              <w:rPr>
                <w:rFonts w:ascii="Times New Roman" w:hAnsi="Times New Roman"/>
                <w:noProof/>
                <w:color w:val="FFFFFF" w:themeColor="background1"/>
                <w:sz w:val="18"/>
                <w:szCs w:val="18"/>
              </w:rPr>
              <w:t>Pays d’origine</w:t>
            </w:r>
          </w:p>
        </w:tc>
        <w:tc>
          <w:tcPr>
            <w:tcW w:w="419" w:type="pct"/>
            <w:shd w:val="clear" w:color="000000" w:fill="6C8911"/>
            <w:noWrap/>
            <w:hideMark/>
          </w:tcPr>
          <w:p>
            <w:pPr>
              <w:spacing w:after="0" w:line="240" w:lineRule="auto"/>
              <w:jc w:val="center"/>
              <w:rPr>
                <w:rFonts w:ascii="Times New Roman" w:eastAsia="Times New Roman" w:hAnsi="Times New Roman"/>
                <w:noProof/>
                <w:color w:val="FFFFFF" w:themeColor="background1"/>
                <w:sz w:val="18"/>
                <w:szCs w:val="18"/>
                <w:lang w:val="fr-BE"/>
              </w:rPr>
            </w:pPr>
            <w:r>
              <w:rPr>
                <w:rFonts w:ascii="Times New Roman" w:hAnsi="Times New Roman"/>
                <w:noProof/>
                <w:color w:val="FFFFFF" w:themeColor="background1"/>
                <w:sz w:val="18"/>
                <w:szCs w:val="18"/>
                <w:lang w:val="fr-BE"/>
              </w:rPr>
              <w:t>Inadéquation des informations de document</w:t>
            </w:r>
          </w:p>
        </w:tc>
        <w:tc>
          <w:tcPr>
            <w:tcW w:w="419" w:type="pct"/>
            <w:shd w:val="clear" w:color="000000" w:fill="6C8911"/>
          </w:tcPr>
          <w:p>
            <w:pPr>
              <w:spacing w:after="0" w:line="240" w:lineRule="auto"/>
              <w:jc w:val="center"/>
              <w:rPr>
                <w:rFonts w:ascii="Times New Roman" w:eastAsia="Times New Roman" w:hAnsi="Times New Roman"/>
                <w:noProof/>
                <w:color w:val="FFFFFF" w:themeColor="background1"/>
                <w:sz w:val="18"/>
                <w:szCs w:val="18"/>
                <w:lang w:val="fr-BE"/>
              </w:rPr>
            </w:pPr>
            <w:r>
              <w:rPr>
                <w:rFonts w:ascii="Times New Roman" w:hAnsi="Times New Roman"/>
                <w:noProof/>
                <w:color w:val="FFFFFF" w:themeColor="background1"/>
                <w:sz w:val="18"/>
                <w:szCs w:val="18"/>
                <w:lang w:val="fr-BE"/>
              </w:rPr>
              <w:t>Autres problèmes liés à l’autorisation FLEGT</w:t>
            </w:r>
          </w:p>
        </w:tc>
        <w:tc>
          <w:tcPr>
            <w:tcW w:w="415" w:type="pct"/>
            <w:shd w:val="clear" w:color="000000" w:fill="6C8911"/>
          </w:tcPr>
          <w:p>
            <w:pPr>
              <w:spacing w:after="0" w:line="240" w:lineRule="auto"/>
              <w:jc w:val="center"/>
              <w:rPr>
                <w:rFonts w:ascii="Times New Roman" w:hAnsi="Times New Roman"/>
                <w:noProof/>
                <w:color w:val="FFFFFF" w:themeColor="background1"/>
                <w:sz w:val="18"/>
                <w:szCs w:val="18"/>
              </w:rPr>
            </w:pPr>
            <w:r>
              <w:rPr>
                <w:rFonts w:ascii="Times New Roman" w:hAnsi="Times New Roman"/>
                <w:noProof/>
                <w:color w:val="FFFFFF" w:themeColor="background1"/>
                <w:sz w:val="18"/>
                <w:szCs w:val="18"/>
              </w:rPr>
              <w:t>Vérifications aléatoires sur place</w:t>
            </w:r>
          </w:p>
        </w:tc>
        <w:tc>
          <w:tcPr>
            <w:tcW w:w="415" w:type="pct"/>
            <w:shd w:val="clear" w:color="000000" w:fill="6C8911"/>
            <w:noWrap/>
            <w:hideMark/>
          </w:tcPr>
          <w:p>
            <w:pPr>
              <w:spacing w:after="0" w:line="240" w:lineRule="auto"/>
              <w:jc w:val="center"/>
              <w:rPr>
                <w:rFonts w:ascii="Times New Roman" w:eastAsia="Times New Roman" w:hAnsi="Times New Roman"/>
                <w:noProof/>
                <w:color w:val="FFFFFF" w:themeColor="background1"/>
                <w:sz w:val="18"/>
                <w:szCs w:val="18"/>
              </w:rPr>
            </w:pPr>
            <w:r>
              <w:rPr>
                <w:rFonts w:ascii="Times New Roman" w:hAnsi="Times New Roman"/>
                <w:noProof/>
                <w:color w:val="FFFFFF" w:themeColor="background1"/>
                <w:sz w:val="18"/>
                <w:szCs w:val="18"/>
              </w:rPr>
              <w:t>Autres problèmes</w:t>
            </w:r>
          </w:p>
        </w:tc>
      </w:tr>
      <w:tr>
        <w:trPr>
          <w:trHeight w:val="20"/>
        </w:trPr>
        <w:tc>
          <w:tcPr>
            <w:tcW w:w="457" w:type="pct"/>
            <w:shd w:val="clear" w:color="auto" w:fill="auto"/>
            <w:noWrap/>
            <w:hideMark/>
          </w:tcPr>
          <w:p>
            <w:pPr>
              <w:spacing w:after="0" w:line="240" w:lineRule="auto"/>
              <w:rPr>
                <w:rFonts w:ascii="Times New Roman" w:eastAsia="Times New Roman" w:hAnsi="Times New Roman"/>
                <w:noProof/>
                <w:color w:val="000000"/>
                <w:sz w:val="18"/>
                <w:szCs w:val="18"/>
              </w:rPr>
            </w:pPr>
            <w:r>
              <w:rPr>
                <w:rFonts w:ascii="Times New Roman" w:hAnsi="Times New Roman"/>
                <w:noProof/>
                <w:sz w:val="18"/>
                <w:szCs w:val="18"/>
              </w:rPr>
              <w:t>Autriche</w:t>
            </w:r>
          </w:p>
        </w:tc>
        <w:tc>
          <w:tcPr>
            <w:tcW w:w="778" w:type="pct"/>
            <w:shd w:val="clear" w:color="auto" w:fill="auto"/>
            <w:noWrap/>
            <w:hideMark/>
          </w:tcPr>
          <w:p>
            <w:pPr>
              <w:spacing w:after="0" w:line="240" w:lineRule="auto"/>
              <w:rPr>
                <w:rFonts w:ascii="Times New Roman" w:eastAsia="Times New Roman" w:hAnsi="Times New Roman"/>
                <w:noProof/>
                <w:color w:val="000000"/>
                <w:sz w:val="18"/>
                <w:szCs w:val="18"/>
              </w:rPr>
            </w:pPr>
            <w:r>
              <w:rPr>
                <w:rFonts w:ascii="Times New Roman" w:hAnsi="Times New Roman"/>
                <w:noProof/>
                <w:color w:val="000000"/>
                <w:sz w:val="18"/>
                <w:szCs w:val="18"/>
              </w:rPr>
              <w:t>AC et D</w:t>
            </w:r>
          </w:p>
        </w:tc>
        <w:tc>
          <w:tcPr>
            <w:tcW w:w="419" w:type="pct"/>
          </w:tcPr>
          <w:p>
            <w:pPr>
              <w:spacing w:after="0" w:line="240" w:lineRule="auto"/>
              <w:jc w:val="center"/>
              <w:rPr>
                <w:rFonts w:ascii="Wingdings" w:hAnsi="Wingdings"/>
                <w:noProof/>
                <w:sz w:val="16"/>
                <w:szCs w:val="16"/>
              </w:rPr>
            </w:pPr>
            <w:r>
              <w:rPr>
                <w:rFonts w:ascii="Wingdings" w:hAnsi="Wingdings"/>
                <w:noProof/>
                <w:sz w:val="16"/>
                <w:szCs w:val="16"/>
              </w:rPr>
              <w:t></w:t>
            </w:r>
          </w:p>
        </w:tc>
        <w:tc>
          <w:tcPr>
            <w:tcW w:w="419" w:type="pct"/>
          </w:tcPr>
          <w:p>
            <w:pPr>
              <w:spacing w:after="0" w:line="240" w:lineRule="auto"/>
              <w:jc w:val="center"/>
              <w:rPr>
                <w:rFonts w:ascii="Wingdings" w:hAnsi="Wingdings"/>
                <w:noProof/>
                <w:sz w:val="16"/>
                <w:szCs w:val="16"/>
              </w:rPr>
            </w:pPr>
          </w:p>
        </w:tc>
        <w:tc>
          <w:tcPr>
            <w:tcW w:w="441" w:type="pct"/>
          </w:tcPr>
          <w:p>
            <w:pPr>
              <w:spacing w:after="0" w:line="240" w:lineRule="auto"/>
              <w:jc w:val="center"/>
              <w:rPr>
                <w:rFonts w:ascii="Wingdings" w:hAnsi="Wingdings"/>
                <w:noProof/>
                <w:sz w:val="16"/>
                <w:szCs w:val="16"/>
              </w:rPr>
            </w:pPr>
            <w:r>
              <w:rPr>
                <w:rFonts w:ascii="Wingdings" w:hAnsi="Wingdings"/>
                <w:noProof/>
                <w:sz w:val="16"/>
                <w:szCs w:val="16"/>
              </w:rPr>
              <w:t></w:t>
            </w:r>
          </w:p>
        </w:tc>
        <w:tc>
          <w:tcPr>
            <w:tcW w:w="398" w:type="pct"/>
          </w:tcPr>
          <w:p>
            <w:pPr>
              <w:spacing w:after="0" w:line="240" w:lineRule="auto"/>
              <w:jc w:val="center"/>
              <w:rPr>
                <w:rFonts w:ascii="Wingdings" w:hAnsi="Wingdings"/>
                <w:noProof/>
                <w:sz w:val="16"/>
                <w:szCs w:val="16"/>
              </w:rPr>
            </w:pPr>
            <w:r>
              <w:rPr>
                <w:rFonts w:ascii="Wingdings" w:hAnsi="Wingdings"/>
                <w:noProof/>
                <w:sz w:val="16"/>
                <w:szCs w:val="16"/>
              </w:rPr>
              <w:t></w:t>
            </w:r>
          </w:p>
        </w:tc>
        <w:tc>
          <w:tcPr>
            <w:tcW w:w="419" w:type="pct"/>
          </w:tcPr>
          <w:p>
            <w:pPr>
              <w:spacing w:after="0" w:line="240" w:lineRule="auto"/>
              <w:jc w:val="center"/>
              <w:rPr>
                <w:rFonts w:ascii="Wingdings" w:hAnsi="Wingdings"/>
                <w:noProof/>
                <w:sz w:val="16"/>
                <w:szCs w:val="16"/>
              </w:rPr>
            </w:pPr>
          </w:p>
        </w:tc>
        <w:tc>
          <w:tcPr>
            <w:tcW w:w="419" w:type="pct"/>
            <w:shd w:val="clear" w:color="auto" w:fill="auto"/>
            <w:noWrap/>
            <w:hideMark/>
          </w:tcPr>
          <w:p>
            <w:pPr>
              <w:spacing w:after="0" w:line="240" w:lineRule="auto"/>
              <w:jc w:val="center"/>
              <w:rPr>
                <w:rFonts w:ascii="Helvetica" w:eastAsia="Times New Roman" w:hAnsi="Helvetica" w:cs="Calibri"/>
                <w:noProof/>
                <w:color w:val="000000"/>
                <w:sz w:val="16"/>
                <w:szCs w:val="16"/>
              </w:rPr>
            </w:pPr>
            <w:r>
              <w:rPr>
                <w:rFonts w:ascii="Wingdings" w:hAnsi="Wingdings"/>
                <w:noProof/>
                <w:sz w:val="16"/>
                <w:szCs w:val="16"/>
              </w:rPr>
              <w:t></w:t>
            </w:r>
          </w:p>
        </w:tc>
        <w:tc>
          <w:tcPr>
            <w:tcW w:w="419" w:type="pct"/>
          </w:tcPr>
          <w:p>
            <w:pPr>
              <w:spacing w:after="0" w:line="240" w:lineRule="auto"/>
              <w:jc w:val="center"/>
              <w:rPr>
                <w:rFonts w:ascii="Helvetica" w:eastAsia="Times New Roman" w:hAnsi="Helvetica" w:cs="Calibri"/>
                <w:noProof/>
                <w:color w:val="000000"/>
                <w:sz w:val="16"/>
                <w:szCs w:val="16"/>
              </w:rPr>
            </w:pPr>
          </w:p>
        </w:tc>
        <w:tc>
          <w:tcPr>
            <w:tcW w:w="415" w:type="pct"/>
          </w:tcPr>
          <w:p>
            <w:pPr>
              <w:spacing w:after="0" w:line="240" w:lineRule="auto"/>
              <w:jc w:val="center"/>
              <w:rPr>
                <w:rFonts w:ascii="Helvetica" w:eastAsia="Times New Roman" w:hAnsi="Helvetica" w:cs="Calibri"/>
                <w:noProof/>
                <w:color w:val="000000"/>
                <w:sz w:val="16"/>
                <w:szCs w:val="16"/>
              </w:rPr>
            </w:pPr>
            <w:r>
              <w:rPr>
                <w:rFonts w:ascii="Wingdings" w:hAnsi="Wingdings"/>
                <w:noProof/>
                <w:sz w:val="16"/>
                <w:szCs w:val="16"/>
              </w:rPr>
              <w:t></w:t>
            </w:r>
          </w:p>
        </w:tc>
        <w:tc>
          <w:tcPr>
            <w:tcW w:w="415" w:type="pct"/>
            <w:shd w:val="clear" w:color="auto" w:fill="auto"/>
            <w:noWrap/>
            <w:hideMark/>
          </w:tcPr>
          <w:p>
            <w:pPr>
              <w:spacing w:after="0" w:line="240" w:lineRule="auto"/>
              <w:jc w:val="center"/>
              <w:rPr>
                <w:rFonts w:ascii="Helvetica" w:eastAsia="Times New Roman" w:hAnsi="Helvetica" w:cs="Calibri"/>
                <w:noProof/>
                <w:color w:val="000000"/>
                <w:sz w:val="16"/>
                <w:szCs w:val="16"/>
              </w:rPr>
            </w:pPr>
          </w:p>
        </w:tc>
      </w:tr>
      <w:tr>
        <w:trPr>
          <w:trHeight w:val="20"/>
        </w:trPr>
        <w:tc>
          <w:tcPr>
            <w:tcW w:w="457" w:type="pct"/>
            <w:shd w:val="clear" w:color="auto" w:fill="auto"/>
            <w:noWrap/>
            <w:hideMark/>
          </w:tcPr>
          <w:p>
            <w:pPr>
              <w:spacing w:after="0" w:line="240" w:lineRule="auto"/>
              <w:rPr>
                <w:rFonts w:ascii="Times New Roman" w:eastAsia="Times New Roman" w:hAnsi="Times New Roman"/>
                <w:noProof/>
                <w:color w:val="000000"/>
                <w:sz w:val="18"/>
                <w:szCs w:val="18"/>
              </w:rPr>
            </w:pPr>
            <w:r>
              <w:rPr>
                <w:rFonts w:ascii="Times New Roman" w:hAnsi="Times New Roman"/>
                <w:noProof/>
                <w:sz w:val="18"/>
                <w:szCs w:val="18"/>
              </w:rPr>
              <w:t>Belgique</w:t>
            </w:r>
          </w:p>
        </w:tc>
        <w:tc>
          <w:tcPr>
            <w:tcW w:w="778" w:type="pct"/>
            <w:shd w:val="clear" w:color="auto" w:fill="auto"/>
            <w:noWrap/>
            <w:hideMark/>
          </w:tcPr>
          <w:p>
            <w:pPr>
              <w:spacing w:after="0" w:line="240" w:lineRule="auto"/>
              <w:rPr>
                <w:rFonts w:ascii="Times New Roman" w:eastAsia="Times New Roman" w:hAnsi="Times New Roman"/>
                <w:noProof/>
                <w:color w:val="000000"/>
                <w:sz w:val="18"/>
                <w:szCs w:val="18"/>
              </w:rPr>
            </w:pPr>
            <w:r>
              <w:rPr>
                <w:rFonts w:ascii="Times New Roman" w:hAnsi="Times New Roman"/>
                <w:noProof/>
                <w:sz w:val="18"/>
                <w:szCs w:val="18"/>
              </w:rPr>
              <w:t>D et autres **</w:t>
            </w:r>
          </w:p>
        </w:tc>
        <w:tc>
          <w:tcPr>
            <w:tcW w:w="419" w:type="pct"/>
          </w:tcPr>
          <w:p>
            <w:pPr>
              <w:spacing w:after="0" w:line="240" w:lineRule="auto"/>
              <w:jc w:val="center"/>
              <w:rPr>
                <w:rFonts w:ascii="Helvetica" w:eastAsia="Times New Roman" w:hAnsi="Helvetica" w:cs="Calibri"/>
                <w:noProof/>
                <w:color w:val="000000"/>
                <w:sz w:val="16"/>
                <w:szCs w:val="16"/>
              </w:rPr>
            </w:pPr>
          </w:p>
        </w:tc>
        <w:tc>
          <w:tcPr>
            <w:tcW w:w="419" w:type="pct"/>
          </w:tcPr>
          <w:p>
            <w:pPr>
              <w:spacing w:after="0" w:line="240" w:lineRule="auto"/>
              <w:jc w:val="center"/>
              <w:rPr>
                <w:rFonts w:ascii="Helvetica" w:eastAsia="Times New Roman" w:hAnsi="Helvetica" w:cs="Calibri"/>
                <w:noProof/>
                <w:color w:val="000000"/>
                <w:sz w:val="16"/>
                <w:szCs w:val="16"/>
              </w:rPr>
            </w:pPr>
          </w:p>
        </w:tc>
        <w:tc>
          <w:tcPr>
            <w:tcW w:w="441" w:type="pct"/>
          </w:tcPr>
          <w:p>
            <w:pPr>
              <w:spacing w:after="0" w:line="240" w:lineRule="auto"/>
              <w:jc w:val="center"/>
              <w:rPr>
                <w:rFonts w:ascii="Helvetica" w:eastAsia="Times New Roman" w:hAnsi="Helvetica" w:cs="Calibri"/>
                <w:noProof/>
                <w:color w:val="000000"/>
                <w:sz w:val="16"/>
                <w:szCs w:val="16"/>
              </w:rPr>
            </w:pPr>
          </w:p>
        </w:tc>
        <w:tc>
          <w:tcPr>
            <w:tcW w:w="398" w:type="pct"/>
          </w:tcPr>
          <w:p>
            <w:pPr>
              <w:spacing w:after="0" w:line="240" w:lineRule="auto"/>
              <w:jc w:val="center"/>
              <w:rPr>
                <w:rFonts w:ascii="Helvetica" w:eastAsia="Times New Roman" w:hAnsi="Helvetica" w:cs="Calibri"/>
                <w:noProof/>
                <w:color w:val="000000"/>
                <w:sz w:val="16"/>
                <w:szCs w:val="16"/>
              </w:rPr>
            </w:pPr>
          </w:p>
        </w:tc>
        <w:tc>
          <w:tcPr>
            <w:tcW w:w="419" w:type="pct"/>
          </w:tcPr>
          <w:p>
            <w:pPr>
              <w:spacing w:after="0" w:line="240" w:lineRule="auto"/>
              <w:jc w:val="center"/>
              <w:rPr>
                <w:rFonts w:ascii="Helvetica" w:eastAsia="Times New Roman" w:hAnsi="Helvetica" w:cs="Calibri"/>
                <w:noProof/>
                <w:color w:val="000000"/>
                <w:sz w:val="16"/>
                <w:szCs w:val="16"/>
              </w:rPr>
            </w:pPr>
          </w:p>
        </w:tc>
        <w:tc>
          <w:tcPr>
            <w:tcW w:w="419" w:type="pct"/>
            <w:shd w:val="clear" w:color="auto" w:fill="auto"/>
            <w:noWrap/>
            <w:hideMark/>
          </w:tcPr>
          <w:p>
            <w:pPr>
              <w:spacing w:after="0" w:line="240" w:lineRule="auto"/>
              <w:jc w:val="center"/>
              <w:rPr>
                <w:rFonts w:ascii="Helvetica" w:eastAsia="Times New Roman" w:hAnsi="Helvetica" w:cs="Calibri"/>
                <w:noProof/>
                <w:color w:val="000000"/>
                <w:sz w:val="16"/>
                <w:szCs w:val="16"/>
              </w:rPr>
            </w:pPr>
          </w:p>
        </w:tc>
        <w:tc>
          <w:tcPr>
            <w:tcW w:w="419" w:type="pct"/>
          </w:tcPr>
          <w:p>
            <w:pPr>
              <w:spacing w:after="0" w:line="240" w:lineRule="auto"/>
              <w:jc w:val="center"/>
              <w:rPr>
                <w:rFonts w:ascii="Helvetica" w:eastAsia="Times New Roman" w:hAnsi="Helvetica" w:cs="Calibri"/>
                <w:noProof/>
                <w:color w:val="000000"/>
                <w:sz w:val="16"/>
                <w:szCs w:val="16"/>
              </w:rPr>
            </w:pPr>
          </w:p>
        </w:tc>
        <w:tc>
          <w:tcPr>
            <w:tcW w:w="415" w:type="pct"/>
          </w:tcPr>
          <w:p>
            <w:pPr>
              <w:spacing w:after="0" w:line="240" w:lineRule="auto"/>
              <w:jc w:val="center"/>
              <w:rPr>
                <w:rFonts w:ascii="Wingdings" w:hAnsi="Wingdings"/>
                <w:noProof/>
                <w:sz w:val="16"/>
                <w:szCs w:val="16"/>
              </w:rPr>
            </w:pPr>
            <w:r>
              <w:rPr>
                <w:rFonts w:ascii="Wingdings" w:hAnsi="Wingdings"/>
                <w:noProof/>
                <w:sz w:val="16"/>
                <w:szCs w:val="16"/>
              </w:rPr>
              <w:t></w:t>
            </w:r>
          </w:p>
        </w:tc>
        <w:tc>
          <w:tcPr>
            <w:tcW w:w="415" w:type="pct"/>
            <w:shd w:val="clear" w:color="auto" w:fill="auto"/>
            <w:noWrap/>
            <w:hideMark/>
          </w:tcPr>
          <w:p>
            <w:pPr>
              <w:spacing w:after="0" w:line="240" w:lineRule="auto"/>
              <w:jc w:val="center"/>
              <w:rPr>
                <w:rFonts w:ascii="Helvetica" w:eastAsia="Times New Roman" w:hAnsi="Helvetica" w:cs="Calibri"/>
                <w:noProof/>
                <w:color w:val="000000"/>
                <w:sz w:val="16"/>
                <w:szCs w:val="16"/>
              </w:rPr>
            </w:pPr>
            <w:r>
              <w:rPr>
                <w:rFonts w:ascii="Wingdings" w:hAnsi="Wingdings"/>
                <w:noProof/>
                <w:sz w:val="16"/>
                <w:szCs w:val="16"/>
              </w:rPr>
              <w:t></w:t>
            </w:r>
          </w:p>
        </w:tc>
      </w:tr>
      <w:tr>
        <w:trPr>
          <w:trHeight w:val="20"/>
        </w:trPr>
        <w:tc>
          <w:tcPr>
            <w:tcW w:w="457" w:type="pct"/>
            <w:shd w:val="clear" w:color="auto" w:fill="auto"/>
            <w:noWrap/>
            <w:hideMark/>
          </w:tcPr>
          <w:p>
            <w:pPr>
              <w:spacing w:after="0" w:line="240" w:lineRule="auto"/>
              <w:rPr>
                <w:rFonts w:ascii="Times New Roman" w:eastAsia="Times New Roman" w:hAnsi="Times New Roman"/>
                <w:noProof/>
                <w:color w:val="000000"/>
                <w:sz w:val="18"/>
                <w:szCs w:val="18"/>
              </w:rPr>
            </w:pPr>
            <w:r>
              <w:rPr>
                <w:rFonts w:ascii="Times New Roman" w:hAnsi="Times New Roman"/>
                <w:noProof/>
                <w:sz w:val="18"/>
                <w:szCs w:val="18"/>
              </w:rPr>
              <w:t>Bulgarie</w:t>
            </w:r>
          </w:p>
        </w:tc>
        <w:tc>
          <w:tcPr>
            <w:tcW w:w="778" w:type="pct"/>
            <w:shd w:val="clear" w:color="auto" w:fill="auto"/>
            <w:noWrap/>
            <w:hideMark/>
          </w:tcPr>
          <w:p>
            <w:pPr>
              <w:spacing w:after="0" w:line="240" w:lineRule="auto"/>
              <w:rPr>
                <w:rFonts w:ascii="Times New Roman" w:eastAsia="Times New Roman" w:hAnsi="Times New Roman"/>
                <w:noProof/>
                <w:color w:val="000000"/>
                <w:sz w:val="18"/>
                <w:szCs w:val="18"/>
              </w:rPr>
            </w:pPr>
            <w:r>
              <w:rPr>
                <w:rFonts w:ascii="Times New Roman" w:hAnsi="Times New Roman"/>
                <w:noProof/>
                <w:sz w:val="18"/>
                <w:szCs w:val="18"/>
              </w:rPr>
              <w:t>D et autre (Executive Forestry Agency)</w:t>
            </w:r>
          </w:p>
        </w:tc>
        <w:tc>
          <w:tcPr>
            <w:tcW w:w="419" w:type="pct"/>
          </w:tcPr>
          <w:p>
            <w:pPr>
              <w:spacing w:after="0" w:line="240" w:lineRule="auto"/>
              <w:jc w:val="center"/>
              <w:rPr>
                <w:rFonts w:ascii="Wingdings" w:hAnsi="Wingdings"/>
                <w:noProof/>
                <w:sz w:val="16"/>
                <w:szCs w:val="16"/>
              </w:rPr>
            </w:pPr>
          </w:p>
        </w:tc>
        <w:tc>
          <w:tcPr>
            <w:tcW w:w="419" w:type="pct"/>
          </w:tcPr>
          <w:p>
            <w:pPr>
              <w:spacing w:after="0" w:line="240" w:lineRule="auto"/>
              <w:jc w:val="center"/>
              <w:rPr>
                <w:rFonts w:ascii="Wingdings" w:hAnsi="Wingdings"/>
                <w:noProof/>
                <w:sz w:val="16"/>
                <w:szCs w:val="16"/>
              </w:rPr>
            </w:pPr>
          </w:p>
        </w:tc>
        <w:tc>
          <w:tcPr>
            <w:tcW w:w="441" w:type="pct"/>
          </w:tcPr>
          <w:p>
            <w:pPr>
              <w:spacing w:after="0" w:line="240" w:lineRule="auto"/>
              <w:jc w:val="center"/>
              <w:rPr>
                <w:rFonts w:ascii="Wingdings" w:hAnsi="Wingdings"/>
                <w:noProof/>
                <w:sz w:val="16"/>
                <w:szCs w:val="16"/>
              </w:rPr>
            </w:pPr>
            <w:r>
              <w:rPr>
                <w:rFonts w:ascii="Wingdings" w:hAnsi="Wingdings"/>
                <w:noProof/>
                <w:sz w:val="16"/>
                <w:szCs w:val="16"/>
              </w:rPr>
              <w:t></w:t>
            </w:r>
          </w:p>
        </w:tc>
        <w:tc>
          <w:tcPr>
            <w:tcW w:w="398" w:type="pct"/>
          </w:tcPr>
          <w:p>
            <w:pPr>
              <w:spacing w:after="0" w:line="240" w:lineRule="auto"/>
              <w:jc w:val="center"/>
              <w:rPr>
                <w:rFonts w:ascii="Wingdings" w:hAnsi="Wingdings"/>
                <w:noProof/>
                <w:sz w:val="16"/>
                <w:szCs w:val="16"/>
              </w:rPr>
            </w:pPr>
            <w:r>
              <w:rPr>
                <w:rFonts w:ascii="Wingdings" w:hAnsi="Wingdings"/>
                <w:noProof/>
                <w:sz w:val="16"/>
                <w:szCs w:val="16"/>
              </w:rPr>
              <w:t></w:t>
            </w:r>
          </w:p>
        </w:tc>
        <w:tc>
          <w:tcPr>
            <w:tcW w:w="419" w:type="pct"/>
          </w:tcPr>
          <w:p>
            <w:pPr>
              <w:spacing w:after="0" w:line="240" w:lineRule="auto"/>
              <w:jc w:val="center"/>
              <w:rPr>
                <w:rFonts w:ascii="Wingdings" w:hAnsi="Wingdings"/>
                <w:noProof/>
                <w:sz w:val="16"/>
                <w:szCs w:val="16"/>
              </w:rPr>
            </w:pPr>
          </w:p>
        </w:tc>
        <w:tc>
          <w:tcPr>
            <w:tcW w:w="419" w:type="pct"/>
            <w:shd w:val="clear" w:color="auto" w:fill="auto"/>
            <w:noWrap/>
            <w:hideMark/>
          </w:tcPr>
          <w:p>
            <w:pPr>
              <w:spacing w:after="0" w:line="240" w:lineRule="auto"/>
              <w:jc w:val="center"/>
              <w:rPr>
                <w:rFonts w:ascii="Helvetica" w:eastAsia="Times New Roman" w:hAnsi="Helvetica" w:cs="Calibri"/>
                <w:noProof/>
                <w:color w:val="000000"/>
                <w:sz w:val="16"/>
                <w:szCs w:val="16"/>
              </w:rPr>
            </w:pPr>
            <w:r>
              <w:rPr>
                <w:rFonts w:ascii="Wingdings" w:hAnsi="Wingdings"/>
                <w:noProof/>
                <w:sz w:val="16"/>
                <w:szCs w:val="16"/>
              </w:rPr>
              <w:t></w:t>
            </w:r>
          </w:p>
        </w:tc>
        <w:tc>
          <w:tcPr>
            <w:tcW w:w="419" w:type="pct"/>
          </w:tcPr>
          <w:p>
            <w:pPr>
              <w:spacing w:after="0" w:line="240" w:lineRule="auto"/>
              <w:jc w:val="center"/>
              <w:rPr>
                <w:rFonts w:ascii="Helvetica" w:eastAsia="Times New Roman" w:hAnsi="Helvetica" w:cs="Calibri"/>
                <w:noProof/>
                <w:color w:val="000000"/>
                <w:sz w:val="16"/>
                <w:szCs w:val="16"/>
              </w:rPr>
            </w:pPr>
            <w:r>
              <w:rPr>
                <w:rFonts w:ascii="Wingdings" w:hAnsi="Wingdings"/>
                <w:noProof/>
                <w:sz w:val="16"/>
                <w:szCs w:val="16"/>
              </w:rPr>
              <w:t></w:t>
            </w:r>
          </w:p>
        </w:tc>
        <w:tc>
          <w:tcPr>
            <w:tcW w:w="415" w:type="pct"/>
          </w:tcPr>
          <w:p>
            <w:pPr>
              <w:spacing w:after="0" w:line="240" w:lineRule="auto"/>
              <w:jc w:val="center"/>
              <w:rPr>
                <w:rFonts w:ascii="Wingdings" w:hAnsi="Wingdings"/>
                <w:noProof/>
                <w:sz w:val="16"/>
                <w:szCs w:val="16"/>
              </w:rPr>
            </w:pPr>
            <w:r>
              <w:rPr>
                <w:rFonts w:ascii="Wingdings" w:hAnsi="Wingdings"/>
                <w:noProof/>
                <w:sz w:val="16"/>
                <w:szCs w:val="16"/>
              </w:rPr>
              <w:t></w:t>
            </w:r>
          </w:p>
        </w:tc>
        <w:tc>
          <w:tcPr>
            <w:tcW w:w="415" w:type="pct"/>
            <w:shd w:val="clear" w:color="auto" w:fill="auto"/>
            <w:noWrap/>
            <w:hideMark/>
          </w:tcPr>
          <w:p>
            <w:pPr>
              <w:spacing w:after="0" w:line="240" w:lineRule="auto"/>
              <w:jc w:val="center"/>
              <w:rPr>
                <w:rFonts w:ascii="Helvetica" w:eastAsia="Times New Roman" w:hAnsi="Helvetica" w:cs="Calibri"/>
                <w:noProof/>
                <w:color w:val="000000"/>
                <w:sz w:val="16"/>
                <w:szCs w:val="16"/>
              </w:rPr>
            </w:pPr>
            <w:r>
              <w:rPr>
                <w:rFonts w:ascii="Wingdings" w:hAnsi="Wingdings"/>
                <w:noProof/>
                <w:sz w:val="16"/>
                <w:szCs w:val="16"/>
              </w:rPr>
              <w:t></w:t>
            </w:r>
          </w:p>
        </w:tc>
      </w:tr>
      <w:tr>
        <w:trPr>
          <w:trHeight w:val="20"/>
        </w:trPr>
        <w:tc>
          <w:tcPr>
            <w:tcW w:w="457" w:type="pct"/>
            <w:shd w:val="clear" w:color="auto" w:fill="auto"/>
            <w:noWrap/>
            <w:hideMark/>
          </w:tcPr>
          <w:p>
            <w:pPr>
              <w:spacing w:after="0" w:line="240" w:lineRule="auto"/>
              <w:rPr>
                <w:rFonts w:ascii="Times New Roman" w:eastAsia="Times New Roman" w:hAnsi="Times New Roman"/>
                <w:noProof/>
                <w:color w:val="000000"/>
                <w:sz w:val="18"/>
                <w:szCs w:val="18"/>
              </w:rPr>
            </w:pPr>
            <w:r>
              <w:rPr>
                <w:rFonts w:ascii="Times New Roman" w:hAnsi="Times New Roman"/>
                <w:noProof/>
                <w:sz w:val="18"/>
                <w:szCs w:val="18"/>
              </w:rPr>
              <w:t>Croatie</w:t>
            </w:r>
          </w:p>
        </w:tc>
        <w:tc>
          <w:tcPr>
            <w:tcW w:w="778" w:type="pct"/>
            <w:shd w:val="clear" w:color="auto" w:fill="auto"/>
            <w:noWrap/>
            <w:hideMark/>
          </w:tcPr>
          <w:p>
            <w:pPr>
              <w:spacing w:after="0" w:line="240" w:lineRule="auto"/>
              <w:rPr>
                <w:rFonts w:ascii="Times New Roman" w:eastAsia="Times New Roman" w:hAnsi="Times New Roman"/>
                <w:noProof/>
                <w:color w:val="000000"/>
                <w:sz w:val="18"/>
                <w:szCs w:val="18"/>
              </w:rPr>
            </w:pPr>
            <w:r>
              <w:rPr>
                <w:rFonts w:ascii="Times New Roman" w:hAnsi="Times New Roman"/>
                <w:noProof/>
                <w:sz w:val="18"/>
                <w:szCs w:val="18"/>
              </w:rPr>
              <w:t>D</w:t>
            </w:r>
          </w:p>
        </w:tc>
        <w:tc>
          <w:tcPr>
            <w:tcW w:w="419" w:type="pct"/>
          </w:tcPr>
          <w:p>
            <w:pPr>
              <w:spacing w:after="0" w:line="240" w:lineRule="auto"/>
              <w:jc w:val="center"/>
              <w:rPr>
                <w:rFonts w:ascii="Wingdings" w:hAnsi="Wingdings"/>
                <w:noProof/>
                <w:sz w:val="16"/>
                <w:szCs w:val="16"/>
              </w:rPr>
            </w:pPr>
          </w:p>
        </w:tc>
        <w:tc>
          <w:tcPr>
            <w:tcW w:w="419" w:type="pct"/>
          </w:tcPr>
          <w:p>
            <w:pPr>
              <w:spacing w:after="0" w:line="240" w:lineRule="auto"/>
              <w:jc w:val="center"/>
              <w:rPr>
                <w:rFonts w:ascii="Wingdings" w:hAnsi="Wingdings"/>
                <w:noProof/>
                <w:sz w:val="16"/>
                <w:szCs w:val="16"/>
              </w:rPr>
            </w:pPr>
          </w:p>
        </w:tc>
        <w:tc>
          <w:tcPr>
            <w:tcW w:w="441" w:type="pct"/>
          </w:tcPr>
          <w:p>
            <w:pPr>
              <w:spacing w:after="0" w:line="240" w:lineRule="auto"/>
              <w:jc w:val="center"/>
              <w:rPr>
                <w:rFonts w:ascii="Wingdings" w:hAnsi="Wingdings"/>
                <w:noProof/>
                <w:sz w:val="16"/>
                <w:szCs w:val="16"/>
              </w:rPr>
            </w:pPr>
          </w:p>
        </w:tc>
        <w:tc>
          <w:tcPr>
            <w:tcW w:w="398" w:type="pct"/>
          </w:tcPr>
          <w:p>
            <w:pPr>
              <w:spacing w:after="0" w:line="240" w:lineRule="auto"/>
              <w:jc w:val="center"/>
              <w:rPr>
                <w:rFonts w:ascii="Wingdings" w:hAnsi="Wingdings"/>
                <w:noProof/>
                <w:sz w:val="16"/>
                <w:szCs w:val="16"/>
              </w:rPr>
            </w:pPr>
          </w:p>
        </w:tc>
        <w:tc>
          <w:tcPr>
            <w:tcW w:w="419" w:type="pct"/>
          </w:tcPr>
          <w:p>
            <w:pPr>
              <w:spacing w:after="0" w:line="240" w:lineRule="auto"/>
              <w:jc w:val="center"/>
              <w:rPr>
                <w:rFonts w:ascii="Wingdings" w:hAnsi="Wingdings"/>
                <w:noProof/>
                <w:sz w:val="16"/>
                <w:szCs w:val="16"/>
              </w:rPr>
            </w:pPr>
          </w:p>
        </w:tc>
        <w:tc>
          <w:tcPr>
            <w:tcW w:w="419" w:type="pct"/>
            <w:shd w:val="clear" w:color="auto" w:fill="auto"/>
            <w:noWrap/>
            <w:hideMark/>
          </w:tcPr>
          <w:p>
            <w:pPr>
              <w:spacing w:after="0" w:line="240" w:lineRule="auto"/>
              <w:jc w:val="center"/>
              <w:rPr>
                <w:rFonts w:ascii="Helvetica" w:eastAsia="Times New Roman" w:hAnsi="Helvetica" w:cs="Calibri"/>
                <w:noProof/>
                <w:color w:val="000000"/>
                <w:sz w:val="16"/>
                <w:szCs w:val="16"/>
              </w:rPr>
            </w:pPr>
            <w:r>
              <w:rPr>
                <w:rFonts w:ascii="Wingdings" w:hAnsi="Wingdings"/>
                <w:noProof/>
                <w:sz w:val="16"/>
                <w:szCs w:val="16"/>
              </w:rPr>
              <w:t></w:t>
            </w:r>
          </w:p>
        </w:tc>
        <w:tc>
          <w:tcPr>
            <w:tcW w:w="419" w:type="pct"/>
          </w:tcPr>
          <w:p>
            <w:pPr>
              <w:spacing w:after="0" w:line="240" w:lineRule="auto"/>
              <w:jc w:val="center"/>
              <w:rPr>
                <w:rFonts w:ascii="Helvetica" w:eastAsia="Times New Roman" w:hAnsi="Helvetica" w:cs="Calibri"/>
                <w:noProof/>
                <w:color w:val="000000"/>
                <w:sz w:val="16"/>
                <w:szCs w:val="16"/>
              </w:rPr>
            </w:pPr>
          </w:p>
        </w:tc>
        <w:tc>
          <w:tcPr>
            <w:tcW w:w="415" w:type="pct"/>
          </w:tcPr>
          <w:p>
            <w:pPr>
              <w:spacing w:after="0" w:line="240" w:lineRule="auto"/>
              <w:jc w:val="center"/>
              <w:rPr>
                <w:rFonts w:ascii="Helvetica" w:eastAsia="Times New Roman" w:hAnsi="Helvetica" w:cs="Calibri"/>
                <w:noProof/>
                <w:color w:val="000000"/>
                <w:sz w:val="16"/>
                <w:szCs w:val="16"/>
              </w:rPr>
            </w:pPr>
          </w:p>
        </w:tc>
        <w:tc>
          <w:tcPr>
            <w:tcW w:w="415" w:type="pct"/>
            <w:shd w:val="clear" w:color="auto" w:fill="auto"/>
            <w:noWrap/>
            <w:hideMark/>
          </w:tcPr>
          <w:p>
            <w:pPr>
              <w:spacing w:after="0" w:line="240" w:lineRule="auto"/>
              <w:jc w:val="center"/>
              <w:rPr>
                <w:rFonts w:ascii="Helvetica" w:eastAsia="Times New Roman" w:hAnsi="Helvetica" w:cs="Calibri"/>
                <w:noProof/>
                <w:color w:val="000000"/>
                <w:sz w:val="16"/>
                <w:szCs w:val="16"/>
              </w:rPr>
            </w:pPr>
          </w:p>
        </w:tc>
      </w:tr>
      <w:tr>
        <w:trPr>
          <w:trHeight w:val="20"/>
        </w:trPr>
        <w:tc>
          <w:tcPr>
            <w:tcW w:w="457" w:type="pct"/>
            <w:shd w:val="clear" w:color="auto" w:fill="auto"/>
            <w:noWrap/>
            <w:hideMark/>
          </w:tcPr>
          <w:p>
            <w:pPr>
              <w:spacing w:after="0" w:line="240" w:lineRule="auto"/>
              <w:rPr>
                <w:rFonts w:ascii="Times New Roman" w:eastAsia="Times New Roman" w:hAnsi="Times New Roman"/>
                <w:noProof/>
                <w:color w:val="000000"/>
                <w:sz w:val="18"/>
                <w:szCs w:val="18"/>
              </w:rPr>
            </w:pPr>
            <w:r>
              <w:rPr>
                <w:rFonts w:ascii="Times New Roman" w:hAnsi="Times New Roman"/>
                <w:noProof/>
                <w:sz w:val="18"/>
                <w:szCs w:val="18"/>
              </w:rPr>
              <w:t>Chypre</w:t>
            </w:r>
          </w:p>
        </w:tc>
        <w:tc>
          <w:tcPr>
            <w:tcW w:w="778" w:type="pct"/>
            <w:shd w:val="clear" w:color="auto" w:fill="auto"/>
            <w:noWrap/>
            <w:hideMark/>
          </w:tcPr>
          <w:p>
            <w:pPr>
              <w:spacing w:after="0" w:line="240" w:lineRule="auto"/>
              <w:rPr>
                <w:rFonts w:ascii="Times New Roman" w:eastAsia="Times New Roman" w:hAnsi="Times New Roman"/>
                <w:noProof/>
                <w:color w:val="000000"/>
                <w:sz w:val="18"/>
                <w:szCs w:val="18"/>
                <w:lang w:val="fr-BE"/>
              </w:rPr>
            </w:pPr>
            <w:r>
              <w:rPr>
                <w:rFonts w:ascii="Times New Roman" w:hAnsi="Times New Roman"/>
                <w:noProof/>
                <w:sz w:val="18"/>
                <w:szCs w:val="18"/>
                <w:lang w:val="fr-BE"/>
              </w:rPr>
              <w:t>AC et autre (non spécifiée)</w:t>
            </w:r>
          </w:p>
        </w:tc>
        <w:tc>
          <w:tcPr>
            <w:tcW w:w="419" w:type="pct"/>
          </w:tcPr>
          <w:p>
            <w:pPr>
              <w:spacing w:after="0" w:line="240" w:lineRule="auto"/>
              <w:jc w:val="center"/>
              <w:rPr>
                <w:rFonts w:ascii="Helvetica" w:eastAsia="Times New Roman" w:hAnsi="Helvetica" w:cs="Calibri"/>
                <w:noProof/>
                <w:color w:val="000000"/>
                <w:sz w:val="16"/>
                <w:szCs w:val="16"/>
                <w:lang w:val="fr-BE"/>
              </w:rPr>
            </w:pPr>
          </w:p>
        </w:tc>
        <w:tc>
          <w:tcPr>
            <w:tcW w:w="419" w:type="pct"/>
          </w:tcPr>
          <w:p>
            <w:pPr>
              <w:spacing w:after="0" w:line="240" w:lineRule="auto"/>
              <w:jc w:val="center"/>
              <w:rPr>
                <w:rFonts w:ascii="Helvetica" w:eastAsia="Times New Roman" w:hAnsi="Helvetica" w:cs="Calibri"/>
                <w:noProof/>
                <w:color w:val="000000"/>
                <w:sz w:val="16"/>
                <w:szCs w:val="16"/>
                <w:lang w:val="fr-BE"/>
              </w:rPr>
            </w:pPr>
          </w:p>
        </w:tc>
        <w:tc>
          <w:tcPr>
            <w:tcW w:w="441" w:type="pct"/>
          </w:tcPr>
          <w:p>
            <w:pPr>
              <w:spacing w:after="0" w:line="240" w:lineRule="auto"/>
              <w:jc w:val="center"/>
              <w:rPr>
                <w:rFonts w:ascii="Helvetica" w:eastAsia="Times New Roman" w:hAnsi="Helvetica" w:cs="Calibri"/>
                <w:noProof/>
                <w:color w:val="000000"/>
                <w:sz w:val="16"/>
                <w:szCs w:val="16"/>
                <w:lang w:val="fr-BE"/>
              </w:rPr>
            </w:pPr>
          </w:p>
        </w:tc>
        <w:tc>
          <w:tcPr>
            <w:tcW w:w="398" w:type="pct"/>
          </w:tcPr>
          <w:p>
            <w:pPr>
              <w:spacing w:after="0" w:line="240" w:lineRule="auto"/>
              <w:jc w:val="center"/>
              <w:rPr>
                <w:rFonts w:ascii="Helvetica" w:eastAsia="Times New Roman" w:hAnsi="Helvetica" w:cs="Calibri"/>
                <w:noProof/>
                <w:color w:val="000000"/>
                <w:sz w:val="16"/>
                <w:szCs w:val="16"/>
                <w:lang w:val="fr-BE"/>
              </w:rPr>
            </w:pPr>
          </w:p>
        </w:tc>
        <w:tc>
          <w:tcPr>
            <w:tcW w:w="419" w:type="pct"/>
          </w:tcPr>
          <w:p>
            <w:pPr>
              <w:spacing w:after="0" w:line="240" w:lineRule="auto"/>
              <w:jc w:val="center"/>
              <w:rPr>
                <w:rFonts w:ascii="Helvetica" w:eastAsia="Times New Roman" w:hAnsi="Helvetica" w:cs="Calibri"/>
                <w:noProof/>
                <w:color w:val="000000"/>
                <w:sz w:val="16"/>
                <w:szCs w:val="16"/>
                <w:lang w:val="fr-BE"/>
              </w:rPr>
            </w:pPr>
          </w:p>
        </w:tc>
        <w:tc>
          <w:tcPr>
            <w:tcW w:w="419" w:type="pct"/>
            <w:shd w:val="clear" w:color="auto" w:fill="auto"/>
            <w:noWrap/>
            <w:hideMark/>
          </w:tcPr>
          <w:p>
            <w:pPr>
              <w:spacing w:after="0" w:line="240" w:lineRule="auto"/>
              <w:jc w:val="center"/>
              <w:rPr>
                <w:rFonts w:ascii="Helvetica" w:eastAsia="Times New Roman" w:hAnsi="Helvetica" w:cs="Calibri"/>
                <w:noProof/>
                <w:color w:val="000000"/>
                <w:sz w:val="16"/>
                <w:szCs w:val="16"/>
                <w:lang w:val="fr-BE"/>
              </w:rPr>
            </w:pPr>
          </w:p>
        </w:tc>
        <w:tc>
          <w:tcPr>
            <w:tcW w:w="419" w:type="pct"/>
          </w:tcPr>
          <w:p>
            <w:pPr>
              <w:spacing w:after="0" w:line="240" w:lineRule="auto"/>
              <w:jc w:val="center"/>
              <w:rPr>
                <w:rFonts w:ascii="Helvetica" w:eastAsia="Times New Roman" w:hAnsi="Helvetica" w:cs="Calibri"/>
                <w:noProof/>
                <w:color w:val="000000"/>
                <w:sz w:val="16"/>
                <w:szCs w:val="16"/>
              </w:rPr>
            </w:pPr>
            <w:r>
              <w:rPr>
                <w:rFonts w:ascii="Wingdings" w:hAnsi="Wingdings"/>
                <w:noProof/>
                <w:sz w:val="16"/>
                <w:szCs w:val="16"/>
              </w:rPr>
              <w:t></w:t>
            </w:r>
          </w:p>
        </w:tc>
        <w:tc>
          <w:tcPr>
            <w:tcW w:w="415" w:type="pct"/>
          </w:tcPr>
          <w:p>
            <w:pPr>
              <w:spacing w:after="0" w:line="240" w:lineRule="auto"/>
              <w:jc w:val="center"/>
              <w:rPr>
                <w:rFonts w:ascii="Wingdings" w:hAnsi="Wingdings"/>
                <w:noProof/>
                <w:sz w:val="16"/>
                <w:szCs w:val="16"/>
              </w:rPr>
            </w:pPr>
          </w:p>
        </w:tc>
        <w:tc>
          <w:tcPr>
            <w:tcW w:w="415" w:type="pct"/>
            <w:shd w:val="clear" w:color="auto" w:fill="auto"/>
            <w:noWrap/>
            <w:hideMark/>
          </w:tcPr>
          <w:p>
            <w:pPr>
              <w:spacing w:after="0" w:line="240" w:lineRule="auto"/>
              <w:jc w:val="center"/>
              <w:rPr>
                <w:rFonts w:ascii="Helvetica" w:eastAsia="Times New Roman" w:hAnsi="Helvetica" w:cs="Calibri"/>
                <w:noProof/>
                <w:color w:val="000000"/>
                <w:sz w:val="16"/>
                <w:szCs w:val="16"/>
              </w:rPr>
            </w:pPr>
            <w:r>
              <w:rPr>
                <w:rFonts w:ascii="Wingdings" w:hAnsi="Wingdings"/>
                <w:noProof/>
                <w:sz w:val="16"/>
                <w:szCs w:val="16"/>
              </w:rPr>
              <w:t></w:t>
            </w:r>
          </w:p>
        </w:tc>
      </w:tr>
      <w:tr>
        <w:trPr>
          <w:trHeight w:val="20"/>
        </w:trPr>
        <w:tc>
          <w:tcPr>
            <w:tcW w:w="457" w:type="pct"/>
            <w:shd w:val="clear" w:color="auto" w:fill="auto"/>
            <w:noWrap/>
            <w:hideMark/>
          </w:tcPr>
          <w:p>
            <w:pPr>
              <w:spacing w:after="0" w:line="240" w:lineRule="auto"/>
              <w:rPr>
                <w:rFonts w:ascii="Times New Roman" w:eastAsia="Times New Roman" w:hAnsi="Times New Roman"/>
                <w:noProof/>
                <w:color w:val="000000"/>
                <w:sz w:val="18"/>
                <w:szCs w:val="18"/>
              </w:rPr>
            </w:pPr>
            <w:r>
              <w:rPr>
                <w:rFonts w:ascii="Times New Roman" w:hAnsi="Times New Roman"/>
                <w:noProof/>
                <w:sz w:val="18"/>
                <w:szCs w:val="18"/>
              </w:rPr>
              <w:t>République tchèque</w:t>
            </w:r>
          </w:p>
        </w:tc>
        <w:tc>
          <w:tcPr>
            <w:tcW w:w="778" w:type="pct"/>
            <w:shd w:val="clear" w:color="auto" w:fill="auto"/>
            <w:noWrap/>
            <w:hideMark/>
          </w:tcPr>
          <w:p>
            <w:pPr>
              <w:spacing w:after="0" w:line="240" w:lineRule="auto"/>
              <w:rPr>
                <w:rFonts w:ascii="Times New Roman" w:eastAsia="Times New Roman" w:hAnsi="Times New Roman"/>
                <w:noProof/>
                <w:color w:val="000000"/>
                <w:sz w:val="18"/>
                <w:szCs w:val="18"/>
              </w:rPr>
            </w:pPr>
            <w:r>
              <w:rPr>
                <w:rFonts w:ascii="Times New Roman" w:hAnsi="Times New Roman"/>
                <w:noProof/>
                <w:sz w:val="18"/>
                <w:szCs w:val="18"/>
              </w:rPr>
              <w:t>AC et D</w:t>
            </w:r>
          </w:p>
        </w:tc>
        <w:tc>
          <w:tcPr>
            <w:tcW w:w="419" w:type="pct"/>
          </w:tcPr>
          <w:p>
            <w:pPr>
              <w:spacing w:after="0" w:line="240" w:lineRule="auto"/>
              <w:jc w:val="center"/>
              <w:rPr>
                <w:rFonts w:ascii="Wingdings" w:hAnsi="Wingdings"/>
                <w:noProof/>
                <w:sz w:val="16"/>
                <w:szCs w:val="16"/>
              </w:rPr>
            </w:pPr>
            <w:r>
              <w:rPr>
                <w:rFonts w:ascii="Wingdings" w:hAnsi="Wingdings"/>
                <w:noProof/>
                <w:sz w:val="16"/>
                <w:szCs w:val="16"/>
              </w:rPr>
              <w:t></w:t>
            </w:r>
          </w:p>
        </w:tc>
        <w:tc>
          <w:tcPr>
            <w:tcW w:w="419" w:type="pct"/>
          </w:tcPr>
          <w:p>
            <w:pPr>
              <w:spacing w:after="0" w:line="240" w:lineRule="auto"/>
              <w:jc w:val="center"/>
              <w:rPr>
                <w:rFonts w:ascii="Wingdings" w:hAnsi="Wingdings"/>
                <w:noProof/>
                <w:sz w:val="16"/>
                <w:szCs w:val="16"/>
              </w:rPr>
            </w:pPr>
          </w:p>
        </w:tc>
        <w:tc>
          <w:tcPr>
            <w:tcW w:w="441" w:type="pct"/>
          </w:tcPr>
          <w:p>
            <w:pPr>
              <w:spacing w:after="0" w:line="240" w:lineRule="auto"/>
              <w:jc w:val="center"/>
              <w:rPr>
                <w:rFonts w:ascii="Wingdings" w:hAnsi="Wingdings"/>
                <w:noProof/>
                <w:sz w:val="16"/>
                <w:szCs w:val="16"/>
              </w:rPr>
            </w:pPr>
          </w:p>
        </w:tc>
        <w:tc>
          <w:tcPr>
            <w:tcW w:w="398" w:type="pct"/>
          </w:tcPr>
          <w:p>
            <w:pPr>
              <w:spacing w:after="0" w:line="240" w:lineRule="auto"/>
              <w:jc w:val="center"/>
              <w:rPr>
                <w:rFonts w:ascii="Wingdings" w:hAnsi="Wingdings"/>
                <w:noProof/>
                <w:sz w:val="16"/>
                <w:szCs w:val="16"/>
              </w:rPr>
            </w:pPr>
            <w:r>
              <w:rPr>
                <w:rFonts w:ascii="Wingdings" w:hAnsi="Wingdings"/>
                <w:noProof/>
                <w:sz w:val="16"/>
                <w:szCs w:val="16"/>
              </w:rPr>
              <w:t></w:t>
            </w:r>
          </w:p>
        </w:tc>
        <w:tc>
          <w:tcPr>
            <w:tcW w:w="419" w:type="pct"/>
          </w:tcPr>
          <w:p>
            <w:pPr>
              <w:spacing w:after="0" w:line="240" w:lineRule="auto"/>
              <w:jc w:val="center"/>
              <w:rPr>
                <w:rFonts w:ascii="Wingdings" w:hAnsi="Wingdings"/>
                <w:noProof/>
                <w:sz w:val="16"/>
                <w:szCs w:val="16"/>
              </w:rPr>
            </w:pPr>
          </w:p>
        </w:tc>
        <w:tc>
          <w:tcPr>
            <w:tcW w:w="419" w:type="pct"/>
            <w:shd w:val="clear" w:color="auto" w:fill="auto"/>
            <w:noWrap/>
            <w:hideMark/>
          </w:tcPr>
          <w:p>
            <w:pPr>
              <w:spacing w:after="0" w:line="240" w:lineRule="auto"/>
              <w:jc w:val="center"/>
              <w:rPr>
                <w:rFonts w:ascii="Helvetica" w:eastAsia="Times New Roman" w:hAnsi="Helvetica" w:cs="Calibri"/>
                <w:noProof/>
                <w:color w:val="000000"/>
                <w:sz w:val="16"/>
                <w:szCs w:val="16"/>
              </w:rPr>
            </w:pPr>
            <w:r>
              <w:rPr>
                <w:rFonts w:ascii="Wingdings" w:hAnsi="Wingdings"/>
                <w:noProof/>
                <w:sz w:val="16"/>
                <w:szCs w:val="16"/>
              </w:rPr>
              <w:t></w:t>
            </w:r>
          </w:p>
        </w:tc>
        <w:tc>
          <w:tcPr>
            <w:tcW w:w="419" w:type="pct"/>
          </w:tcPr>
          <w:p>
            <w:pPr>
              <w:spacing w:after="0" w:line="240" w:lineRule="auto"/>
              <w:jc w:val="center"/>
              <w:rPr>
                <w:rFonts w:ascii="Helvetica" w:eastAsia="Times New Roman" w:hAnsi="Helvetica" w:cs="Calibri"/>
                <w:noProof/>
                <w:color w:val="000000"/>
                <w:sz w:val="16"/>
                <w:szCs w:val="16"/>
              </w:rPr>
            </w:pPr>
            <w:r>
              <w:rPr>
                <w:rFonts w:ascii="Wingdings" w:hAnsi="Wingdings"/>
                <w:noProof/>
                <w:sz w:val="16"/>
                <w:szCs w:val="16"/>
              </w:rPr>
              <w:t></w:t>
            </w:r>
          </w:p>
        </w:tc>
        <w:tc>
          <w:tcPr>
            <w:tcW w:w="415" w:type="pct"/>
          </w:tcPr>
          <w:p>
            <w:pPr>
              <w:spacing w:after="0" w:line="240" w:lineRule="auto"/>
              <w:jc w:val="center"/>
              <w:rPr>
                <w:rFonts w:ascii="Helvetica" w:eastAsia="Times New Roman" w:hAnsi="Helvetica" w:cs="Calibri"/>
                <w:noProof/>
                <w:color w:val="000000"/>
                <w:sz w:val="16"/>
                <w:szCs w:val="16"/>
              </w:rPr>
            </w:pPr>
          </w:p>
        </w:tc>
        <w:tc>
          <w:tcPr>
            <w:tcW w:w="415" w:type="pct"/>
            <w:shd w:val="clear" w:color="auto" w:fill="auto"/>
            <w:noWrap/>
            <w:hideMark/>
          </w:tcPr>
          <w:p>
            <w:pPr>
              <w:spacing w:after="0" w:line="240" w:lineRule="auto"/>
              <w:jc w:val="center"/>
              <w:rPr>
                <w:rFonts w:ascii="Helvetica" w:eastAsia="Times New Roman" w:hAnsi="Helvetica" w:cs="Calibri"/>
                <w:noProof/>
                <w:color w:val="000000"/>
                <w:sz w:val="16"/>
                <w:szCs w:val="16"/>
              </w:rPr>
            </w:pPr>
          </w:p>
        </w:tc>
      </w:tr>
      <w:tr>
        <w:trPr>
          <w:trHeight w:val="20"/>
        </w:trPr>
        <w:tc>
          <w:tcPr>
            <w:tcW w:w="457" w:type="pct"/>
            <w:shd w:val="clear" w:color="auto" w:fill="auto"/>
            <w:noWrap/>
            <w:hideMark/>
          </w:tcPr>
          <w:p>
            <w:pPr>
              <w:spacing w:after="0" w:line="240" w:lineRule="auto"/>
              <w:rPr>
                <w:rFonts w:ascii="Times New Roman" w:eastAsia="Times New Roman" w:hAnsi="Times New Roman"/>
                <w:noProof/>
                <w:color w:val="000000"/>
                <w:sz w:val="18"/>
                <w:szCs w:val="18"/>
              </w:rPr>
            </w:pPr>
            <w:r>
              <w:rPr>
                <w:rFonts w:ascii="Times New Roman" w:hAnsi="Times New Roman"/>
                <w:noProof/>
                <w:sz w:val="18"/>
                <w:szCs w:val="18"/>
              </w:rPr>
              <w:t>Danemark</w:t>
            </w:r>
          </w:p>
        </w:tc>
        <w:tc>
          <w:tcPr>
            <w:tcW w:w="778" w:type="pct"/>
            <w:shd w:val="clear" w:color="auto" w:fill="auto"/>
            <w:noWrap/>
            <w:hideMark/>
          </w:tcPr>
          <w:p>
            <w:pPr>
              <w:spacing w:after="0" w:line="240" w:lineRule="auto"/>
              <w:rPr>
                <w:rFonts w:ascii="Times New Roman" w:eastAsia="Times New Roman" w:hAnsi="Times New Roman"/>
                <w:noProof/>
                <w:color w:val="000000"/>
                <w:sz w:val="18"/>
                <w:szCs w:val="18"/>
                <w:lang w:val="fr-BE"/>
              </w:rPr>
            </w:pPr>
            <w:r>
              <w:rPr>
                <w:rFonts w:ascii="Times New Roman" w:hAnsi="Times New Roman"/>
                <w:noProof/>
                <w:sz w:val="18"/>
                <w:szCs w:val="18"/>
                <w:lang w:val="fr-BE"/>
              </w:rPr>
              <w:t>AC et D et autre (non spécifiée)</w:t>
            </w:r>
          </w:p>
        </w:tc>
        <w:tc>
          <w:tcPr>
            <w:tcW w:w="419" w:type="pct"/>
          </w:tcPr>
          <w:p>
            <w:pPr>
              <w:spacing w:after="0" w:line="240" w:lineRule="auto"/>
              <w:jc w:val="center"/>
              <w:rPr>
                <w:rFonts w:ascii="Wingdings" w:hAnsi="Wingdings"/>
                <w:noProof/>
                <w:sz w:val="16"/>
                <w:szCs w:val="16"/>
              </w:rPr>
            </w:pPr>
            <w:r>
              <w:rPr>
                <w:rFonts w:ascii="Wingdings" w:hAnsi="Wingdings"/>
                <w:noProof/>
                <w:sz w:val="16"/>
                <w:szCs w:val="16"/>
              </w:rPr>
              <w:t></w:t>
            </w:r>
          </w:p>
        </w:tc>
        <w:tc>
          <w:tcPr>
            <w:tcW w:w="419" w:type="pct"/>
          </w:tcPr>
          <w:p>
            <w:pPr>
              <w:spacing w:after="0" w:line="240" w:lineRule="auto"/>
              <w:jc w:val="center"/>
              <w:rPr>
                <w:rFonts w:ascii="Wingdings" w:hAnsi="Wingdings"/>
                <w:noProof/>
                <w:sz w:val="16"/>
                <w:szCs w:val="16"/>
              </w:rPr>
            </w:pPr>
          </w:p>
        </w:tc>
        <w:tc>
          <w:tcPr>
            <w:tcW w:w="441" w:type="pct"/>
          </w:tcPr>
          <w:p>
            <w:pPr>
              <w:spacing w:after="0" w:line="240" w:lineRule="auto"/>
              <w:jc w:val="center"/>
              <w:rPr>
                <w:rFonts w:ascii="Wingdings" w:hAnsi="Wingdings"/>
                <w:noProof/>
                <w:sz w:val="16"/>
                <w:szCs w:val="16"/>
              </w:rPr>
            </w:pPr>
          </w:p>
        </w:tc>
        <w:tc>
          <w:tcPr>
            <w:tcW w:w="398" w:type="pct"/>
          </w:tcPr>
          <w:p>
            <w:pPr>
              <w:spacing w:after="0" w:line="240" w:lineRule="auto"/>
              <w:jc w:val="center"/>
              <w:rPr>
                <w:rFonts w:ascii="Wingdings" w:hAnsi="Wingdings"/>
                <w:noProof/>
                <w:sz w:val="16"/>
                <w:szCs w:val="16"/>
              </w:rPr>
            </w:pPr>
          </w:p>
        </w:tc>
        <w:tc>
          <w:tcPr>
            <w:tcW w:w="419" w:type="pct"/>
          </w:tcPr>
          <w:p>
            <w:pPr>
              <w:spacing w:after="0" w:line="240" w:lineRule="auto"/>
              <w:jc w:val="center"/>
              <w:rPr>
                <w:rFonts w:ascii="Wingdings" w:hAnsi="Wingdings"/>
                <w:noProof/>
                <w:sz w:val="16"/>
                <w:szCs w:val="16"/>
              </w:rPr>
            </w:pPr>
            <w:r>
              <w:rPr>
                <w:rFonts w:ascii="Wingdings" w:hAnsi="Wingdings"/>
                <w:noProof/>
                <w:sz w:val="16"/>
                <w:szCs w:val="16"/>
              </w:rPr>
              <w:t></w:t>
            </w:r>
          </w:p>
        </w:tc>
        <w:tc>
          <w:tcPr>
            <w:tcW w:w="419" w:type="pct"/>
            <w:shd w:val="clear" w:color="auto" w:fill="auto"/>
            <w:noWrap/>
            <w:hideMark/>
          </w:tcPr>
          <w:p>
            <w:pPr>
              <w:spacing w:after="0" w:line="240" w:lineRule="auto"/>
              <w:jc w:val="center"/>
              <w:rPr>
                <w:rFonts w:ascii="Helvetica" w:eastAsia="Times New Roman" w:hAnsi="Helvetica" w:cs="Calibri"/>
                <w:noProof/>
                <w:color w:val="000000"/>
                <w:sz w:val="16"/>
                <w:szCs w:val="16"/>
              </w:rPr>
            </w:pPr>
            <w:r>
              <w:rPr>
                <w:rFonts w:ascii="Wingdings" w:hAnsi="Wingdings"/>
                <w:noProof/>
                <w:sz w:val="16"/>
                <w:szCs w:val="16"/>
              </w:rPr>
              <w:t></w:t>
            </w:r>
          </w:p>
        </w:tc>
        <w:tc>
          <w:tcPr>
            <w:tcW w:w="419" w:type="pct"/>
          </w:tcPr>
          <w:p>
            <w:pPr>
              <w:spacing w:after="0" w:line="240" w:lineRule="auto"/>
              <w:jc w:val="center"/>
              <w:rPr>
                <w:rFonts w:ascii="Helvetica" w:eastAsia="Times New Roman" w:hAnsi="Helvetica" w:cs="Calibri"/>
                <w:noProof/>
                <w:color w:val="000000"/>
                <w:sz w:val="16"/>
                <w:szCs w:val="16"/>
              </w:rPr>
            </w:pPr>
            <w:r>
              <w:rPr>
                <w:rFonts w:ascii="Wingdings" w:hAnsi="Wingdings"/>
                <w:noProof/>
                <w:sz w:val="16"/>
                <w:szCs w:val="16"/>
              </w:rPr>
              <w:t></w:t>
            </w:r>
          </w:p>
        </w:tc>
        <w:tc>
          <w:tcPr>
            <w:tcW w:w="415" w:type="pct"/>
          </w:tcPr>
          <w:p>
            <w:pPr>
              <w:spacing w:after="0" w:line="240" w:lineRule="auto"/>
              <w:jc w:val="center"/>
              <w:rPr>
                <w:rFonts w:ascii="Wingdings" w:hAnsi="Wingdings"/>
                <w:noProof/>
                <w:sz w:val="16"/>
                <w:szCs w:val="16"/>
              </w:rPr>
            </w:pPr>
            <w:r>
              <w:rPr>
                <w:rFonts w:ascii="Wingdings" w:hAnsi="Wingdings"/>
                <w:noProof/>
                <w:sz w:val="16"/>
                <w:szCs w:val="16"/>
              </w:rPr>
              <w:t></w:t>
            </w:r>
          </w:p>
        </w:tc>
        <w:tc>
          <w:tcPr>
            <w:tcW w:w="415" w:type="pct"/>
            <w:shd w:val="clear" w:color="auto" w:fill="auto"/>
            <w:noWrap/>
            <w:hideMark/>
          </w:tcPr>
          <w:p>
            <w:pPr>
              <w:spacing w:after="0" w:line="240" w:lineRule="auto"/>
              <w:jc w:val="center"/>
              <w:rPr>
                <w:rFonts w:ascii="Helvetica" w:eastAsia="Times New Roman" w:hAnsi="Helvetica" w:cs="Calibri"/>
                <w:noProof/>
                <w:color w:val="000000"/>
                <w:sz w:val="16"/>
                <w:szCs w:val="16"/>
              </w:rPr>
            </w:pPr>
            <w:r>
              <w:rPr>
                <w:rFonts w:ascii="Wingdings" w:hAnsi="Wingdings"/>
                <w:noProof/>
                <w:sz w:val="16"/>
                <w:szCs w:val="16"/>
              </w:rPr>
              <w:t></w:t>
            </w:r>
          </w:p>
        </w:tc>
      </w:tr>
      <w:tr>
        <w:trPr>
          <w:trHeight w:val="20"/>
        </w:trPr>
        <w:tc>
          <w:tcPr>
            <w:tcW w:w="457" w:type="pct"/>
            <w:shd w:val="clear" w:color="auto" w:fill="auto"/>
            <w:noWrap/>
            <w:hideMark/>
          </w:tcPr>
          <w:p>
            <w:pPr>
              <w:spacing w:after="0" w:line="240" w:lineRule="auto"/>
              <w:rPr>
                <w:rFonts w:ascii="Times New Roman" w:eastAsia="Times New Roman" w:hAnsi="Times New Roman"/>
                <w:noProof/>
                <w:color w:val="000000"/>
                <w:sz w:val="18"/>
                <w:szCs w:val="18"/>
              </w:rPr>
            </w:pPr>
            <w:r>
              <w:rPr>
                <w:rFonts w:ascii="Times New Roman" w:hAnsi="Times New Roman"/>
                <w:noProof/>
                <w:sz w:val="18"/>
                <w:szCs w:val="18"/>
              </w:rPr>
              <w:t>Estonie</w:t>
            </w:r>
          </w:p>
        </w:tc>
        <w:tc>
          <w:tcPr>
            <w:tcW w:w="778" w:type="pct"/>
            <w:shd w:val="clear" w:color="auto" w:fill="auto"/>
            <w:noWrap/>
            <w:hideMark/>
          </w:tcPr>
          <w:p>
            <w:pPr>
              <w:spacing w:after="0" w:line="240" w:lineRule="auto"/>
              <w:rPr>
                <w:rFonts w:ascii="Times New Roman" w:eastAsia="Times New Roman" w:hAnsi="Times New Roman"/>
                <w:noProof/>
                <w:color w:val="000000"/>
                <w:sz w:val="18"/>
                <w:szCs w:val="18"/>
                <w:lang w:val="fr-BE"/>
              </w:rPr>
            </w:pPr>
            <w:r>
              <w:rPr>
                <w:rFonts w:ascii="Times New Roman" w:hAnsi="Times New Roman"/>
                <w:noProof/>
                <w:sz w:val="18"/>
                <w:szCs w:val="18"/>
                <w:lang w:val="fr-BE"/>
              </w:rPr>
              <w:t>D et autre (non spécifiée)</w:t>
            </w:r>
          </w:p>
        </w:tc>
        <w:tc>
          <w:tcPr>
            <w:tcW w:w="419" w:type="pct"/>
          </w:tcPr>
          <w:p>
            <w:pPr>
              <w:spacing w:after="0" w:line="240" w:lineRule="auto"/>
              <w:jc w:val="center"/>
              <w:rPr>
                <w:rFonts w:ascii="Wingdings" w:hAnsi="Wingdings"/>
                <w:noProof/>
                <w:sz w:val="16"/>
                <w:szCs w:val="16"/>
              </w:rPr>
            </w:pPr>
            <w:r>
              <w:rPr>
                <w:rFonts w:ascii="Wingdings" w:hAnsi="Wingdings"/>
                <w:noProof/>
                <w:sz w:val="16"/>
                <w:szCs w:val="16"/>
              </w:rPr>
              <w:t></w:t>
            </w:r>
          </w:p>
        </w:tc>
        <w:tc>
          <w:tcPr>
            <w:tcW w:w="419" w:type="pct"/>
          </w:tcPr>
          <w:p>
            <w:pPr>
              <w:spacing w:after="0" w:line="240" w:lineRule="auto"/>
              <w:jc w:val="center"/>
              <w:rPr>
                <w:rFonts w:ascii="Wingdings" w:hAnsi="Wingdings"/>
                <w:noProof/>
                <w:sz w:val="16"/>
                <w:szCs w:val="16"/>
              </w:rPr>
            </w:pPr>
          </w:p>
        </w:tc>
        <w:tc>
          <w:tcPr>
            <w:tcW w:w="441" w:type="pct"/>
          </w:tcPr>
          <w:p>
            <w:pPr>
              <w:spacing w:after="0" w:line="240" w:lineRule="auto"/>
              <w:jc w:val="center"/>
              <w:rPr>
                <w:rFonts w:ascii="Wingdings" w:hAnsi="Wingdings"/>
                <w:noProof/>
                <w:sz w:val="16"/>
                <w:szCs w:val="16"/>
              </w:rPr>
            </w:pPr>
          </w:p>
        </w:tc>
        <w:tc>
          <w:tcPr>
            <w:tcW w:w="398" w:type="pct"/>
          </w:tcPr>
          <w:p>
            <w:pPr>
              <w:spacing w:after="0" w:line="240" w:lineRule="auto"/>
              <w:jc w:val="center"/>
              <w:rPr>
                <w:rFonts w:ascii="Wingdings" w:hAnsi="Wingdings"/>
                <w:noProof/>
                <w:sz w:val="16"/>
                <w:szCs w:val="16"/>
              </w:rPr>
            </w:pPr>
            <w:r>
              <w:rPr>
                <w:rFonts w:ascii="Wingdings" w:hAnsi="Wingdings"/>
                <w:noProof/>
                <w:sz w:val="16"/>
                <w:szCs w:val="16"/>
              </w:rPr>
              <w:t></w:t>
            </w:r>
          </w:p>
        </w:tc>
        <w:tc>
          <w:tcPr>
            <w:tcW w:w="419" w:type="pct"/>
          </w:tcPr>
          <w:p>
            <w:pPr>
              <w:spacing w:after="0" w:line="240" w:lineRule="auto"/>
              <w:jc w:val="center"/>
              <w:rPr>
                <w:rFonts w:ascii="Wingdings" w:hAnsi="Wingdings"/>
                <w:noProof/>
                <w:sz w:val="16"/>
                <w:szCs w:val="16"/>
              </w:rPr>
            </w:pPr>
          </w:p>
        </w:tc>
        <w:tc>
          <w:tcPr>
            <w:tcW w:w="419" w:type="pct"/>
            <w:shd w:val="clear" w:color="auto" w:fill="auto"/>
            <w:noWrap/>
            <w:hideMark/>
          </w:tcPr>
          <w:p>
            <w:pPr>
              <w:spacing w:after="0" w:line="240" w:lineRule="auto"/>
              <w:jc w:val="center"/>
              <w:rPr>
                <w:rFonts w:ascii="Helvetica" w:eastAsia="Times New Roman" w:hAnsi="Helvetica" w:cs="Calibri"/>
                <w:noProof/>
                <w:color w:val="000000"/>
                <w:sz w:val="16"/>
                <w:szCs w:val="16"/>
              </w:rPr>
            </w:pPr>
            <w:r>
              <w:rPr>
                <w:rFonts w:ascii="Wingdings" w:hAnsi="Wingdings"/>
                <w:noProof/>
                <w:sz w:val="16"/>
                <w:szCs w:val="16"/>
              </w:rPr>
              <w:t></w:t>
            </w:r>
          </w:p>
        </w:tc>
        <w:tc>
          <w:tcPr>
            <w:tcW w:w="419" w:type="pct"/>
          </w:tcPr>
          <w:p>
            <w:pPr>
              <w:spacing w:after="0" w:line="240" w:lineRule="auto"/>
              <w:jc w:val="center"/>
              <w:rPr>
                <w:rFonts w:ascii="Helvetica" w:eastAsia="Times New Roman" w:hAnsi="Helvetica" w:cs="Calibri"/>
                <w:noProof/>
                <w:color w:val="000000"/>
                <w:sz w:val="16"/>
                <w:szCs w:val="16"/>
              </w:rPr>
            </w:pPr>
            <w:r>
              <w:rPr>
                <w:rFonts w:ascii="Wingdings" w:hAnsi="Wingdings"/>
                <w:noProof/>
                <w:sz w:val="16"/>
                <w:szCs w:val="16"/>
              </w:rPr>
              <w:t></w:t>
            </w:r>
          </w:p>
        </w:tc>
        <w:tc>
          <w:tcPr>
            <w:tcW w:w="415" w:type="pct"/>
          </w:tcPr>
          <w:p>
            <w:pPr>
              <w:spacing w:after="0" w:line="240" w:lineRule="auto"/>
              <w:jc w:val="center"/>
              <w:rPr>
                <w:rFonts w:ascii="Wingdings" w:hAnsi="Wingdings"/>
                <w:noProof/>
                <w:sz w:val="16"/>
                <w:szCs w:val="16"/>
              </w:rPr>
            </w:pPr>
            <w:r>
              <w:rPr>
                <w:rFonts w:ascii="Wingdings" w:hAnsi="Wingdings"/>
                <w:noProof/>
                <w:sz w:val="16"/>
                <w:szCs w:val="16"/>
              </w:rPr>
              <w:t></w:t>
            </w:r>
          </w:p>
        </w:tc>
        <w:tc>
          <w:tcPr>
            <w:tcW w:w="415" w:type="pct"/>
            <w:shd w:val="clear" w:color="auto" w:fill="auto"/>
            <w:noWrap/>
            <w:hideMark/>
          </w:tcPr>
          <w:p>
            <w:pPr>
              <w:spacing w:after="0" w:line="240" w:lineRule="auto"/>
              <w:jc w:val="center"/>
              <w:rPr>
                <w:rFonts w:ascii="Helvetica" w:eastAsia="Times New Roman" w:hAnsi="Helvetica" w:cs="Calibri"/>
                <w:noProof/>
                <w:color w:val="000000"/>
                <w:sz w:val="16"/>
                <w:szCs w:val="16"/>
              </w:rPr>
            </w:pPr>
            <w:r>
              <w:rPr>
                <w:rFonts w:ascii="Wingdings" w:hAnsi="Wingdings"/>
                <w:noProof/>
                <w:sz w:val="16"/>
                <w:szCs w:val="16"/>
              </w:rPr>
              <w:t></w:t>
            </w:r>
          </w:p>
        </w:tc>
      </w:tr>
      <w:tr>
        <w:trPr>
          <w:trHeight w:val="20"/>
        </w:trPr>
        <w:tc>
          <w:tcPr>
            <w:tcW w:w="457" w:type="pct"/>
            <w:shd w:val="clear" w:color="auto" w:fill="auto"/>
            <w:noWrap/>
            <w:hideMark/>
          </w:tcPr>
          <w:p>
            <w:pPr>
              <w:spacing w:after="0" w:line="240" w:lineRule="auto"/>
              <w:rPr>
                <w:rFonts w:ascii="Times New Roman" w:eastAsia="Times New Roman" w:hAnsi="Times New Roman"/>
                <w:noProof/>
                <w:color w:val="000000"/>
                <w:sz w:val="18"/>
                <w:szCs w:val="18"/>
              </w:rPr>
            </w:pPr>
            <w:r>
              <w:rPr>
                <w:rFonts w:ascii="Times New Roman" w:hAnsi="Times New Roman"/>
                <w:noProof/>
                <w:sz w:val="18"/>
                <w:szCs w:val="18"/>
              </w:rPr>
              <w:t>Finlande</w:t>
            </w:r>
          </w:p>
        </w:tc>
        <w:tc>
          <w:tcPr>
            <w:tcW w:w="778" w:type="pct"/>
            <w:shd w:val="clear" w:color="auto" w:fill="auto"/>
            <w:noWrap/>
            <w:hideMark/>
          </w:tcPr>
          <w:p>
            <w:pPr>
              <w:spacing w:after="0" w:line="240" w:lineRule="auto"/>
              <w:rPr>
                <w:rFonts w:ascii="Times New Roman" w:eastAsia="Times New Roman" w:hAnsi="Times New Roman"/>
                <w:noProof/>
                <w:color w:val="000000"/>
                <w:sz w:val="18"/>
                <w:szCs w:val="18"/>
              </w:rPr>
            </w:pPr>
            <w:r>
              <w:rPr>
                <w:rFonts w:ascii="Times New Roman" w:hAnsi="Times New Roman"/>
                <w:noProof/>
                <w:sz w:val="18"/>
                <w:szCs w:val="18"/>
              </w:rPr>
              <w:t>AC et D</w:t>
            </w:r>
          </w:p>
        </w:tc>
        <w:tc>
          <w:tcPr>
            <w:tcW w:w="419" w:type="pct"/>
          </w:tcPr>
          <w:p>
            <w:pPr>
              <w:spacing w:after="0" w:line="240" w:lineRule="auto"/>
              <w:jc w:val="center"/>
              <w:rPr>
                <w:rFonts w:ascii="Wingdings" w:hAnsi="Wingdings"/>
                <w:noProof/>
                <w:sz w:val="16"/>
                <w:szCs w:val="16"/>
              </w:rPr>
            </w:pPr>
            <w:r>
              <w:rPr>
                <w:rFonts w:ascii="Wingdings" w:hAnsi="Wingdings"/>
                <w:noProof/>
                <w:sz w:val="16"/>
                <w:szCs w:val="16"/>
              </w:rPr>
              <w:t></w:t>
            </w:r>
          </w:p>
        </w:tc>
        <w:tc>
          <w:tcPr>
            <w:tcW w:w="419" w:type="pct"/>
          </w:tcPr>
          <w:p>
            <w:pPr>
              <w:spacing w:after="0" w:line="240" w:lineRule="auto"/>
              <w:jc w:val="center"/>
              <w:rPr>
                <w:rFonts w:ascii="Wingdings" w:hAnsi="Wingdings"/>
                <w:noProof/>
                <w:sz w:val="16"/>
                <w:szCs w:val="16"/>
              </w:rPr>
            </w:pPr>
          </w:p>
        </w:tc>
        <w:tc>
          <w:tcPr>
            <w:tcW w:w="441" w:type="pct"/>
          </w:tcPr>
          <w:p>
            <w:pPr>
              <w:spacing w:after="0" w:line="240" w:lineRule="auto"/>
              <w:jc w:val="center"/>
              <w:rPr>
                <w:rFonts w:ascii="Wingdings" w:hAnsi="Wingdings"/>
                <w:noProof/>
                <w:sz w:val="16"/>
                <w:szCs w:val="16"/>
              </w:rPr>
            </w:pPr>
            <w:r>
              <w:rPr>
                <w:rFonts w:ascii="Wingdings" w:hAnsi="Wingdings"/>
                <w:noProof/>
                <w:sz w:val="16"/>
                <w:szCs w:val="16"/>
              </w:rPr>
              <w:t></w:t>
            </w:r>
          </w:p>
        </w:tc>
        <w:tc>
          <w:tcPr>
            <w:tcW w:w="398" w:type="pct"/>
          </w:tcPr>
          <w:p>
            <w:pPr>
              <w:spacing w:after="0" w:line="240" w:lineRule="auto"/>
              <w:jc w:val="center"/>
              <w:rPr>
                <w:rFonts w:ascii="Wingdings" w:hAnsi="Wingdings"/>
                <w:noProof/>
                <w:sz w:val="16"/>
                <w:szCs w:val="16"/>
              </w:rPr>
            </w:pPr>
            <w:r>
              <w:rPr>
                <w:rFonts w:ascii="Wingdings" w:hAnsi="Wingdings"/>
                <w:noProof/>
                <w:sz w:val="16"/>
                <w:szCs w:val="16"/>
              </w:rPr>
              <w:t></w:t>
            </w:r>
          </w:p>
        </w:tc>
        <w:tc>
          <w:tcPr>
            <w:tcW w:w="419" w:type="pct"/>
          </w:tcPr>
          <w:p>
            <w:pPr>
              <w:spacing w:after="0" w:line="240" w:lineRule="auto"/>
              <w:jc w:val="center"/>
              <w:rPr>
                <w:rFonts w:ascii="Wingdings" w:hAnsi="Wingdings"/>
                <w:noProof/>
                <w:sz w:val="16"/>
                <w:szCs w:val="16"/>
              </w:rPr>
            </w:pPr>
          </w:p>
        </w:tc>
        <w:tc>
          <w:tcPr>
            <w:tcW w:w="419" w:type="pct"/>
            <w:shd w:val="clear" w:color="auto" w:fill="auto"/>
            <w:noWrap/>
            <w:hideMark/>
          </w:tcPr>
          <w:p>
            <w:pPr>
              <w:spacing w:after="0" w:line="240" w:lineRule="auto"/>
              <w:jc w:val="center"/>
              <w:rPr>
                <w:rFonts w:ascii="Helvetica" w:eastAsia="Times New Roman" w:hAnsi="Helvetica" w:cs="Calibri"/>
                <w:noProof/>
                <w:color w:val="000000"/>
                <w:sz w:val="16"/>
                <w:szCs w:val="16"/>
              </w:rPr>
            </w:pPr>
            <w:r>
              <w:rPr>
                <w:rFonts w:ascii="Wingdings" w:hAnsi="Wingdings"/>
                <w:noProof/>
                <w:sz w:val="16"/>
                <w:szCs w:val="16"/>
              </w:rPr>
              <w:t></w:t>
            </w:r>
          </w:p>
        </w:tc>
        <w:tc>
          <w:tcPr>
            <w:tcW w:w="419" w:type="pct"/>
          </w:tcPr>
          <w:p>
            <w:pPr>
              <w:spacing w:after="0" w:line="240" w:lineRule="auto"/>
              <w:jc w:val="center"/>
              <w:rPr>
                <w:rFonts w:ascii="Helvetica" w:eastAsia="Times New Roman" w:hAnsi="Helvetica" w:cs="Calibri"/>
                <w:noProof/>
                <w:color w:val="000000"/>
                <w:sz w:val="16"/>
                <w:szCs w:val="16"/>
              </w:rPr>
            </w:pPr>
          </w:p>
        </w:tc>
        <w:tc>
          <w:tcPr>
            <w:tcW w:w="415" w:type="pct"/>
          </w:tcPr>
          <w:p>
            <w:pPr>
              <w:spacing w:after="0" w:line="240" w:lineRule="auto"/>
              <w:jc w:val="center"/>
              <w:rPr>
                <w:rFonts w:ascii="Helvetica" w:eastAsia="Times New Roman" w:hAnsi="Helvetica" w:cs="Calibri"/>
                <w:noProof/>
                <w:color w:val="000000"/>
                <w:sz w:val="16"/>
                <w:szCs w:val="16"/>
              </w:rPr>
            </w:pPr>
            <w:r>
              <w:rPr>
                <w:rFonts w:ascii="Wingdings" w:hAnsi="Wingdings"/>
                <w:noProof/>
                <w:sz w:val="16"/>
                <w:szCs w:val="16"/>
              </w:rPr>
              <w:t></w:t>
            </w:r>
          </w:p>
        </w:tc>
        <w:tc>
          <w:tcPr>
            <w:tcW w:w="415" w:type="pct"/>
            <w:shd w:val="clear" w:color="auto" w:fill="auto"/>
            <w:noWrap/>
            <w:hideMark/>
          </w:tcPr>
          <w:p>
            <w:pPr>
              <w:spacing w:after="0" w:line="240" w:lineRule="auto"/>
              <w:jc w:val="center"/>
              <w:rPr>
                <w:rFonts w:ascii="Helvetica" w:eastAsia="Times New Roman" w:hAnsi="Helvetica" w:cs="Calibri"/>
                <w:noProof/>
                <w:color w:val="000000"/>
                <w:sz w:val="16"/>
                <w:szCs w:val="16"/>
              </w:rPr>
            </w:pPr>
          </w:p>
        </w:tc>
      </w:tr>
      <w:tr>
        <w:trPr>
          <w:trHeight w:val="20"/>
        </w:trPr>
        <w:tc>
          <w:tcPr>
            <w:tcW w:w="457" w:type="pct"/>
            <w:shd w:val="clear" w:color="auto" w:fill="auto"/>
            <w:noWrap/>
            <w:hideMark/>
          </w:tcPr>
          <w:p>
            <w:pPr>
              <w:spacing w:after="0" w:line="240" w:lineRule="auto"/>
              <w:rPr>
                <w:rFonts w:ascii="Times New Roman" w:eastAsia="Times New Roman" w:hAnsi="Times New Roman"/>
                <w:noProof/>
                <w:color w:val="000000"/>
                <w:sz w:val="18"/>
                <w:szCs w:val="18"/>
              </w:rPr>
            </w:pPr>
            <w:r>
              <w:rPr>
                <w:rFonts w:ascii="Times New Roman" w:hAnsi="Times New Roman"/>
                <w:noProof/>
                <w:sz w:val="18"/>
                <w:szCs w:val="18"/>
              </w:rPr>
              <w:t>France</w:t>
            </w:r>
          </w:p>
        </w:tc>
        <w:tc>
          <w:tcPr>
            <w:tcW w:w="778" w:type="pct"/>
            <w:shd w:val="clear" w:color="auto" w:fill="auto"/>
            <w:noWrap/>
            <w:hideMark/>
          </w:tcPr>
          <w:p>
            <w:pPr>
              <w:spacing w:after="0" w:line="240" w:lineRule="auto"/>
              <w:rPr>
                <w:rFonts w:ascii="Times New Roman" w:eastAsia="Times New Roman" w:hAnsi="Times New Roman"/>
                <w:noProof/>
                <w:color w:val="000000"/>
                <w:sz w:val="18"/>
                <w:szCs w:val="18"/>
                <w:lang w:val="fr-BE"/>
              </w:rPr>
            </w:pPr>
            <w:r>
              <w:rPr>
                <w:rFonts w:ascii="Times New Roman" w:hAnsi="Times New Roman"/>
                <w:noProof/>
                <w:sz w:val="18"/>
                <w:szCs w:val="18"/>
                <w:lang w:val="fr-BE"/>
              </w:rPr>
              <w:t>D et autre (non spécifiée)</w:t>
            </w:r>
          </w:p>
        </w:tc>
        <w:tc>
          <w:tcPr>
            <w:tcW w:w="419" w:type="pct"/>
          </w:tcPr>
          <w:p>
            <w:pPr>
              <w:spacing w:after="0" w:line="240" w:lineRule="auto"/>
              <w:jc w:val="center"/>
              <w:rPr>
                <w:rFonts w:ascii="Wingdings" w:hAnsi="Wingdings"/>
                <w:noProof/>
                <w:sz w:val="16"/>
                <w:szCs w:val="16"/>
                <w:lang w:val="fr-BE"/>
              </w:rPr>
            </w:pPr>
          </w:p>
        </w:tc>
        <w:tc>
          <w:tcPr>
            <w:tcW w:w="419" w:type="pct"/>
          </w:tcPr>
          <w:p>
            <w:pPr>
              <w:spacing w:after="0" w:line="240" w:lineRule="auto"/>
              <w:jc w:val="center"/>
              <w:rPr>
                <w:rFonts w:ascii="Wingdings" w:hAnsi="Wingdings"/>
                <w:noProof/>
                <w:sz w:val="16"/>
                <w:szCs w:val="16"/>
                <w:lang w:val="fr-BE"/>
              </w:rPr>
            </w:pPr>
          </w:p>
        </w:tc>
        <w:tc>
          <w:tcPr>
            <w:tcW w:w="441" w:type="pct"/>
          </w:tcPr>
          <w:p>
            <w:pPr>
              <w:spacing w:after="0" w:line="240" w:lineRule="auto"/>
              <w:jc w:val="center"/>
              <w:rPr>
                <w:rFonts w:ascii="Wingdings" w:hAnsi="Wingdings"/>
                <w:noProof/>
                <w:sz w:val="16"/>
                <w:szCs w:val="16"/>
                <w:lang w:val="fr-BE"/>
              </w:rPr>
            </w:pPr>
          </w:p>
        </w:tc>
        <w:tc>
          <w:tcPr>
            <w:tcW w:w="398" w:type="pct"/>
          </w:tcPr>
          <w:p>
            <w:pPr>
              <w:spacing w:after="0" w:line="240" w:lineRule="auto"/>
              <w:jc w:val="center"/>
              <w:rPr>
                <w:rFonts w:ascii="Wingdings" w:hAnsi="Wingdings"/>
                <w:noProof/>
                <w:sz w:val="16"/>
                <w:szCs w:val="16"/>
                <w:lang w:val="fr-BE"/>
              </w:rPr>
            </w:pPr>
          </w:p>
        </w:tc>
        <w:tc>
          <w:tcPr>
            <w:tcW w:w="419" w:type="pct"/>
          </w:tcPr>
          <w:p>
            <w:pPr>
              <w:spacing w:after="0" w:line="240" w:lineRule="auto"/>
              <w:jc w:val="center"/>
              <w:rPr>
                <w:rFonts w:ascii="Wingdings" w:hAnsi="Wingdings"/>
                <w:noProof/>
                <w:sz w:val="16"/>
                <w:szCs w:val="16"/>
                <w:lang w:val="fr-BE"/>
              </w:rPr>
            </w:pPr>
          </w:p>
        </w:tc>
        <w:tc>
          <w:tcPr>
            <w:tcW w:w="419" w:type="pct"/>
            <w:shd w:val="clear" w:color="auto" w:fill="auto"/>
            <w:noWrap/>
            <w:hideMark/>
          </w:tcPr>
          <w:p>
            <w:pPr>
              <w:spacing w:after="0" w:line="240" w:lineRule="auto"/>
              <w:jc w:val="center"/>
              <w:rPr>
                <w:rFonts w:ascii="Helvetica" w:eastAsia="Times New Roman" w:hAnsi="Helvetica" w:cs="Calibri"/>
                <w:noProof/>
                <w:color w:val="000000"/>
                <w:sz w:val="16"/>
                <w:szCs w:val="16"/>
              </w:rPr>
            </w:pPr>
            <w:r>
              <w:rPr>
                <w:rFonts w:ascii="Wingdings" w:hAnsi="Wingdings"/>
                <w:noProof/>
                <w:sz w:val="16"/>
                <w:szCs w:val="16"/>
              </w:rPr>
              <w:t></w:t>
            </w:r>
          </w:p>
        </w:tc>
        <w:tc>
          <w:tcPr>
            <w:tcW w:w="419" w:type="pct"/>
          </w:tcPr>
          <w:p>
            <w:pPr>
              <w:spacing w:after="0" w:line="240" w:lineRule="auto"/>
              <w:jc w:val="center"/>
              <w:rPr>
                <w:rFonts w:ascii="Helvetica" w:eastAsia="Times New Roman" w:hAnsi="Helvetica" w:cs="Calibri"/>
                <w:noProof/>
                <w:color w:val="000000"/>
                <w:sz w:val="16"/>
                <w:szCs w:val="16"/>
              </w:rPr>
            </w:pPr>
            <w:r>
              <w:rPr>
                <w:rFonts w:ascii="Wingdings" w:hAnsi="Wingdings"/>
                <w:noProof/>
                <w:sz w:val="16"/>
                <w:szCs w:val="16"/>
              </w:rPr>
              <w:t></w:t>
            </w:r>
          </w:p>
        </w:tc>
        <w:tc>
          <w:tcPr>
            <w:tcW w:w="415" w:type="pct"/>
          </w:tcPr>
          <w:p>
            <w:pPr>
              <w:spacing w:after="0" w:line="240" w:lineRule="auto"/>
              <w:jc w:val="center"/>
              <w:rPr>
                <w:rFonts w:ascii="Helvetica" w:eastAsia="Times New Roman" w:hAnsi="Helvetica" w:cs="Calibri"/>
                <w:noProof/>
                <w:color w:val="000000"/>
                <w:sz w:val="16"/>
                <w:szCs w:val="16"/>
              </w:rPr>
            </w:pPr>
            <w:r>
              <w:rPr>
                <w:rFonts w:ascii="Wingdings" w:hAnsi="Wingdings"/>
                <w:noProof/>
                <w:sz w:val="16"/>
                <w:szCs w:val="16"/>
              </w:rPr>
              <w:t></w:t>
            </w:r>
          </w:p>
        </w:tc>
        <w:tc>
          <w:tcPr>
            <w:tcW w:w="415" w:type="pct"/>
            <w:shd w:val="clear" w:color="auto" w:fill="auto"/>
            <w:noWrap/>
            <w:hideMark/>
          </w:tcPr>
          <w:p>
            <w:pPr>
              <w:spacing w:after="0" w:line="240" w:lineRule="auto"/>
              <w:jc w:val="center"/>
              <w:rPr>
                <w:rFonts w:ascii="Helvetica" w:eastAsia="Times New Roman" w:hAnsi="Helvetica" w:cs="Calibri"/>
                <w:noProof/>
                <w:color w:val="000000"/>
                <w:sz w:val="16"/>
                <w:szCs w:val="16"/>
              </w:rPr>
            </w:pPr>
          </w:p>
        </w:tc>
      </w:tr>
      <w:tr>
        <w:trPr>
          <w:trHeight w:val="20"/>
        </w:trPr>
        <w:tc>
          <w:tcPr>
            <w:tcW w:w="457" w:type="pct"/>
            <w:shd w:val="clear" w:color="auto" w:fill="auto"/>
            <w:noWrap/>
            <w:hideMark/>
          </w:tcPr>
          <w:p>
            <w:pPr>
              <w:spacing w:after="0" w:line="240" w:lineRule="auto"/>
              <w:rPr>
                <w:rFonts w:ascii="Times New Roman" w:eastAsia="Times New Roman" w:hAnsi="Times New Roman"/>
                <w:noProof/>
                <w:color w:val="000000"/>
                <w:sz w:val="18"/>
                <w:szCs w:val="18"/>
              </w:rPr>
            </w:pPr>
            <w:r>
              <w:rPr>
                <w:rFonts w:ascii="Times New Roman" w:hAnsi="Times New Roman"/>
                <w:noProof/>
                <w:sz w:val="18"/>
                <w:szCs w:val="18"/>
              </w:rPr>
              <w:t>Allemagne</w:t>
            </w:r>
          </w:p>
        </w:tc>
        <w:tc>
          <w:tcPr>
            <w:tcW w:w="778" w:type="pct"/>
            <w:shd w:val="clear" w:color="auto" w:fill="auto"/>
            <w:noWrap/>
            <w:hideMark/>
          </w:tcPr>
          <w:p>
            <w:pPr>
              <w:spacing w:after="0" w:line="240" w:lineRule="auto"/>
              <w:rPr>
                <w:rFonts w:ascii="Times New Roman" w:eastAsia="Times New Roman" w:hAnsi="Times New Roman"/>
                <w:noProof/>
                <w:color w:val="000000"/>
                <w:sz w:val="18"/>
                <w:szCs w:val="18"/>
              </w:rPr>
            </w:pPr>
            <w:r>
              <w:rPr>
                <w:rFonts w:ascii="Times New Roman" w:hAnsi="Times New Roman"/>
                <w:noProof/>
                <w:sz w:val="18"/>
                <w:szCs w:val="18"/>
              </w:rPr>
              <w:t>AC et D</w:t>
            </w:r>
          </w:p>
        </w:tc>
        <w:tc>
          <w:tcPr>
            <w:tcW w:w="419" w:type="pct"/>
          </w:tcPr>
          <w:p>
            <w:pPr>
              <w:spacing w:after="0" w:line="240" w:lineRule="auto"/>
              <w:jc w:val="center"/>
              <w:rPr>
                <w:rFonts w:ascii="Wingdings" w:hAnsi="Wingdings"/>
                <w:noProof/>
                <w:sz w:val="16"/>
                <w:szCs w:val="16"/>
              </w:rPr>
            </w:pPr>
            <w:r>
              <w:rPr>
                <w:rFonts w:ascii="Wingdings" w:hAnsi="Wingdings"/>
                <w:noProof/>
                <w:sz w:val="16"/>
                <w:szCs w:val="16"/>
              </w:rPr>
              <w:t></w:t>
            </w:r>
          </w:p>
        </w:tc>
        <w:tc>
          <w:tcPr>
            <w:tcW w:w="419" w:type="pct"/>
          </w:tcPr>
          <w:p>
            <w:pPr>
              <w:spacing w:after="0" w:line="240" w:lineRule="auto"/>
              <w:jc w:val="center"/>
              <w:rPr>
                <w:rFonts w:ascii="Wingdings" w:hAnsi="Wingdings"/>
                <w:noProof/>
                <w:sz w:val="16"/>
                <w:szCs w:val="16"/>
              </w:rPr>
            </w:pPr>
            <w:r>
              <w:rPr>
                <w:rFonts w:ascii="Wingdings" w:hAnsi="Wingdings"/>
                <w:noProof/>
                <w:sz w:val="16"/>
                <w:szCs w:val="16"/>
              </w:rPr>
              <w:t></w:t>
            </w:r>
          </w:p>
        </w:tc>
        <w:tc>
          <w:tcPr>
            <w:tcW w:w="441" w:type="pct"/>
          </w:tcPr>
          <w:p>
            <w:pPr>
              <w:spacing w:after="0" w:line="240" w:lineRule="auto"/>
              <w:jc w:val="center"/>
              <w:rPr>
                <w:rFonts w:ascii="Wingdings" w:hAnsi="Wingdings"/>
                <w:noProof/>
                <w:sz w:val="16"/>
                <w:szCs w:val="16"/>
              </w:rPr>
            </w:pPr>
            <w:r>
              <w:rPr>
                <w:rFonts w:ascii="Wingdings" w:hAnsi="Wingdings"/>
                <w:noProof/>
                <w:sz w:val="16"/>
                <w:szCs w:val="16"/>
              </w:rPr>
              <w:t></w:t>
            </w:r>
          </w:p>
        </w:tc>
        <w:tc>
          <w:tcPr>
            <w:tcW w:w="398" w:type="pct"/>
          </w:tcPr>
          <w:p>
            <w:pPr>
              <w:spacing w:after="0" w:line="240" w:lineRule="auto"/>
              <w:jc w:val="center"/>
              <w:rPr>
                <w:rFonts w:ascii="Wingdings" w:hAnsi="Wingdings"/>
                <w:noProof/>
                <w:sz w:val="16"/>
                <w:szCs w:val="16"/>
              </w:rPr>
            </w:pPr>
            <w:r>
              <w:rPr>
                <w:rFonts w:ascii="Wingdings" w:hAnsi="Wingdings"/>
                <w:noProof/>
                <w:sz w:val="16"/>
                <w:szCs w:val="16"/>
              </w:rPr>
              <w:t></w:t>
            </w:r>
          </w:p>
        </w:tc>
        <w:tc>
          <w:tcPr>
            <w:tcW w:w="419" w:type="pct"/>
          </w:tcPr>
          <w:p>
            <w:pPr>
              <w:spacing w:after="0" w:line="240" w:lineRule="auto"/>
              <w:jc w:val="center"/>
              <w:rPr>
                <w:rFonts w:ascii="Wingdings" w:hAnsi="Wingdings"/>
                <w:noProof/>
                <w:sz w:val="16"/>
                <w:szCs w:val="16"/>
              </w:rPr>
            </w:pPr>
            <w:r>
              <w:rPr>
                <w:rFonts w:ascii="Wingdings" w:hAnsi="Wingdings"/>
                <w:noProof/>
                <w:sz w:val="16"/>
                <w:szCs w:val="16"/>
              </w:rPr>
              <w:t></w:t>
            </w:r>
          </w:p>
        </w:tc>
        <w:tc>
          <w:tcPr>
            <w:tcW w:w="419" w:type="pct"/>
            <w:shd w:val="clear" w:color="auto" w:fill="auto"/>
            <w:noWrap/>
            <w:hideMark/>
          </w:tcPr>
          <w:p>
            <w:pPr>
              <w:spacing w:after="0" w:line="240" w:lineRule="auto"/>
              <w:jc w:val="center"/>
              <w:rPr>
                <w:rFonts w:ascii="Helvetica" w:eastAsia="Times New Roman" w:hAnsi="Helvetica" w:cs="Calibri"/>
                <w:noProof/>
                <w:color w:val="000000"/>
                <w:sz w:val="16"/>
                <w:szCs w:val="16"/>
              </w:rPr>
            </w:pPr>
            <w:r>
              <w:rPr>
                <w:rFonts w:ascii="Wingdings" w:hAnsi="Wingdings"/>
                <w:noProof/>
                <w:sz w:val="16"/>
                <w:szCs w:val="16"/>
              </w:rPr>
              <w:t></w:t>
            </w:r>
          </w:p>
        </w:tc>
        <w:tc>
          <w:tcPr>
            <w:tcW w:w="419" w:type="pct"/>
          </w:tcPr>
          <w:p>
            <w:pPr>
              <w:spacing w:after="0" w:line="240" w:lineRule="auto"/>
              <w:jc w:val="center"/>
              <w:rPr>
                <w:rFonts w:ascii="Helvetica" w:eastAsia="Times New Roman" w:hAnsi="Helvetica" w:cs="Calibri"/>
                <w:noProof/>
                <w:color w:val="000000"/>
                <w:sz w:val="16"/>
                <w:szCs w:val="16"/>
              </w:rPr>
            </w:pPr>
            <w:r>
              <w:rPr>
                <w:rFonts w:ascii="Wingdings" w:hAnsi="Wingdings"/>
                <w:noProof/>
                <w:sz w:val="16"/>
                <w:szCs w:val="16"/>
              </w:rPr>
              <w:t></w:t>
            </w:r>
          </w:p>
        </w:tc>
        <w:tc>
          <w:tcPr>
            <w:tcW w:w="415" w:type="pct"/>
          </w:tcPr>
          <w:p>
            <w:pPr>
              <w:spacing w:after="0" w:line="240" w:lineRule="auto"/>
              <w:jc w:val="center"/>
              <w:rPr>
                <w:rFonts w:ascii="Helvetica" w:eastAsia="Times New Roman" w:hAnsi="Helvetica" w:cs="Calibri"/>
                <w:noProof/>
                <w:color w:val="000000"/>
                <w:sz w:val="16"/>
                <w:szCs w:val="16"/>
              </w:rPr>
            </w:pPr>
            <w:r>
              <w:rPr>
                <w:rFonts w:ascii="Wingdings" w:hAnsi="Wingdings"/>
                <w:noProof/>
                <w:sz w:val="16"/>
                <w:szCs w:val="16"/>
              </w:rPr>
              <w:t></w:t>
            </w:r>
          </w:p>
        </w:tc>
        <w:tc>
          <w:tcPr>
            <w:tcW w:w="415" w:type="pct"/>
            <w:shd w:val="clear" w:color="auto" w:fill="auto"/>
            <w:noWrap/>
            <w:hideMark/>
          </w:tcPr>
          <w:p>
            <w:pPr>
              <w:spacing w:after="0" w:line="240" w:lineRule="auto"/>
              <w:jc w:val="center"/>
              <w:rPr>
                <w:rFonts w:ascii="Helvetica" w:eastAsia="Times New Roman" w:hAnsi="Helvetica" w:cs="Calibri"/>
                <w:noProof/>
                <w:color w:val="000000"/>
                <w:sz w:val="16"/>
                <w:szCs w:val="16"/>
              </w:rPr>
            </w:pPr>
          </w:p>
        </w:tc>
      </w:tr>
      <w:tr>
        <w:trPr>
          <w:trHeight w:val="20"/>
        </w:trPr>
        <w:tc>
          <w:tcPr>
            <w:tcW w:w="457" w:type="pct"/>
            <w:shd w:val="clear" w:color="auto" w:fill="auto"/>
            <w:noWrap/>
            <w:hideMark/>
          </w:tcPr>
          <w:p>
            <w:pPr>
              <w:spacing w:after="0" w:line="240" w:lineRule="auto"/>
              <w:rPr>
                <w:rFonts w:ascii="Times New Roman" w:eastAsia="Times New Roman" w:hAnsi="Times New Roman"/>
                <w:noProof/>
                <w:color w:val="000000"/>
                <w:sz w:val="18"/>
                <w:szCs w:val="18"/>
              </w:rPr>
            </w:pPr>
            <w:r>
              <w:rPr>
                <w:rFonts w:ascii="Times New Roman" w:hAnsi="Times New Roman"/>
                <w:noProof/>
                <w:sz w:val="18"/>
                <w:szCs w:val="18"/>
              </w:rPr>
              <w:t>Irlande</w:t>
            </w:r>
          </w:p>
        </w:tc>
        <w:tc>
          <w:tcPr>
            <w:tcW w:w="778" w:type="pct"/>
            <w:shd w:val="clear" w:color="auto" w:fill="auto"/>
            <w:noWrap/>
            <w:hideMark/>
          </w:tcPr>
          <w:p>
            <w:pPr>
              <w:spacing w:after="0" w:line="240" w:lineRule="auto"/>
              <w:rPr>
                <w:rFonts w:ascii="Times New Roman" w:eastAsia="Times New Roman" w:hAnsi="Times New Roman"/>
                <w:noProof/>
                <w:color w:val="000000"/>
                <w:sz w:val="18"/>
                <w:szCs w:val="18"/>
              </w:rPr>
            </w:pPr>
            <w:r>
              <w:rPr>
                <w:rFonts w:ascii="Times New Roman" w:hAnsi="Times New Roman"/>
                <w:noProof/>
                <w:sz w:val="18"/>
                <w:szCs w:val="18"/>
              </w:rPr>
              <w:t>AC</w:t>
            </w:r>
          </w:p>
        </w:tc>
        <w:tc>
          <w:tcPr>
            <w:tcW w:w="419" w:type="pct"/>
          </w:tcPr>
          <w:p>
            <w:pPr>
              <w:spacing w:after="0" w:line="240" w:lineRule="auto"/>
              <w:jc w:val="center"/>
              <w:rPr>
                <w:rFonts w:ascii="Wingdings" w:hAnsi="Wingdings"/>
                <w:noProof/>
                <w:sz w:val="16"/>
                <w:szCs w:val="16"/>
              </w:rPr>
            </w:pPr>
          </w:p>
        </w:tc>
        <w:tc>
          <w:tcPr>
            <w:tcW w:w="419" w:type="pct"/>
          </w:tcPr>
          <w:p>
            <w:pPr>
              <w:spacing w:after="0" w:line="240" w:lineRule="auto"/>
              <w:jc w:val="center"/>
              <w:rPr>
                <w:rFonts w:ascii="Wingdings" w:hAnsi="Wingdings"/>
                <w:noProof/>
                <w:sz w:val="16"/>
                <w:szCs w:val="16"/>
              </w:rPr>
            </w:pPr>
          </w:p>
        </w:tc>
        <w:tc>
          <w:tcPr>
            <w:tcW w:w="441" w:type="pct"/>
          </w:tcPr>
          <w:p>
            <w:pPr>
              <w:spacing w:after="0" w:line="240" w:lineRule="auto"/>
              <w:jc w:val="center"/>
              <w:rPr>
                <w:rFonts w:ascii="Wingdings" w:hAnsi="Wingdings"/>
                <w:noProof/>
                <w:sz w:val="16"/>
                <w:szCs w:val="16"/>
              </w:rPr>
            </w:pPr>
          </w:p>
        </w:tc>
        <w:tc>
          <w:tcPr>
            <w:tcW w:w="398" w:type="pct"/>
          </w:tcPr>
          <w:p>
            <w:pPr>
              <w:spacing w:after="0" w:line="240" w:lineRule="auto"/>
              <w:jc w:val="center"/>
              <w:rPr>
                <w:rFonts w:ascii="Wingdings" w:hAnsi="Wingdings"/>
                <w:noProof/>
                <w:sz w:val="16"/>
                <w:szCs w:val="16"/>
              </w:rPr>
            </w:pPr>
          </w:p>
        </w:tc>
        <w:tc>
          <w:tcPr>
            <w:tcW w:w="419" w:type="pct"/>
          </w:tcPr>
          <w:p>
            <w:pPr>
              <w:spacing w:after="0" w:line="240" w:lineRule="auto"/>
              <w:jc w:val="center"/>
              <w:rPr>
                <w:rFonts w:ascii="Wingdings" w:hAnsi="Wingdings"/>
                <w:noProof/>
                <w:sz w:val="16"/>
                <w:szCs w:val="16"/>
              </w:rPr>
            </w:pPr>
          </w:p>
        </w:tc>
        <w:tc>
          <w:tcPr>
            <w:tcW w:w="419" w:type="pct"/>
            <w:shd w:val="clear" w:color="auto" w:fill="auto"/>
            <w:noWrap/>
            <w:hideMark/>
          </w:tcPr>
          <w:p>
            <w:pPr>
              <w:spacing w:after="0" w:line="240" w:lineRule="auto"/>
              <w:jc w:val="center"/>
              <w:rPr>
                <w:rFonts w:ascii="Helvetica" w:eastAsia="Times New Roman" w:hAnsi="Helvetica" w:cs="Calibri"/>
                <w:noProof/>
                <w:color w:val="000000"/>
                <w:sz w:val="16"/>
                <w:szCs w:val="16"/>
              </w:rPr>
            </w:pPr>
            <w:r>
              <w:rPr>
                <w:rFonts w:ascii="Wingdings" w:hAnsi="Wingdings"/>
                <w:noProof/>
                <w:sz w:val="16"/>
                <w:szCs w:val="16"/>
              </w:rPr>
              <w:t></w:t>
            </w:r>
          </w:p>
        </w:tc>
        <w:tc>
          <w:tcPr>
            <w:tcW w:w="419" w:type="pct"/>
          </w:tcPr>
          <w:p>
            <w:pPr>
              <w:spacing w:after="0" w:line="240" w:lineRule="auto"/>
              <w:jc w:val="center"/>
              <w:rPr>
                <w:rFonts w:ascii="Helvetica" w:eastAsia="Times New Roman" w:hAnsi="Helvetica" w:cs="Calibri"/>
                <w:noProof/>
                <w:color w:val="000000"/>
                <w:sz w:val="16"/>
                <w:szCs w:val="16"/>
              </w:rPr>
            </w:pPr>
            <w:r>
              <w:rPr>
                <w:rFonts w:ascii="Wingdings" w:hAnsi="Wingdings"/>
                <w:noProof/>
                <w:sz w:val="16"/>
                <w:szCs w:val="16"/>
              </w:rPr>
              <w:t></w:t>
            </w:r>
          </w:p>
        </w:tc>
        <w:tc>
          <w:tcPr>
            <w:tcW w:w="415" w:type="pct"/>
          </w:tcPr>
          <w:p>
            <w:pPr>
              <w:spacing w:after="0" w:line="240" w:lineRule="auto"/>
              <w:jc w:val="center"/>
              <w:rPr>
                <w:rFonts w:ascii="Helvetica" w:eastAsia="Times New Roman" w:hAnsi="Helvetica" w:cs="Calibri"/>
                <w:noProof/>
                <w:color w:val="000000"/>
                <w:sz w:val="16"/>
                <w:szCs w:val="16"/>
              </w:rPr>
            </w:pPr>
            <w:r>
              <w:rPr>
                <w:rFonts w:ascii="Wingdings" w:hAnsi="Wingdings"/>
                <w:noProof/>
                <w:sz w:val="16"/>
                <w:szCs w:val="16"/>
              </w:rPr>
              <w:t></w:t>
            </w:r>
          </w:p>
        </w:tc>
        <w:tc>
          <w:tcPr>
            <w:tcW w:w="415" w:type="pct"/>
            <w:shd w:val="clear" w:color="auto" w:fill="auto"/>
            <w:noWrap/>
            <w:hideMark/>
          </w:tcPr>
          <w:p>
            <w:pPr>
              <w:spacing w:after="0" w:line="240" w:lineRule="auto"/>
              <w:jc w:val="center"/>
              <w:rPr>
                <w:rFonts w:ascii="Helvetica" w:eastAsia="Times New Roman" w:hAnsi="Helvetica" w:cs="Calibri"/>
                <w:noProof/>
                <w:color w:val="000000"/>
                <w:sz w:val="16"/>
                <w:szCs w:val="16"/>
              </w:rPr>
            </w:pPr>
          </w:p>
        </w:tc>
      </w:tr>
      <w:tr>
        <w:trPr>
          <w:trHeight w:val="20"/>
        </w:trPr>
        <w:tc>
          <w:tcPr>
            <w:tcW w:w="457" w:type="pct"/>
            <w:shd w:val="clear" w:color="auto" w:fill="auto"/>
            <w:noWrap/>
            <w:hideMark/>
          </w:tcPr>
          <w:p>
            <w:pPr>
              <w:spacing w:after="0" w:line="240" w:lineRule="auto"/>
              <w:rPr>
                <w:rFonts w:ascii="Times New Roman" w:eastAsia="Times New Roman" w:hAnsi="Times New Roman"/>
                <w:noProof/>
                <w:color w:val="000000"/>
                <w:sz w:val="18"/>
                <w:szCs w:val="18"/>
              </w:rPr>
            </w:pPr>
            <w:r>
              <w:rPr>
                <w:rFonts w:ascii="Times New Roman" w:hAnsi="Times New Roman"/>
                <w:noProof/>
                <w:sz w:val="18"/>
                <w:szCs w:val="18"/>
              </w:rPr>
              <w:t>Italie</w:t>
            </w:r>
          </w:p>
        </w:tc>
        <w:tc>
          <w:tcPr>
            <w:tcW w:w="778" w:type="pct"/>
            <w:shd w:val="clear" w:color="auto" w:fill="auto"/>
            <w:noWrap/>
            <w:hideMark/>
          </w:tcPr>
          <w:p>
            <w:pPr>
              <w:spacing w:after="0" w:line="240" w:lineRule="auto"/>
              <w:rPr>
                <w:rFonts w:ascii="Times New Roman" w:eastAsia="Times New Roman" w:hAnsi="Times New Roman"/>
                <w:noProof/>
                <w:color w:val="000000"/>
                <w:sz w:val="18"/>
                <w:szCs w:val="18"/>
              </w:rPr>
            </w:pPr>
            <w:r>
              <w:rPr>
                <w:rFonts w:ascii="Times New Roman" w:hAnsi="Times New Roman"/>
                <w:noProof/>
                <w:sz w:val="18"/>
                <w:szCs w:val="18"/>
              </w:rPr>
              <w:t>AC et D</w:t>
            </w:r>
          </w:p>
        </w:tc>
        <w:tc>
          <w:tcPr>
            <w:tcW w:w="419" w:type="pct"/>
          </w:tcPr>
          <w:p>
            <w:pPr>
              <w:spacing w:after="0" w:line="240" w:lineRule="auto"/>
              <w:jc w:val="center"/>
              <w:rPr>
                <w:rFonts w:ascii="Wingdings" w:hAnsi="Wingdings"/>
                <w:noProof/>
                <w:sz w:val="16"/>
                <w:szCs w:val="16"/>
              </w:rPr>
            </w:pPr>
          </w:p>
        </w:tc>
        <w:tc>
          <w:tcPr>
            <w:tcW w:w="419" w:type="pct"/>
          </w:tcPr>
          <w:p>
            <w:pPr>
              <w:spacing w:after="0" w:line="240" w:lineRule="auto"/>
              <w:jc w:val="center"/>
              <w:rPr>
                <w:rFonts w:ascii="Wingdings" w:hAnsi="Wingdings"/>
                <w:noProof/>
                <w:sz w:val="16"/>
                <w:szCs w:val="16"/>
              </w:rPr>
            </w:pPr>
          </w:p>
        </w:tc>
        <w:tc>
          <w:tcPr>
            <w:tcW w:w="441" w:type="pct"/>
          </w:tcPr>
          <w:p>
            <w:pPr>
              <w:spacing w:after="0" w:line="240" w:lineRule="auto"/>
              <w:jc w:val="center"/>
              <w:rPr>
                <w:rFonts w:ascii="Wingdings" w:hAnsi="Wingdings"/>
                <w:noProof/>
                <w:sz w:val="16"/>
                <w:szCs w:val="16"/>
              </w:rPr>
            </w:pPr>
            <w:r>
              <w:rPr>
                <w:rFonts w:ascii="Wingdings" w:hAnsi="Wingdings"/>
                <w:noProof/>
                <w:sz w:val="16"/>
                <w:szCs w:val="16"/>
              </w:rPr>
              <w:t></w:t>
            </w:r>
          </w:p>
        </w:tc>
        <w:tc>
          <w:tcPr>
            <w:tcW w:w="398" w:type="pct"/>
          </w:tcPr>
          <w:p>
            <w:pPr>
              <w:spacing w:after="0" w:line="240" w:lineRule="auto"/>
              <w:jc w:val="center"/>
              <w:rPr>
                <w:rFonts w:ascii="Wingdings" w:hAnsi="Wingdings"/>
                <w:noProof/>
                <w:sz w:val="16"/>
                <w:szCs w:val="16"/>
              </w:rPr>
            </w:pPr>
            <w:r>
              <w:rPr>
                <w:rFonts w:ascii="Wingdings" w:hAnsi="Wingdings"/>
                <w:noProof/>
                <w:sz w:val="16"/>
                <w:szCs w:val="16"/>
              </w:rPr>
              <w:t></w:t>
            </w:r>
          </w:p>
        </w:tc>
        <w:tc>
          <w:tcPr>
            <w:tcW w:w="419" w:type="pct"/>
          </w:tcPr>
          <w:p>
            <w:pPr>
              <w:spacing w:after="0" w:line="240" w:lineRule="auto"/>
              <w:jc w:val="center"/>
              <w:rPr>
                <w:rFonts w:ascii="Wingdings" w:hAnsi="Wingdings"/>
                <w:noProof/>
                <w:sz w:val="16"/>
                <w:szCs w:val="16"/>
              </w:rPr>
            </w:pPr>
          </w:p>
        </w:tc>
        <w:tc>
          <w:tcPr>
            <w:tcW w:w="419" w:type="pct"/>
            <w:shd w:val="clear" w:color="auto" w:fill="auto"/>
            <w:noWrap/>
            <w:hideMark/>
          </w:tcPr>
          <w:p>
            <w:pPr>
              <w:spacing w:after="0" w:line="240" w:lineRule="auto"/>
              <w:jc w:val="center"/>
              <w:rPr>
                <w:rFonts w:ascii="Helvetica" w:eastAsia="Times New Roman" w:hAnsi="Helvetica" w:cs="Calibri"/>
                <w:noProof/>
                <w:color w:val="000000"/>
                <w:sz w:val="16"/>
                <w:szCs w:val="16"/>
              </w:rPr>
            </w:pPr>
            <w:r>
              <w:rPr>
                <w:rFonts w:ascii="Wingdings" w:hAnsi="Wingdings"/>
                <w:noProof/>
                <w:sz w:val="16"/>
                <w:szCs w:val="16"/>
              </w:rPr>
              <w:t></w:t>
            </w:r>
          </w:p>
        </w:tc>
        <w:tc>
          <w:tcPr>
            <w:tcW w:w="419" w:type="pct"/>
          </w:tcPr>
          <w:p>
            <w:pPr>
              <w:spacing w:after="0" w:line="240" w:lineRule="auto"/>
              <w:jc w:val="center"/>
              <w:rPr>
                <w:rFonts w:ascii="Helvetica" w:eastAsia="Times New Roman" w:hAnsi="Helvetica" w:cs="Calibri"/>
                <w:noProof/>
                <w:color w:val="000000"/>
                <w:sz w:val="16"/>
                <w:szCs w:val="16"/>
              </w:rPr>
            </w:pPr>
          </w:p>
        </w:tc>
        <w:tc>
          <w:tcPr>
            <w:tcW w:w="415" w:type="pct"/>
          </w:tcPr>
          <w:p>
            <w:pPr>
              <w:spacing w:after="0" w:line="240" w:lineRule="auto"/>
              <w:jc w:val="center"/>
              <w:rPr>
                <w:rFonts w:ascii="Helvetica" w:eastAsia="Times New Roman" w:hAnsi="Helvetica" w:cs="Calibri"/>
                <w:noProof/>
                <w:color w:val="000000"/>
                <w:sz w:val="16"/>
                <w:szCs w:val="16"/>
              </w:rPr>
            </w:pPr>
          </w:p>
        </w:tc>
        <w:tc>
          <w:tcPr>
            <w:tcW w:w="415" w:type="pct"/>
            <w:shd w:val="clear" w:color="auto" w:fill="auto"/>
            <w:noWrap/>
            <w:hideMark/>
          </w:tcPr>
          <w:p>
            <w:pPr>
              <w:spacing w:after="0" w:line="240" w:lineRule="auto"/>
              <w:jc w:val="center"/>
              <w:rPr>
                <w:rFonts w:ascii="Helvetica" w:eastAsia="Times New Roman" w:hAnsi="Helvetica" w:cs="Calibri"/>
                <w:noProof/>
                <w:color w:val="000000"/>
                <w:sz w:val="16"/>
                <w:szCs w:val="16"/>
              </w:rPr>
            </w:pPr>
          </w:p>
        </w:tc>
      </w:tr>
      <w:tr>
        <w:trPr>
          <w:trHeight w:val="20"/>
        </w:trPr>
        <w:tc>
          <w:tcPr>
            <w:tcW w:w="457" w:type="pct"/>
            <w:shd w:val="clear" w:color="auto" w:fill="auto"/>
            <w:noWrap/>
            <w:hideMark/>
          </w:tcPr>
          <w:p>
            <w:pPr>
              <w:spacing w:after="0" w:line="240" w:lineRule="auto"/>
              <w:rPr>
                <w:rFonts w:ascii="Times New Roman" w:eastAsia="Times New Roman" w:hAnsi="Times New Roman"/>
                <w:noProof/>
                <w:color w:val="000000"/>
                <w:sz w:val="18"/>
                <w:szCs w:val="18"/>
              </w:rPr>
            </w:pPr>
            <w:r>
              <w:rPr>
                <w:rFonts w:ascii="Times New Roman" w:hAnsi="Times New Roman"/>
                <w:noProof/>
                <w:sz w:val="18"/>
                <w:szCs w:val="18"/>
              </w:rPr>
              <w:t>Lituanie</w:t>
            </w:r>
          </w:p>
        </w:tc>
        <w:tc>
          <w:tcPr>
            <w:tcW w:w="778" w:type="pct"/>
            <w:shd w:val="clear" w:color="auto" w:fill="auto"/>
            <w:noWrap/>
            <w:hideMark/>
          </w:tcPr>
          <w:p>
            <w:pPr>
              <w:spacing w:after="0" w:line="240" w:lineRule="auto"/>
              <w:rPr>
                <w:rFonts w:ascii="Times New Roman" w:eastAsia="Times New Roman" w:hAnsi="Times New Roman"/>
                <w:noProof/>
                <w:color w:val="000000"/>
                <w:sz w:val="18"/>
                <w:szCs w:val="18"/>
                <w:lang w:val="fr-BE"/>
              </w:rPr>
            </w:pPr>
            <w:r>
              <w:rPr>
                <w:rFonts w:ascii="Times New Roman" w:hAnsi="Times New Roman"/>
                <w:noProof/>
                <w:sz w:val="18"/>
                <w:szCs w:val="18"/>
                <w:lang w:val="fr-BE"/>
              </w:rPr>
              <w:t>D et autre (non spécifiée)</w:t>
            </w:r>
          </w:p>
        </w:tc>
        <w:tc>
          <w:tcPr>
            <w:tcW w:w="419" w:type="pct"/>
          </w:tcPr>
          <w:p>
            <w:pPr>
              <w:spacing w:after="0" w:line="240" w:lineRule="auto"/>
              <w:jc w:val="center"/>
              <w:rPr>
                <w:rFonts w:ascii="Wingdings" w:hAnsi="Wingdings"/>
                <w:noProof/>
                <w:sz w:val="16"/>
                <w:szCs w:val="16"/>
                <w:lang w:val="fr-BE"/>
              </w:rPr>
            </w:pPr>
          </w:p>
        </w:tc>
        <w:tc>
          <w:tcPr>
            <w:tcW w:w="419" w:type="pct"/>
          </w:tcPr>
          <w:p>
            <w:pPr>
              <w:spacing w:after="0" w:line="240" w:lineRule="auto"/>
              <w:jc w:val="center"/>
              <w:rPr>
                <w:rFonts w:ascii="Wingdings" w:hAnsi="Wingdings"/>
                <w:noProof/>
                <w:sz w:val="16"/>
                <w:szCs w:val="16"/>
                <w:lang w:val="fr-BE"/>
              </w:rPr>
            </w:pPr>
          </w:p>
        </w:tc>
        <w:tc>
          <w:tcPr>
            <w:tcW w:w="441" w:type="pct"/>
          </w:tcPr>
          <w:p>
            <w:pPr>
              <w:spacing w:after="0" w:line="240" w:lineRule="auto"/>
              <w:jc w:val="center"/>
              <w:rPr>
                <w:rFonts w:ascii="Wingdings" w:hAnsi="Wingdings"/>
                <w:noProof/>
                <w:sz w:val="16"/>
                <w:szCs w:val="16"/>
                <w:lang w:val="fr-BE"/>
              </w:rPr>
            </w:pPr>
          </w:p>
        </w:tc>
        <w:tc>
          <w:tcPr>
            <w:tcW w:w="398" w:type="pct"/>
          </w:tcPr>
          <w:p>
            <w:pPr>
              <w:spacing w:after="0" w:line="240" w:lineRule="auto"/>
              <w:jc w:val="center"/>
              <w:rPr>
                <w:rFonts w:ascii="Wingdings" w:hAnsi="Wingdings"/>
                <w:noProof/>
                <w:sz w:val="16"/>
                <w:szCs w:val="16"/>
                <w:lang w:val="fr-BE"/>
              </w:rPr>
            </w:pPr>
          </w:p>
        </w:tc>
        <w:tc>
          <w:tcPr>
            <w:tcW w:w="419" w:type="pct"/>
          </w:tcPr>
          <w:p>
            <w:pPr>
              <w:spacing w:after="0" w:line="240" w:lineRule="auto"/>
              <w:jc w:val="center"/>
              <w:rPr>
                <w:rFonts w:ascii="Wingdings" w:hAnsi="Wingdings"/>
                <w:noProof/>
                <w:sz w:val="16"/>
                <w:szCs w:val="16"/>
                <w:lang w:val="fr-BE"/>
              </w:rPr>
            </w:pPr>
          </w:p>
        </w:tc>
        <w:tc>
          <w:tcPr>
            <w:tcW w:w="419" w:type="pct"/>
            <w:shd w:val="clear" w:color="auto" w:fill="auto"/>
            <w:noWrap/>
            <w:hideMark/>
          </w:tcPr>
          <w:p>
            <w:pPr>
              <w:spacing w:after="0" w:line="240" w:lineRule="auto"/>
              <w:jc w:val="center"/>
              <w:rPr>
                <w:rFonts w:ascii="Helvetica" w:eastAsia="Times New Roman" w:hAnsi="Helvetica" w:cs="Calibri"/>
                <w:noProof/>
                <w:color w:val="000000"/>
                <w:sz w:val="16"/>
                <w:szCs w:val="16"/>
              </w:rPr>
            </w:pPr>
            <w:r>
              <w:rPr>
                <w:rFonts w:ascii="Wingdings" w:hAnsi="Wingdings"/>
                <w:noProof/>
                <w:sz w:val="16"/>
                <w:szCs w:val="16"/>
              </w:rPr>
              <w:t></w:t>
            </w:r>
          </w:p>
        </w:tc>
        <w:tc>
          <w:tcPr>
            <w:tcW w:w="419" w:type="pct"/>
          </w:tcPr>
          <w:p>
            <w:pPr>
              <w:spacing w:after="0" w:line="240" w:lineRule="auto"/>
              <w:jc w:val="center"/>
              <w:rPr>
                <w:rFonts w:ascii="Helvetica" w:eastAsia="Times New Roman" w:hAnsi="Helvetica" w:cs="Calibri"/>
                <w:noProof/>
                <w:color w:val="000000"/>
                <w:sz w:val="16"/>
                <w:szCs w:val="16"/>
              </w:rPr>
            </w:pPr>
            <w:r>
              <w:rPr>
                <w:rFonts w:ascii="Wingdings" w:hAnsi="Wingdings"/>
                <w:noProof/>
                <w:sz w:val="16"/>
                <w:szCs w:val="16"/>
              </w:rPr>
              <w:t></w:t>
            </w:r>
          </w:p>
        </w:tc>
        <w:tc>
          <w:tcPr>
            <w:tcW w:w="415" w:type="pct"/>
          </w:tcPr>
          <w:p>
            <w:pPr>
              <w:spacing w:after="0" w:line="240" w:lineRule="auto"/>
              <w:jc w:val="center"/>
              <w:rPr>
                <w:rFonts w:ascii="Wingdings" w:hAnsi="Wingdings"/>
                <w:noProof/>
                <w:sz w:val="16"/>
                <w:szCs w:val="16"/>
              </w:rPr>
            </w:pPr>
            <w:r>
              <w:rPr>
                <w:rFonts w:ascii="Wingdings" w:hAnsi="Wingdings"/>
                <w:noProof/>
                <w:sz w:val="16"/>
                <w:szCs w:val="16"/>
              </w:rPr>
              <w:t></w:t>
            </w:r>
          </w:p>
        </w:tc>
        <w:tc>
          <w:tcPr>
            <w:tcW w:w="415" w:type="pct"/>
            <w:shd w:val="clear" w:color="auto" w:fill="auto"/>
            <w:noWrap/>
            <w:hideMark/>
          </w:tcPr>
          <w:p>
            <w:pPr>
              <w:spacing w:after="0" w:line="240" w:lineRule="auto"/>
              <w:jc w:val="center"/>
              <w:rPr>
                <w:rFonts w:ascii="Helvetica" w:eastAsia="Times New Roman" w:hAnsi="Helvetica" w:cs="Calibri"/>
                <w:noProof/>
                <w:color w:val="000000"/>
                <w:sz w:val="16"/>
                <w:szCs w:val="16"/>
              </w:rPr>
            </w:pPr>
            <w:r>
              <w:rPr>
                <w:rFonts w:ascii="Wingdings" w:hAnsi="Wingdings"/>
                <w:noProof/>
                <w:sz w:val="16"/>
                <w:szCs w:val="16"/>
              </w:rPr>
              <w:t></w:t>
            </w:r>
          </w:p>
        </w:tc>
      </w:tr>
      <w:tr>
        <w:trPr>
          <w:trHeight w:val="20"/>
        </w:trPr>
        <w:tc>
          <w:tcPr>
            <w:tcW w:w="457" w:type="pct"/>
            <w:shd w:val="clear" w:color="auto" w:fill="auto"/>
            <w:noWrap/>
            <w:hideMark/>
          </w:tcPr>
          <w:p>
            <w:pPr>
              <w:spacing w:after="0" w:line="240" w:lineRule="auto"/>
              <w:rPr>
                <w:rFonts w:ascii="Times New Roman" w:eastAsia="Times New Roman" w:hAnsi="Times New Roman"/>
                <w:noProof/>
                <w:color w:val="000000"/>
                <w:sz w:val="18"/>
                <w:szCs w:val="18"/>
              </w:rPr>
            </w:pPr>
            <w:r>
              <w:rPr>
                <w:rFonts w:ascii="Times New Roman" w:hAnsi="Times New Roman"/>
                <w:noProof/>
                <w:sz w:val="18"/>
                <w:szCs w:val="18"/>
              </w:rPr>
              <w:t>Malte</w:t>
            </w:r>
          </w:p>
        </w:tc>
        <w:tc>
          <w:tcPr>
            <w:tcW w:w="778" w:type="pct"/>
            <w:shd w:val="clear" w:color="auto" w:fill="auto"/>
            <w:noWrap/>
            <w:hideMark/>
          </w:tcPr>
          <w:p>
            <w:pPr>
              <w:spacing w:after="0" w:line="240" w:lineRule="auto"/>
              <w:rPr>
                <w:rFonts w:ascii="Times New Roman" w:eastAsia="Times New Roman" w:hAnsi="Times New Roman"/>
                <w:noProof/>
                <w:color w:val="000000"/>
                <w:sz w:val="18"/>
                <w:szCs w:val="18"/>
                <w:lang w:val="fr-BE"/>
              </w:rPr>
            </w:pPr>
            <w:r>
              <w:rPr>
                <w:rFonts w:ascii="Times New Roman" w:hAnsi="Times New Roman"/>
                <w:noProof/>
                <w:sz w:val="18"/>
                <w:szCs w:val="18"/>
                <w:lang w:val="fr-BE"/>
              </w:rPr>
              <w:t>AC et D et autre (non spécifiée)</w:t>
            </w:r>
          </w:p>
        </w:tc>
        <w:tc>
          <w:tcPr>
            <w:tcW w:w="419" w:type="pct"/>
            <w:shd w:val="clear" w:color="auto" w:fill="auto"/>
          </w:tcPr>
          <w:p>
            <w:pPr>
              <w:spacing w:after="0" w:line="240" w:lineRule="auto"/>
              <w:jc w:val="center"/>
              <w:rPr>
                <w:rFonts w:ascii="Wingdings" w:hAnsi="Wingdings"/>
                <w:noProof/>
                <w:sz w:val="16"/>
                <w:szCs w:val="16"/>
                <w:lang w:val="fr-BE"/>
              </w:rPr>
            </w:pPr>
          </w:p>
        </w:tc>
        <w:tc>
          <w:tcPr>
            <w:tcW w:w="419" w:type="pct"/>
            <w:shd w:val="clear" w:color="auto" w:fill="auto"/>
          </w:tcPr>
          <w:p>
            <w:pPr>
              <w:spacing w:after="0" w:line="240" w:lineRule="auto"/>
              <w:jc w:val="center"/>
              <w:rPr>
                <w:rFonts w:ascii="Wingdings" w:hAnsi="Wingdings"/>
                <w:noProof/>
                <w:sz w:val="16"/>
                <w:szCs w:val="16"/>
                <w:lang w:val="fr-BE"/>
              </w:rPr>
            </w:pPr>
          </w:p>
        </w:tc>
        <w:tc>
          <w:tcPr>
            <w:tcW w:w="441" w:type="pct"/>
            <w:shd w:val="clear" w:color="auto" w:fill="auto"/>
          </w:tcPr>
          <w:p>
            <w:pPr>
              <w:spacing w:after="0" w:line="240" w:lineRule="auto"/>
              <w:jc w:val="center"/>
              <w:rPr>
                <w:rFonts w:ascii="Wingdings" w:hAnsi="Wingdings"/>
                <w:noProof/>
                <w:sz w:val="16"/>
                <w:szCs w:val="16"/>
                <w:lang w:val="fr-BE"/>
              </w:rPr>
            </w:pPr>
          </w:p>
        </w:tc>
        <w:tc>
          <w:tcPr>
            <w:tcW w:w="398" w:type="pct"/>
            <w:shd w:val="clear" w:color="auto" w:fill="auto"/>
          </w:tcPr>
          <w:p>
            <w:pPr>
              <w:spacing w:after="0" w:line="240" w:lineRule="auto"/>
              <w:jc w:val="center"/>
              <w:rPr>
                <w:rFonts w:ascii="Wingdings" w:hAnsi="Wingdings"/>
                <w:noProof/>
                <w:sz w:val="16"/>
                <w:szCs w:val="16"/>
                <w:lang w:val="fr-BE"/>
              </w:rPr>
            </w:pPr>
          </w:p>
        </w:tc>
        <w:tc>
          <w:tcPr>
            <w:tcW w:w="419" w:type="pct"/>
            <w:shd w:val="clear" w:color="auto" w:fill="auto"/>
          </w:tcPr>
          <w:p>
            <w:pPr>
              <w:spacing w:after="0" w:line="240" w:lineRule="auto"/>
              <w:jc w:val="center"/>
              <w:rPr>
                <w:rFonts w:ascii="Wingdings" w:hAnsi="Wingdings"/>
                <w:noProof/>
                <w:sz w:val="16"/>
                <w:szCs w:val="16"/>
                <w:lang w:val="fr-BE"/>
              </w:rPr>
            </w:pPr>
          </w:p>
        </w:tc>
        <w:tc>
          <w:tcPr>
            <w:tcW w:w="419" w:type="pct"/>
            <w:shd w:val="clear" w:color="auto" w:fill="auto"/>
            <w:noWrap/>
            <w:hideMark/>
          </w:tcPr>
          <w:p>
            <w:pPr>
              <w:spacing w:after="0" w:line="240" w:lineRule="auto"/>
              <w:jc w:val="center"/>
              <w:rPr>
                <w:rFonts w:ascii="Helvetica" w:eastAsia="Times New Roman" w:hAnsi="Helvetica" w:cs="Calibri"/>
                <w:noProof/>
                <w:color w:val="000000"/>
                <w:sz w:val="16"/>
                <w:szCs w:val="16"/>
              </w:rPr>
            </w:pPr>
            <w:r>
              <w:rPr>
                <w:rFonts w:ascii="Wingdings" w:hAnsi="Wingdings"/>
                <w:noProof/>
                <w:sz w:val="16"/>
                <w:szCs w:val="16"/>
              </w:rPr>
              <w:t></w:t>
            </w:r>
          </w:p>
        </w:tc>
        <w:tc>
          <w:tcPr>
            <w:tcW w:w="419" w:type="pct"/>
            <w:shd w:val="clear" w:color="auto" w:fill="auto"/>
          </w:tcPr>
          <w:p>
            <w:pPr>
              <w:spacing w:after="0" w:line="240" w:lineRule="auto"/>
              <w:jc w:val="center"/>
              <w:rPr>
                <w:rFonts w:ascii="Helvetica" w:eastAsia="Times New Roman" w:hAnsi="Helvetica" w:cs="Calibri"/>
                <w:noProof/>
                <w:color w:val="000000"/>
                <w:sz w:val="16"/>
                <w:szCs w:val="16"/>
              </w:rPr>
            </w:pPr>
            <w:r>
              <w:rPr>
                <w:rFonts w:ascii="Wingdings" w:hAnsi="Wingdings"/>
                <w:noProof/>
                <w:sz w:val="16"/>
                <w:szCs w:val="16"/>
              </w:rPr>
              <w:t></w:t>
            </w:r>
          </w:p>
        </w:tc>
        <w:tc>
          <w:tcPr>
            <w:tcW w:w="415" w:type="pct"/>
            <w:shd w:val="clear" w:color="auto" w:fill="auto"/>
          </w:tcPr>
          <w:p>
            <w:pPr>
              <w:spacing w:after="0" w:line="240" w:lineRule="auto"/>
              <w:jc w:val="center"/>
              <w:rPr>
                <w:rFonts w:ascii="Wingdings" w:hAnsi="Wingdings"/>
                <w:noProof/>
                <w:sz w:val="16"/>
                <w:szCs w:val="16"/>
              </w:rPr>
            </w:pPr>
            <w:r>
              <w:rPr>
                <w:rFonts w:ascii="Wingdings" w:hAnsi="Wingdings"/>
                <w:noProof/>
                <w:sz w:val="16"/>
                <w:szCs w:val="16"/>
              </w:rPr>
              <w:t></w:t>
            </w:r>
          </w:p>
        </w:tc>
        <w:tc>
          <w:tcPr>
            <w:tcW w:w="415" w:type="pct"/>
            <w:shd w:val="clear" w:color="auto" w:fill="auto"/>
            <w:noWrap/>
            <w:hideMark/>
          </w:tcPr>
          <w:p>
            <w:pPr>
              <w:spacing w:after="0" w:line="240" w:lineRule="auto"/>
              <w:jc w:val="center"/>
              <w:rPr>
                <w:rFonts w:ascii="Helvetica" w:eastAsia="Times New Roman" w:hAnsi="Helvetica" w:cs="Calibri"/>
                <w:noProof/>
                <w:color w:val="000000"/>
                <w:sz w:val="16"/>
                <w:szCs w:val="16"/>
              </w:rPr>
            </w:pPr>
            <w:r>
              <w:rPr>
                <w:rFonts w:ascii="Wingdings" w:hAnsi="Wingdings"/>
                <w:noProof/>
                <w:sz w:val="16"/>
                <w:szCs w:val="16"/>
              </w:rPr>
              <w:t></w:t>
            </w:r>
          </w:p>
        </w:tc>
      </w:tr>
      <w:tr>
        <w:trPr>
          <w:trHeight w:val="20"/>
        </w:trPr>
        <w:tc>
          <w:tcPr>
            <w:tcW w:w="457" w:type="pct"/>
            <w:shd w:val="clear" w:color="auto" w:fill="auto"/>
            <w:noWrap/>
            <w:hideMark/>
          </w:tcPr>
          <w:p>
            <w:pPr>
              <w:spacing w:after="0" w:line="240" w:lineRule="auto"/>
              <w:rPr>
                <w:rFonts w:ascii="Times New Roman" w:eastAsia="Times New Roman" w:hAnsi="Times New Roman"/>
                <w:noProof/>
                <w:color w:val="000000"/>
                <w:sz w:val="18"/>
                <w:szCs w:val="18"/>
              </w:rPr>
            </w:pPr>
            <w:r>
              <w:rPr>
                <w:rFonts w:ascii="Times New Roman" w:hAnsi="Times New Roman"/>
                <w:noProof/>
                <w:sz w:val="18"/>
                <w:szCs w:val="18"/>
              </w:rPr>
              <w:t>Pays-Bas</w:t>
            </w:r>
          </w:p>
        </w:tc>
        <w:tc>
          <w:tcPr>
            <w:tcW w:w="778" w:type="pct"/>
            <w:shd w:val="clear" w:color="auto" w:fill="auto"/>
            <w:noWrap/>
            <w:hideMark/>
          </w:tcPr>
          <w:p>
            <w:pPr>
              <w:spacing w:after="0" w:line="240" w:lineRule="auto"/>
              <w:rPr>
                <w:rFonts w:ascii="Times New Roman" w:eastAsia="Times New Roman" w:hAnsi="Times New Roman"/>
                <w:noProof/>
                <w:color w:val="000000"/>
                <w:sz w:val="18"/>
                <w:szCs w:val="18"/>
                <w:lang w:val="fr-BE"/>
              </w:rPr>
            </w:pPr>
            <w:r>
              <w:rPr>
                <w:rFonts w:ascii="Times New Roman" w:hAnsi="Times New Roman"/>
                <w:noProof/>
                <w:sz w:val="18"/>
                <w:szCs w:val="18"/>
                <w:lang w:val="fr-BE"/>
              </w:rPr>
              <w:t>D et autre (non spécifiée)</w:t>
            </w:r>
          </w:p>
        </w:tc>
        <w:tc>
          <w:tcPr>
            <w:tcW w:w="419" w:type="pct"/>
          </w:tcPr>
          <w:p>
            <w:pPr>
              <w:spacing w:after="0" w:line="240" w:lineRule="auto"/>
              <w:jc w:val="center"/>
              <w:rPr>
                <w:rFonts w:ascii="Wingdings" w:hAnsi="Wingdings"/>
                <w:noProof/>
                <w:sz w:val="16"/>
                <w:szCs w:val="16"/>
              </w:rPr>
            </w:pPr>
            <w:r>
              <w:rPr>
                <w:rFonts w:ascii="Wingdings" w:hAnsi="Wingdings"/>
                <w:noProof/>
                <w:sz w:val="16"/>
                <w:szCs w:val="16"/>
              </w:rPr>
              <w:t></w:t>
            </w:r>
          </w:p>
        </w:tc>
        <w:tc>
          <w:tcPr>
            <w:tcW w:w="419" w:type="pct"/>
          </w:tcPr>
          <w:p>
            <w:pPr>
              <w:spacing w:after="0" w:line="240" w:lineRule="auto"/>
              <w:jc w:val="center"/>
              <w:rPr>
                <w:rFonts w:ascii="Wingdings" w:hAnsi="Wingdings"/>
                <w:noProof/>
                <w:sz w:val="16"/>
                <w:szCs w:val="16"/>
              </w:rPr>
            </w:pPr>
          </w:p>
        </w:tc>
        <w:tc>
          <w:tcPr>
            <w:tcW w:w="441" w:type="pct"/>
          </w:tcPr>
          <w:p>
            <w:pPr>
              <w:spacing w:after="0" w:line="240" w:lineRule="auto"/>
              <w:jc w:val="center"/>
              <w:rPr>
                <w:rFonts w:ascii="Wingdings" w:hAnsi="Wingdings"/>
                <w:noProof/>
                <w:sz w:val="16"/>
                <w:szCs w:val="16"/>
              </w:rPr>
            </w:pPr>
            <w:r>
              <w:rPr>
                <w:rFonts w:ascii="Wingdings" w:hAnsi="Wingdings"/>
                <w:noProof/>
                <w:sz w:val="16"/>
                <w:szCs w:val="16"/>
              </w:rPr>
              <w:t></w:t>
            </w:r>
          </w:p>
        </w:tc>
        <w:tc>
          <w:tcPr>
            <w:tcW w:w="398" w:type="pct"/>
          </w:tcPr>
          <w:p>
            <w:pPr>
              <w:spacing w:after="0" w:line="240" w:lineRule="auto"/>
              <w:jc w:val="center"/>
              <w:rPr>
                <w:rFonts w:ascii="Helvetica" w:eastAsia="Times New Roman" w:hAnsi="Helvetica" w:cs="Calibri"/>
                <w:noProof/>
                <w:color w:val="000000"/>
                <w:sz w:val="16"/>
                <w:szCs w:val="16"/>
              </w:rPr>
            </w:pPr>
            <w:r>
              <w:rPr>
                <w:rFonts w:ascii="Wingdings" w:hAnsi="Wingdings"/>
                <w:noProof/>
                <w:sz w:val="16"/>
                <w:szCs w:val="16"/>
              </w:rPr>
              <w:t></w:t>
            </w:r>
          </w:p>
        </w:tc>
        <w:tc>
          <w:tcPr>
            <w:tcW w:w="419" w:type="pct"/>
          </w:tcPr>
          <w:p>
            <w:pPr>
              <w:spacing w:after="0" w:line="240" w:lineRule="auto"/>
              <w:jc w:val="center"/>
              <w:rPr>
                <w:rFonts w:ascii="Helvetica" w:eastAsia="Times New Roman" w:hAnsi="Helvetica" w:cs="Calibri"/>
                <w:noProof/>
                <w:color w:val="000000"/>
                <w:sz w:val="16"/>
                <w:szCs w:val="16"/>
              </w:rPr>
            </w:pPr>
            <w:r>
              <w:rPr>
                <w:rFonts w:ascii="Wingdings" w:hAnsi="Wingdings"/>
                <w:noProof/>
                <w:sz w:val="16"/>
                <w:szCs w:val="16"/>
              </w:rPr>
              <w:t></w:t>
            </w:r>
          </w:p>
        </w:tc>
        <w:tc>
          <w:tcPr>
            <w:tcW w:w="419" w:type="pct"/>
            <w:shd w:val="clear" w:color="auto" w:fill="auto"/>
            <w:noWrap/>
            <w:hideMark/>
          </w:tcPr>
          <w:p>
            <w:pPr>
              <w:spacing w:after="0" w:line="240" w:lineRule="auto"/>
              <w:jc w:val="center"/>
              <w:rPr>
                <w:rFonts w:ascii="Helvetica" w:eastAsia="Times New Roman" w:hAnsi="Helvetica" w:cs="Calibri"/>
                <w:noProof/>
                <w:color w:val="000000"/>
                <w:sz w:val="16"/>
                <w:szCs w:val="16"/>
              </w:rPr>
            </w:pPr>
          </w:p>
        </w:tc>
        <w:tc>
          <w:tcPr>
            <w:tcW w:w="419" w:type="pct"/>
          </w:tcPr>
          <w:p>
            <w:pPr>
              <w:spacing w:after="0" w:line="240" w:lineRule="auto"/>
              <w:jc w:val="center"/>
              <w:rPr>
                <w:rFonts w:ascii="Helvetica" w:eastAsia="Times New Roman" w:hAnsi="Helvetica" w:cs="Calibri"/>
                <w:noProof/>
                <w:color w:val="000000"/>
                <w:sz w:val="16"/>
                <w:szCs w:val="16"/>
              </w:rPr>
            </w:pPr>
            <w:r>
              <w:rPr>
                <w:rFonts w:ascii="Wingdings" w:hAnsi="Wingdings"/>
                <w:noProof/>
                <w:sz w:val="16"/>
                <w:szCs w:val="16"/>
              </w:rPr>
              <w:t></w:t>
            </w:r>
          </w:p>
        </w:tc>
        <w:tc>
          <w:tcPr>
            <w:tcW w:w="415" w:type="pct"/>
          </w:tcPr>
          <w:p>
            <w:pPr>
              <w:spacing w:after="0" w:line="240" w:lineRule="auto"/>
              <w:jc w:val="center"/>
              <w:rPr>
                <w:rFonts w:ascii="Wingdings" w:hAnsi="Wingdings"/>
                <w:noProof/>
                <w:sz w:val="16"/>
                <w:szCs w:val="16"/>
              </w:rPr>
            </w:pPr>
            <w:r>
              <w:rPr>
                <w:rFonts w:ascii="Wingdings" w:hAnsi="Wingdings"/>
                <w:noProof/>
                <w:sz w:val="16"/>
                <w:szCs w:val="16"/>
              </w:rPr>
              <w:t></w:t>
            </w:r>
          </w:p>
        </w:tc>
        <w:tc>
          <w:tcPr>
            <w:tcW w:w="415" w:type="pct"/>
            <w:shd w:val="clear" w:color="auto" w:fill="auto"/>
            <w:noWrap/>
            <w:hideMark/>
          </w:tcPr>
          <w:p>
            <w:pPr>
              <w:spacing w:after="0" w:line="240" w:lineRule="auto"/>
              <w:jc w:val="center"/>
              <w:rPr>
                <w:rFonts w:ascii="Helvetica" w:eastAsia="Times New Roman" w:hAnsi="Helvetica" w:cs="Calibri"/>
                <w:noProof/>
                <w:color w:val="000000"/>
                <w:sz w:val="16"/>
                <w:szCs w:val="16"/>
              </w:rPr>
            </w:pPr>
            <w:r>
              <w:rPr>
                <w:rFonts w:ascii="Wingdings" w:hAnsi="Wingdings"/>
                <w:noProof/>
                <w:sz w:val="16"/>
                <w:szCs w:val="16"/>
              </w:rPr>
              <w:t></w:t>
            </w:r>
          </w:p>
        </w:tc>
      </w:tr>
      <w:tr>
        <w:trPr>
          <w:trHeight w:val="20"/>
        </w:trPr>
        <w:tc>
          <w:tcPr>
            <w:tcW w:w="457" w:type="pct"/>
            <w:shd w:val="clear" w:color="auto" w:fill="auto"/>
            <w:noWrap/>
            <w:hideMark/>
          </w:tcPr>
          <w:p>
            <w:pPr>
              <w:spacing w:after="0" w:line="240" w:lineRule="auto"/>
              <w:rPr>
                <w:rFonts w:ascii="Times New Roman" w:eastAsia="Times New Roman" w:hAnsi="Times New Roman"/>
                <w:noProof/>
                <w:color w:val="000000"/>
                <w:sz w:val="18"/>
                <w:szCs w:val="18"/>
              </w:rPr>
            </w:pPr>
            <w:r>
              <w:rPr>
                <w:rFonts w:ascii="Times New Roman" w:hAnsi="Times New Roman"/>
                <w:noProof/>
                <w:sz w:val="18"/>
                <w:szCs w:val="18"/>
              </w:rPr>
              <w:t>Pologne</w:t>
            </w:r>
          </w:p>
        </w:tc>
        <w:tc>
          <w:tcPr>
            <w:tcW w:w="778" w:type="pct"/>
            <w:shd w:val="clear" w:color="auto" w:fill="auto"/>
            <w:noWrap/>
            <w:hideMark/>
          </w:tcPr>
          <w:p>
            <w:pPr>
              <w:spacing w:after="0" w:line="240" w:lineRule="auto"/>
              <w:rPr>
                <w:rFonts w:ascii="Times New Roman" w:eastAsia="Times New Roman" w:hAnsi="Times New Roman"/>
                <w:noProof/>
                <w:color w:val="000000"/>
                <w:sz w:val="18"/>
                <w:szCs w:val="18"/>
                <w:lang w:val="fr-BE"/>
              </w:rPr>
            </w:pPr>
            <w:r>
              <w:rPr>
                <w:rFonts w:ascii="Times New Roman" w:hAnsi="Times New Roman"/>
                <w:noProof/>
                <w:sz w:val="18"/>
                <w:szCs w:val="18"/>
                <w:lang w:val="fr-BE"/>
              </w:rPr>
              <w:t>D et autre (non spécifiée)</w:t>
            </w:r>
          </w:p>
        </w:tc>
        <w:tc>
          <w:tcPr>
            <w:tcW w:w="419" w:type="pct"/>
          </w:tcPr>
          <w:p>
            <w:pPr>
              <w:spacing w:after="0" w:line="240" w:lineRule="auto"/>
              <w:jc w:val="center"/>
              <w:rPr>
                <w:rFonts w:ascii="Wingdings" w:hAnsi="Wingdings"/>
                <w:noProof/>
                <w:sz w:val="16"/>
                <w:szCs w:val="16"/>
              </w:rPr>
            </w:pPr>
            <w:r>
              <w:rPr>
                <w:rFonts w:ascii="Wingdings" w:hAnsi="Wingdings"/>
                <w:noProof/>
                <w:sz w:val="16"/>
                <w:szCs w:val="16"/>
              </w:rPr>
              <w:t></w:t>
            </w:r>
          </w:p>
        </w:tc>
        <w:tc>
          <w:tcPr>
            <w:tcW w:w="419" w:type="pct"/>
          </w:tcPr>
          <w:p>
            <w:pPr>
              <w:spacing w:after="0" w:line="240" w:lineRule="auto"/>
              <w:jc w:val="center"/>
              <w:rPr>
                <w:rFonts w:ascii="Wingdings" w:hAnsi="Wingdings"/>
                <w:noProof/>
                <w:sz w:val="16"/>
                <w:szCs w:val="16"/>
              </w:rPr>
            </w:pPr>
          </w:p>
        </w:tc>
        <w:tc>
          <w:tcPr>
            <w:tcW w:w="441" w:type="pct"/>
          </w:tcPr>
          <w:p>
            <w:pPr>
              <w:spacing w:after="0" w:line="240" w:lineRule="auto"/>
              <w:jc w:val="center"/>
              <w:rPr>
                <w:rFonts w:ascii="Wingdings" w:hAnsi="Wingdings"/>
                <w:noProof/>
                <w:sz w:val="16"/>
                <w:szCs w:val="16"/>
              </w:rPr>
            </w:pPr>
            <w:r>
              <w:rPr>
                <w:rFonts w:ascii="Wingdings" w:hAnsi="Wingdings"/>
                <w:noProof/>
                <w:sz w:val="16"/>
                <w:szCs w:val="16"/>
              </w:rPr>
              <w:t></w:t>
            </w:r>
          </w:p>
        </w:tc>
        <w:tc>
          <w:tcPr>
            <w:tcW w:w="398" w:type="pct"/>
          </w:tcPr>
          <w:p>
            <w:pPr>
              <w:spacing w:after="0" w:line="240" w:lineRule="auto"/>
              <w:jc w:val="center"/>
              <w:rPr>
                <w:rFonts w:ascii="Helvetica" w:eastAsia="Times New Roman" w:hAnsi="Helvetica" w:cs="Calibri"/>
                <w:noProof/>
                <w:color w:val="000000"/>
                <w:sz w:val="16"/>
                <w:szCs w:val="16"/>
              </w:rPr>
            </w:pPr>
            <w:r>
              <w:rPr>
                <w:rFonts w:ascii="Wingdings" w:hAnsi="Wingdings"/>
                <w:noProof/>
                <w:sz w:val="16"/>
                <w:szCs w:val="16"/>
              </w:rPr>
              <w:t></w:t>
            </w:r>
          </w:p>
        </w:tc>
        <w:tc>
          <w:tcPr>
            <w:tcW w:w="419" w:type="pct"/>
          </w:tcPr>
          <w:p>
            <w:pPr>
              <w:spacing w:after="0" w:line="240" w:lineRule="auto"/>
              <w:jc w:val="center"/>
              <w:rPr>
                <w:rFonts w:ascii="Helvetica" w:eastAsia="Times New Roman" w:hAnsi="Helvetica" w:cs="Calibri"/>
                <w:noProof/>
                <w:color w:val="000000"/>
                <w:sz w:val="16"/>
                <w:szCs w:val="16"/>
              </w:rPr>
            </w:pPr>
          </w:p>
        </w:tc>
        <w:tc>
          <w:tcPr>
            <w:tcW w:w="419" w:type="pct"/>
            <w:shd w:val="clear" w:color="auto" w:fill="auto"/>
            <w:noWrap/>
            <w:hideMark/>
          </w:tcPr>
          <w:p>
            <w:pPr>
              <w:spacing w:after="0" w:line="240" w:lineRule="auto"/>
              <w:jc w:val="center"/>
              <w:rPr>
                <w:rFonts w:ascii="Helvetica" w:eastAsia="Times New Roman" w:hAnsi="Helvetica" w:cs="Calibri"/>
                <w:noProof/>
                <w:color w:val="000000"/>
                <w:sz w:val="16"/>
                <w:szCs w:val="16"/>
              </w:rPr>
            </w:pPr>
            <w:r>
              <w:rPr>
                <w:rFonts w:ascii="Wingdings" w:hAnsi="Wingdings"/>
                <w:noProof/>
                <w:sz w:val="16"/>
                <w:szCs w:val="16"/>
              </w:rPr>
              <w:t></w:t>
            </w:r>
          </w:p>
        </w:tc>
        <w:tc>
          <w:tcPr>
            <w:tcW w:w="419" w:type="pct"/>
          </w:tcPr>
          <w:p>
            <w:pPr>
              <w:spacing w:after="0" w:line="240" w:lineRule="auto"/>
              <w:jc w:val="center"/>
              <w:rPr>
                <w:rFonts w:ascii="Helvetica" w:eastAsia="Times New Roman" w:hAnsi="Helvetica" w:cs="Calibri"/>
                <w:noProof/>
                <w:color w:val="000000"/>
                <w:sz w:val="16"/>
                <w:szCs w:val="16"/>
              </w:rPr>
            </w:pPr>
            <w:r>
              <w:rPr>
                <w:rFonts w:ascii="Wingdings" w:hAnsi="Wingdings"/>
                <w:noProof/>
                <w:sz w:val="16"/>
                <w:szCs w:val="16"/>
              </w:rPr>
              <w:t></w:t>
            </w:r>
          </w:p>
        </w:tc>
        <w:tc>
          <w:tcPr>
            <w:tcW w:w="415" w:type="pct"/>
          </w:tcPr>
          <w:p>
            <w:pPr>
              <w:spacing w:after="0" w:line="240" w:lineRule="auto"/>
              <w:jc w:val="center"/>
              <w:rPr>
                <w:rFonts w:ascii="Wingdings" w:hAnsi="Wingdings"/>
                <w:noProof/>
                <w:sz w:val="16"/>
                <w:szCs w:val="16"/>
              </w:rPr>
            </w:pPr>
          </w:p>
        </w:tc>
        <w:tc>
          <w:tcPr>
            <w:tcW w:w="415" w:type="pct"/>
            <w:shd w:val="clear" w:color="auto" w:fill="auto"/>
            <w:noWrap/>
            <w:hideMark/>
          </w:tcPr>
          <w:p>
            <w:pPr>
              <w:spacing w:after="0" w:line="240" w:lineRule="auto"/>
              <w:jc w:val="center"/>
              <w:rPr>
                <w:rFonts w:ascii="Helvetica" w:eastAsia="Times New Roman" w:hAnsi="Helvetica" w:cs="Calibri"/>
                <w:noProof/>
                <w:color w:val="000000"/>
                <w:sz w:val="16"/>
                <w:szCs w:val="16"/>
              </w:rPr>
            </w:pPr>
            <w:r>
              <w:rPr>
                <w:rFonts w:ascii="Wingdings" w:hAnsi="Wingdings"/>
                <w:noProof/>
                <w:sz w:val="16"/>
                <w:szCs w:val="16"/>
              </w:rPr>
              <w:t></w:t>
            </w:r>
          </w:p>
        </w:tc>
      </w:tr>
      <w:tr>
        <w:trPr>
          <w:trHeight w:val="20"/>
        </w:trPr>
        <w:tc>
          <w:tcPr>
            <w:tcW w:w="457" w:type="pct"/>
            <w:shd w:val="clear" w:color="auto" w:fill="auto"/>
            <w:noWrap/>
            <w:hideMark/>
          </w:tcPr>
          <w:p>
            <w:pPr>
              <w:spacing w:after="0" w:line="240" w:lineRule="auto"/>
              <w:rPr>
                <w:rFonts w:ascii="Times New Roman" w:eastAsia="Times New Roman" w:hAnsi="Times New Roman"/>
                <w:noProof/>
                <w:color w:val="000000"/>
                <w:sz w:val="18"/>
                <w:szCs w:val="18"/>
              </w:rPr>
            </w:pPr>
            <w:r>
              <w:rPr>
                <w:rFonts w:ascii="Times New Roman" w:hAnsi="Times New Roman"/>
                <w:noProof/>
                <w:sz w:val="18"/>
                <w:szCs w:val="18"/>
              </w:rPr>
              <w:t>Roumanie</w:t>
            </w:r>
          </w:p>
        </w:tc>
        <w:tc>
          <w:tcPr>
            <w:tcW w:w="778" w:type="pct"/>
            <w:shd w:val="clear" w:color="auto" w:fill="auto"/>
            <w:noWrap/>
            <w:hideMark/>
          </w:tcPr>
          <w:p>
            <w:pPr>
              <w:spacing w:after="0" w:line="240" w:lineRule="auto"/>
              <w:rPr>
                <w:rFonts w:ascii="Times New Roman" w:eastAsia="Times New Roman" w:hAnsi="Times New Roman"/>
                <w:noProof/>
                <w:color w:val="000000"/>
                <w:sz w:val="18"/>
                <w:szCs w:val="18"/>
                <w:lang w:val="fr-BE"/>
              </w:rPr>
            </w:pPr>
            <w:r>
              <w:rPr>
                <w:rFonts w:ascii="Times New Roman" w:hAnsi="Times New Roman"/>
                <w:noProof/>
                <w:sz w:val="18"/>
                <w:szCs w:val="18"/>
                <w:lang w:val="fr-BE"/>
              </w:rPr>
              <w:t>AC et D et autre (non spécifiée)</w:t>
            </w:r>
          </w:p>
        </w:tc>
        <w:tc>
          <w:tcPr>
            <w:tcW w:w="419" w:type="pct"/>
          </w:tcPr>
          <w:p>
            <w:pPr>
              <w:spacing w:after="0" w:line="240" w:lineRule="auto"/>
              <w:jc w:val="center"/>
              <w:rPr>
                <w:rFonts w:ascii="Wingdings" w:hAnsi="Wingdings"/>
                <w:noProof/>
                <w:sz w:val="16"/>
                <w:szCs w:val="16"/>
                <w:lang w:val="fr-BE"/>
              </w:rPr>
            </w:pPr>
          </w:p>
        </w:tc>
        <w:tc>
          <w:tcPr>
            <w:tcW w:w="419" w:type="pct"/>
          </w:tcPr>
          <w:p>
            <w:pPr>
              <w:spacing w:after="0" w:line="240" w:lineRule="auto"/>
              <w:jc w:val="center"/>
              <w:rPr>
                <w:rFonts w:ascii="Wingdings" w:hAnsi="Wingdings"/>
                <w:noProof/>
                <w:sz w:val="16"/>
                <w:szCs w:val="16"/>
                <w:lang w:val="fr-BE"/>
              </w:rPr>
            </w:pPr>
          </w:p>
        </w:tc>
        <w:tc>
          <w:tcPr>
            <w:tcW w:w="441" w:type="pct"/>
          </w:tcPr>
          <w:p>
            <w:pPr>
              <w:spacing w:after="0" w:line="240" w:lineRule="auto"/>
              <w:jc w:val="center"/>
              <w:rPr>
                <w:rFonts w:ascii="Helvetica" w:eastAsia="Times New Roman" w:hAnsi="Helvetica" w:cs="Calibri"/>
                <w:noProof/>
                <w:color w:val="000000"/>
                <w:sz w:val="16"/>
                <w:szCs w:val="16"/>
              </w:rPr>
            </w:pPr>
            <w:r>
              <w:rPr>
                <w:rFonts w:ascii="Wingdings" w:hAnsi="Wingdings"/>
                <w:noProof/>
                <w:sz w:val="16"/>
                <w:szCs w:val="16"/>
              </w:rPr>
              <w:t></w:t>
            </w:r>
          </w:p>
        </w:tc>
        <w:tc>
          <w:tcPr>
            <w:tcW w:w="398" w:type="pct"/>
          </w:tcPr>
          <w:p>
            <w:pPr>
              <w:spacing w:after="0" w:line="240" w:lineRule="auto"/>
              <w:jc w:val="center"/>
              <w:rPr>
                <w:rFonts w:ascii="Helvetica" w:eastAsia="Times New Roman" w:hAnsi="Helvetica" w:cs="Calibri"/>
                <w:noProof/>
                <w:color w:val="000000"/>
                <w:sz w:val="16"/>
                <w:szCs w:val="16"/>
              </w:rPr>
            </w:pPr>
          </w:p>
        </w:tc>
        <w:tc>
          <w:tcPr>
            <w:tcW w:w="419" w:type="pct"/>
          </w:tcPr>
          <w:p>
            <w:pPr>
              <w:spacing w:after="0" w:line="240" w:lineRule="auto"/>
              <w:jc w:val="center"/>
              <w:rPr>
                <w:rFonts w:ascii="Helvetica" w:eastAsia="Times New Roman" w:hAnsi="Helvetica" w:cs="Calibri"/>
                <w:noProof/>
                <w:color w:val="000000"/>
                <w:sz w:val="16"/>
                <w:szCs w:val="16"/>
              </w:rPr>
            </w:pPr>
          </w:p>
        </w:tc>
        <w:tc>
          <w:tcPr>
            <w:tcW w:w="419" w:type="pct"/>
            <w:shd w:val="clear" w:color="auto" w:fill="auto"/>
            <w:noWrap/>
            <w:hideMark/>
          </w:tcPr>
          <w:p>
            <w:pPr>
              <w:spacing w:after="0" w:line="240" w:lineRule="auto"/>
              <w:jc w:val="center"/>
              <w:rPr>
                <w:rFonts w:ascii="Helvetica" w:eastAsia="Times New Roman" w:hAnsi="Helvetica" w:cs="Calibri"/>
                <w:noProof/>
                <w:color w:val="000000"/>
                <w:sz w:val="16"/>
                <w:szCs w:val="16"/>
              </w:rPr>
            </w:pPr>
          </w:p>
        </w:tc>
        <w:tc>
          <w:tcPr>
            <w:tcW w:w="419" w:type="pct"/>
          </w:tcPr>
          <w:p>
            <w:pPr>
              <w:spacing w:after="0" w:line="240" w:lineRule="auto"/>
              <w:jc w:val="center"/>
              <w:rPr>
                <w:rFonts w:ascii="Helvetica" w:eastAsia="Times New Roman" w:hAnsi="Helvetica" w:cs="Calibri"/>
                <w:noProof/>
                <w:color w:val="000000"/>
                <w:sz w:val="16"/>
                <w:szCs w:val="16"/>
              </w:rPr>
            </w:pPr>
            <w:r>
              <w:rPr>
                <w:rFonts w:ascii="Wingdings" w:hAnsi="Wingdings"/>
                <w:noProof/>
                <w:sz w:val="16"/>
                <w:szCs w:val="16"/>
              </w:rPr>
              <w:t></w:t>
            </w:r>
          </w:p>
        </w:tc>
        <w:tc>
          <w:tcPr>
            <w:tcW w:w="415" w:type="pct"/>
          </w:tcPr>
          <w:p>
            <w:pPr>
              <w:spacing w:after="0" w:line="240" w:lineRule="auto"/>
              <w:jc w:val="center"/>
              <w:rPr>
                <w:rFonts w:ascii="Wingdings" w:hAnsi="Wingdings"/>
                <w:noProof/>
                <w:sz w:val="16"/>
                <w:szCs w:val="16"/>
              </w:rPr>
            </w:pPr>
          </w:p>
        </w:tc>
        <w:tc>
          <w:tcPr>
            <w:tcW w:w="415" w:type="pct"/>
            <w:shd w:val="clear" w:color="auto" w:fill="auto"/>
            <w:noWrap/>
            <w:hideMark/>
          </w:tcPr>
          <w:p>
            <w:pPr>
              <w:spacing w:after="0" w:line="240" w:lineRule="auto"/>
              <w:jc w:val="center"/>
              <w:rPr>
                <w:rFonts w:ascii="Helvetica" w:eastAsia="Times New Roman" w:hAnsi="Helvetica" w:cs="Calibri"/>
                <w:noProof/>
                <w:color w:val="000000"/>
                <w:sz w:val="16"/>
                <w:szCs w:val="16"/>
              </w:rPr>
            </w:pPr>
            <w:r>
              <w:rPr>
                <w:rFonts w:ascii="Wingdings" w:hAnsi="Wingdings"/>
                <w:noProof/>
                <w:sz w:val="16"/>
                <w:szCs w:val="16"/>
              </w:rPr>
              <w:t></w:t>
            </w:r>
          </w:p>
        </w:tc>
      </w:tr>
      <w:tr>
        <w:trPr>
          <w:trHeight w:val="20"/>
        </w:trPr>
        <w:tc>
          <w:tcPr>
            <w:tcW w:w="457" w:type="pct"/>
            <w:shd w:val="clear" w:color="auto" w:fill="auto"/>
            <w:noWrap/>
            <w:hideMark/>
          </w:tcPr>
          <w:p>
            <w:pPr>
              <w:spacing w:after="0" w:line="240" w:lineRule="auto"/>
              <w:rPr>
                <w:rFonts w:ascii="Times New Roman" w:eastAsia="Times New Roman" w:hAnsi="Times New Roman"/>
                <w:noProof/>
                <w:color w:val="000000"/>
                <w:sz w:val="18"/>
                <w:szCs w:val="18"/>
              </w:rPr>
            </w:pPr>
            <w:r>
              <w:rPr>
                <w:rFonts w:ascii="Times New Roman" w:hAnsi="Times New Roman"/>
                <w:noProof/>
                <w:sz w:val="18"/>
                <w:szCs w:val="18"/>
              </w:rPr>
              <w:t>Slovaquie</w:t>
            </w:r>
          </w:p>
        </w:tc>
        <w:tc>
          <w:tcPr>
            <w:tcW w:w="778" w:type="pct"/>
            <w:shd w:val="clear" w:color="auto" w:fill="auto"/>
            <w:noWrap/>
            <w:hideMark/>
          </w:tcPr>
          <w:p>
            <w:pPr>
              <w:spacing w:after="0" w:line="240" w:lineRule="auto"/>
              <w:rPr>
                <w:rFonts w:ascii="Times New Roman" w:eastAsia="Times New Roman" w:hAnsi="Times New Roman"/>
                <w:noProof/>
                <w:color w:val="000000"/>
                <w:sz w:val="18"/>
                <w:szCs w:val="18"/>
              </w:rPr>
            </w:pPr>
            <w:r>
              <w:rPr>
                <w:rFonts w:ascii="Times New Roman" w:hAnsi="Times New Roman"/>
                <w:noProof/>
                <w:sz w:val="18"/>
                <w:szCs w:val="18"/>
              </w:rPr>
              <w:t>AC et D</w:t>
            </w:r>
          </w:p>
        </w:tc>
        <w:tc>
          <w:tcPr>
            <w:tcW w:w="419" w:type="pct"/>
          </w:tcPr>
          <w:p>
            <w:pPr>
              <w:spacing w:after="0" w:line="240" w:lineRule="auto"/>
              <w:jc w:val="center"/>
              <w:rPr>
                <w:rFonts w:ascii="Wingdings" w:hAnsi="Wingdings"/>
                <w:noProof/>
                <w:sz w:val="16"/>
                <w:szCs w:val="16"/>
              </w:rPr>
            </w:pPr>
            <w:r>
              <w:rPr>
                <w:rFonts w:ascii="Wingdings" w:hAnsi="Wingdings"/>
                <w:noProof/>
                <w:sz w:val="16"/>
                <w:szCs w:val="16"/>
              </w:rPr>
              <w:t></w:t>
            </w:r>
          </w:p>
        </w:tc>
        <w:tc>
          <w:tcPr>
            <w:tcW w:w="419" w:type="pct"/>
          </w:tcPr>
          <w:p>
            <w:pPr>
              <w:spacing w:after="0" w:line="240" w:lineRule="auto"/>
              <w:jc w:val="center"/>
              <w:rPr>
                <w:rFonts w:ascii="Wingdings" w:hAnsi="Wingdings"/>
                <w:noProof/>
                <w:sz w:val="16"/>
                <w:szCs w:val="16"/>
              </w:rPr>
            </w:pPr>
            <w:r>
              <w:rPr>
                <w:rFonts w:ascii="Wingdings" w:hAnsi="Wingdings"/>
                <w:noProof/>
                <w:sz w:val="16"/>
                <w:szCs w:val="16"/>
              </w:rPr>
              <w:t></w:t>
            </w:r>
          </w:p>
        </w:tc>
        <w:tc>
          <w:tcPr>
            <w:tcW w:w="441" w:type="pct"/>
          </w:tcPr>
          <w:p>
            <w:pPr>
              <w:spacing w:after="0" w:line="240" w:lineRule="auto"/>
              <w:jc w:val="center"/>
              <w:rPr>
                <w:rFonts w:ascii="Wingdings" w:hAnsi="Wingdings"/>
                <w:noProof/>
                <w:sz w:val="16"/>
                <w:szCs w:val="16"/>
              </w:rPr>
            </w:pPr>
            <w:r>
              <w:rPr>
                <w:rFonts w:ascii="Wingdings" w:hAnsi="Wingdings"/>
                <w:noProof/>
                <w:sz w:val="16"/>
                <w:szCs w:val="16"/>
              </w:rPr>
              <w:t></w:t>
            </w:r>
          </w:p>
        </w:tc>
        <w:tc>
          <w:tcPr>
            <w:tcW w:w="398" w:type="pct"/>
          </w:tcPr>
          <w:p>
            <w:pPr>
              <w:spacing w:after="0" w:line="240" w:lineRule="auto"/>
              <w:jc w:val="center"/>
              <w:rPr>
                <w:rFonts w:ascii="Wingdings" w:hAnsi="Wingdings"/>
                <w:noProof/>
                <w:sz w:val="16"/>
                <w:szCs w:val="16"/>
              </w:rPr>
            </w:pPr>
            <w:r>
              <w:rPr>
                <w:rFonts w:ascii="Wingdings" w:hAnsi="Wingdings"/>
                <w:noProof/>
                <w:sz w:val="16"/>
                <w:szCs w:val="16"/>
              </w:rPr>
              <w:t></w:t>
            </w:r>
          </w:p>
        </w:tc>
        <w:tc>
          <w:tcPr>
            <w:tcW w:w="419" w:type="pct"/>
          </w:tcPr>
          <w:p>
            <w:pPr>
              <w:spacing w:after="0" w:line="240" w:lineRule="auto"/>
              <w:jc w:val="center"/>
              <w:rPr>
                <w:rFonts w:ascii="Wingdings" w:hAnsi="Wingdings"/>
                <w:noProof/>
                <w:sz w:val="16"/>
                <w:szCs w:val="16"/>
              </w:rPr>
            </w:pPr>
            <w:r>
              <w:rPr>
                <w:rFonts w:ascii="Wingdings" w:hAnsi="Wingdings"/>
                <w:noProof/>
                <w:sz w:val="16"/>
                <w:szCs w:val="16"/>
              </w:rPr>
              <w:t></w:t>
            </w:r>
          </w:p>
        </w:tc>
        <w:tc>
          <w:tcPr>
            <w:tcW w:w="419" w:type="pct"/>
            <w:shd w:val="clear" w:color="auto" w:fill="auto"/>
            <w:noWrap/>
            <w:hideMark/>
          </w:tcPr>
          <w:p>
            <w:pPr>
              <w:spacing w:after="0" w:line="240" w:lineRule="auto"/>
              <w:jc w:val="center"/>
              <w:rPr>
                <w:rFonts w:ascii="Helvetica" w:eastAsia="Times New Roman" w:hAnsi="Helvetica" w:cs="Calibri"/>
                <w:noProof/>
                <w:color w:val="000000"/>
                <w:sz w:val="16"/>
                <w:szCs w:val="16"/>
              </w:rPr>
            </w:pPr>
            <w:r>
              <w:rPr>
                <w:rFonts w:ascii="Wingdings" w:hAnsi="Wingdings"/>
                <w:noProof/>
                <w:sz w:val="16"/>
                <w:szCs w:val="16"/>
              </w:rPr>
              <w:t></w:t>
            </w:r>
          </w:p>
        </w:tc>
        <w:tc>
          <w:tcPr>
            <w:tcW w:w="419" w:type="pct"/>
          </w:tcPr>
          <w:p>
            <w:pPr>
              <w:spacing w:after="0" w:line="240" w:lineRule="auto"/>
              <w:jc w:val="center"/>
              <w:rPr>
                <w:rFonts w:ascii="Helvetica" w:eastAsia="Times New Roman" w:hAnsi="Helvetica" w:cs="Calibri"/>
                <w:noProof/>
                <w:color w:val="000000"/>
                <w:sz w:val="16"/>
                <w:szCs w:val="16"/>
              </w:rPr>
            </w:pPr>
          </w:p>
        </w:tc>
        <w:tc>
          <w:tcPr>
            <w:tcW w:w="415" w:type="pct"/>
          </w:tcPr>
          <w:p>
            <w:pPr>
              <w:spacing w:after="0" w:line="240" w:lineRule="auto"/>
              <w:jc w:val="center"/>
              <w:rPr>
                <w:rFonts w:ascii="Helvetica" w:eastAsia="Times New Roman" w:hAnsi="Helvetica" w:cs="Calibri"/>
                <w:noProof/>
                <w:color w:val="000000"/>
                <w:sz w:val="16"/>
                <w:szCs w:val="16"/>
              </w:rPr>
            </w:pPr>
          </w:p>
        </w:tc>
        <w:tc>
          <w:tcPr>
            <w:tcW w:w="415" w:type="pct"/>
            <w:shd w:val="clear" w:color="auto" w:fill="auto"/>
            <w:noWrap/>
            <w:hideMark/>
          </w:tcPr>
          <w:p>
            <w:pPr>
              <w:spacing w:after="0" w:line="240" w:lineRule="auto"/>
              <w:jc w:val="center"/>
              <w:rPr>
                <w:rFonts w:ascii="Helvetica" w:eastAsia="Times New Roman" w:hAnsi="Helvetica" w:cs="Calibri"/>
                <w:noProof/>
                <w:color w:val="000000"/>
                <w:sz w:val="16"/>
                <w:szCs w:val="16"/>
              </w:rPr>
            </w:pPr>
          </w:p>
        </w:tc>
      </w:tr>
      <w:tr>
        <w:trPr>
          <w:trHeight w:val="20"/>
        </w:trPr>
        <w:tc>
          <w:tcPr>
            <w:tcW w:w="457" w:type="pct"/>
            <w:shd w:val="clear" w:color="auto" w:fill="auto"/>
            <w:noWrap/>
            <w:hideMark/>
          </w:tcPr>
          <w:p>
            <w:pPr>
              <w:spacing w:after="0" w:line="240" w:lineRule="auto"/>
              <w:rPr>
                <w:rFonts w:ascii="Times New Roman" w:eastAsia="Times New Roman" w:hAnsi="Times New Roman"/>
                <w:noProof/>
                <w:color w:val="000000"/>
                <w:sz w:val="18"/>
                <w:szCs w:val="18"/>
              </w:rPr>
            </w:pPr>
            <w:r>
              <w:rPr>
                <w:rFonts w:ascii="Times New Roman" w:hAnsi="Times New Roman"/>
                <w:noProof/>
                <w:sz w:val="18"/>
                <w:szCs w:val="18"/>
              </w:rPr>
              <w:t>Slovénie</w:t>
            </w:r>
          </w:p>
        </w:tc>
        <w:tc>
          <w:tcPr>
            <w:tcW w:w="778" w:type="pct"/>
            <w:shd w:val="clear" w:color="auto" w:fill="auto"/>
            <w:noWrap/>
            <w:hideMark/>
          </w:tcPr>
          <w:p>
            <w:pPr>
              <w:spacing w:after="0" w:line="240" w:lineRule="auto"/>
              <w:rPr>
                <w:rFonts w:ascii="Times New Roman" w:eastAsia="Times New Roman" w:hAnsi="Times New Roman"/>
                <w:noProof/>
                <w:color w:val="000000"/>
                <w:sz w:val="18"/>
                <w:szCs w:val="18"/>
                <w:lang w:val="fr-BE"/>
              </w:rPr>
            </w:pPr>
            <w:r>
              <w:rPr>
                <w:rFonts w:ascii="Times New Roman" w:hAnsi="Times New Roman"/>
                <w:noProof/>
                <w:sz w:val="18"/>
                <w:szCs w:val="18"/>
                <w:lang w:val="fr-BE"/>
              </w:rPr>
              <w:t>AC et D et autre (administration financière)</w:t>
            </w:r>
          </w:p>
        </w:tc>
        <w:tc>
          <w:tcPr>
            <w:tcW w:w="419" w:type="pct"/>
          </w:tcPr>
          <w:p>
            <w:pPr>
              <w:spacing w:after="0" w:line="240" w:lineRule="auto"/>
              <w:jc w:val="center"/>
              <w:rPr>
                <w:rFonts w:ascii="Wingdings" w:hAnsi="Wingdings"/>
                <w:noProof/>
                <w:sz w:val="16"/>
                <w:szCs w:val="16"/>
                <w:lang w:val="fr-BE"/>
              </w:rPr>
            </w:pPr>
          </w:p>
        </w:tc>
        <w:tc>
          <w:tcPr>
            <w:tcW w:w="419" w:type="pct"/>
          </w:tcPr>
          <w:p>
            <w:pPr>
              <w:spacing w:after="0" w:line="240" w:lineRule="auto"/>
              <w:jc w:val="center"/>
              <w:rPr>
                <w:rFonts w:ascii="Wingdings" w:hAnsi="Wingdings"/>
                <w:noProof/>
                <w:sz w:val="16"/>
                <w:szCs w:val="16"/>
                <w:lang w:val="fr-BE"/>
              </w:rPr>
            </w:pPr>
          </w:p>
        </w:tc>
        <w:tc>
          <w:tcPr>
            <w:tcW w:w="441" w:type="pct"/>
          </w:tcPr>
          <w:p>
            <w:pPr>
              <w:spacing w:after="0" w:line="240" w:lineRule="auto"/>
              <w:jc w:val="center"/>
              <w:rPr>
                <w:rFonts w:ascii="Wingdings" w:hAnsi="Wingdings"/>
                <w:noProof/>
                <w:sz w:val="16"/>
                <w:szCs w:val="16"/>
                <w:lang w:val="fr-BE"/>
              </w:rPr>
            </w:pPr>
          </w:p>
        </w:tc>
        <w:tc>
          <w:tcPr>
            <w:tcW w:w="398" w:type="pct"/>
          </w:tcPr>
          <w:p>
            <w:pPr>
              <w:spacing w:after="0" w:line="240" w:lineRule="auto"/>
              <w:jc w:val="center"/>
              <w:rPr>
                <w:rFonts w:ascii="Wingdings" w:hAnsi="Wingdings"/>
                <w:noProof/>
                <w:sz w:val="16"/>
                <w:szCs w:val="16"/>
                <w:lang w:val="fr-BE"/>
              </w:rPr>
            </w:pPr>
          </w:p>
        </w:tc>
        <w:tc>
          <w:tcPr>
            <w:tcW w:w="419" w:type="pct"/>
          </w:tcPr>
          <w:p>
            <w:pPr>
              <w:spacing w:after="0" w:line="240" w:lineRule="auto"/>
              <w:jc w:val="center"/>
              <w:rPr>
                <w:rFonts w:ascii="Wingdings" w:hAnsi="Wingdings"/>
                <w:noProof/>
                <w:sz w:val="16"/>
                <w:szCs w:val="16"/>
                <w:lang w:val="fr-BE"/>
              </w:rPr>
            </w:pPr>
          </w:p>
        </w:tc>
        <w:tc>
          <w:tcPr>
            <w:tcW w:w="419" w:type="pct"/>
            <w:shd w:val="clear" w:color="auto" w:fill="auto"/>
            <w:noWrap/>
            <w:hideMark/>
          </w:tcPr>
          <w:p>
            <w:pPr>
              <w:spacing w:after="0" w:line="240" w:lineRule="auto"/>
              <w:jc w:val="center"/>
              <w:rPr>
                <w:rFonts w:ascii="Helvetica" w:eastAsia="Times New Roman" w:hAnsi="Helvetica" w:cs="Calibri"/>
                <w:noProof/>
                <w:color w:val="000000"/>
                <w:sz w:val="16"/>
                <w:szCs w:val="16"/>
              </w:rPr>
            </w:pPr>
            <w:r>
              <w:rPr>
                <w:rFonts w:ascii="Wingdings" w:hAnsi="Wingdings"/>
                <w:noProof/>
                <w:sz w:val="16"/>
                <w:szCs w:val="16"/>
              </w:rPr>
              <w:t></w:t>
            </w:r>
          </w:p>
        </w:tc>
        <w:tc>
          <w:tcPr>
            <w:tcW w:w="419" w:type="pct"/>
          </w:tcPr>
          <w:p>
            <w:pPr>
              <w:spacing w:after="0" w:line="240" w:lineRule="auto"/>
              <w:jc w:val="center"/>
              <w:rPr>
                <w:rFonts w:ascii="Helvetica" w:eastAsia="Times New Roman" w:hAnsi="Helvetica" w:cs="Calibri"/>
                <w:noProof/>
                <w:color w:val="000000"/>
                <w:sz w:val="16"/>
                <w:szCs w:val="16"/>
              </w:rPr>
            </w:pPr>
            <w:r>
              <w:rPr>
                <w:rFonts w:ascii="Wingdings" w:hAnsi="Wingdings"/>
                <w:noProof/>
                <w:sz w:val="16"/>
                <w:szCs w:val="16"/>
              </w:rPr>
              <w:t></w:t>
            </w:r>
          </w:p>
        </w:tc>
        <w:tc>
          <w:tcPr>
            <w:tcW w:w="415" w:type="pct"/>
          </w:tcPr>
          <w:p>
            <w:pPr>
              <w:spacing w:after="0" w:line="240" w:lineRule="auto"/>
              <w:jc w:val="center"/>
              <w:rPr>
                <w:rFonts w:ascii="Wingdings" w:hAnsi="Wingdings"/>
                <w:noProof/>
                <w:sz w:val="16"/>
                <w:szCs w:val="16"/>
              </w:rPr>
            </w:pPr>
          </w:p>
        </w:tc>
        <w:tc>
          <w:tcPr>
            <w:tcW w:w="415" w:type="pct"/>
            <w:shd w:val="clear" w:color="auto" w:fill="auto"/>
            <w:noWrap/>
            <w:hideMark/>
          </w:tcPr>
          <w:p>
            <w:pPr>
              <w:spacing w:after="0" w:line="240" w:lineRule="auto"/>
              <w:jc w:val="center"/>
              <w:rPr>
                <w:rFonts w:ascii="Helvetica" w:eastAsia="Times New Roman" w:hAnsi="Helvetica" w:cs="Calibri"/>
                <w:noProof/>
                <w:color w:val="000000"/>
                <w:sz w:val="16"/>
                <w:szCs w:val="16"/>
              </w:rPr>
            </w:pPr>
            <w:r>
              <w:rPr>
                <w:rFonts w:ascii="Wingdings" w:hAnsi="Wingdings"/>
                <w:noProof/>
                <w:sz w:val="16"/>
                <w:szCs w:val="16"/>
              </w:rPr>
              <w:t></w:t>
            </w:r>
          </w:p>
        </w:tc>
      </w:tr>
      <w:tr>
        <w:trPr>
          <w:trHeight w:val="20"/>
        </w:trPr>
        <w:tc>
          <w:tcPr>
            <w:tcW w:w="457" w:type="pct"/>
            <w:shd w:val="clear" w:color="auto" w:fill="auto"/>
            <w:noWrap/>
            <w:hideMark/>
          </w:tcPr>
          <w:p>
            <w:pPr>
              <w:spacing w:after="0" w:line="240" w:lineRule="auto"/>
              <w:rPr>
                <w:rFonts w:ascii="Times New Roman" w:eastAsia="Times New Roman" w:hAnsi="Times New Roman"/>
                <w:noProof/>
                <w:color w:val="000000"/>
                <w:sz w:val="18"/>
                <w:szCs w:val="18"/>
              </w:rPr>
            </w:pPr>
            <w:r>
              <w:rPr>
                <w:rFonts w:ascii="Times New Roman" w:hAnsi="Times New Roman"/>
                <w:noProof/>
                <w:sz w:val="18"/>
                <w:szCs w:val="18"/>
              </w:rPr>
              <w:t>Espagne</w:t>
            </w:r>
          </w:p>
        </w:tc>
        <w:tc>
          <w:tcPr>
            <w:tcW w:w="778" w:type="pct"/>
            <w:shd w:val="clear" w:color="auto" w:fill="auto"/>
            <w:noWrap/>
            <w:hideMark/>
          </w:tcPr>
          <w:p>
            <w:pPr>
              <w:spacing w:after="0" w:line="240" w:lineRule="auto"/>
              <w:rPr>
                <w:rFonts w:ascii="Times New Roman" w:eastAsia="Times New Roman" w:hAnsi="Times New Roman"/>
                <w:noProof/>
                <w:color w:val="000000"/>
                <w:sz w:val="18"/>
                <w:szCs w:val="18"/>
              </w:rPr>
            </w:pPr>
            <w:r>
              <w:rPr>
                <w:rFonts w:ascii="Times New Roman" w:hAnsi="Times New Roman"/>
                <w:noProof/>
                <w:sz w:val="18"/>
                <w:szCs w:val="18"/>
              </w:rPr>
              <w:t>AC et D</w:t>
            </w:r>
          </w:p>
        </w:tc>
        <w:tc>
          <w:tcPr>
            <w:tcW w:w="419" w:type="pct"/>
          </w:tcPr>
          <w:p>
            <w:pPr>
              <w:spacing w:after="0" w:line="240" w:lineRule="auto"/>
              <w:jc w:val="center"/>
              <w:rPr>
                <w:rFonts w:ascii="Helvetica" w:eastAsia="Times New Roman" w:hAnsi="Helvetica" w:cs="Calibri"/>
                <w:noProof/>
                <w:color w:val="000000"/>
                <w:sz w:val="16"/>
                <w:szCs w:val="16"/>
              </w:rPr>
            </w:pPr>
          </w:p>
        </w:tc>
        <w:tc>
          <w:tcPr>
            <w:tcW w:w="419" w:type="pct"/>
          </w:tcPr>
          <w:p>
            <w:pPr>
              <w:spacing w:after="0" w:line="240" w:lineRule="auto"/>
              <w:jc w:val="center"/>
              <w:rPr>
                <w:rFonts w:ascii="Helvetica" w:eastAsia="Times New Roman" w:hAnsi="Helvetica" w:cs="Calibri"/>
                <w:noProof/>
                <w:color w:val="000000"/>
                <w:sz w:val="16"/>
                <w:szCs w:val="16"/>
              </w:rPr>
            </w:pPr>
          </w:p>
        </w:tc>
        <w:tc>
          <w:tcPr>
            <w:tcW w:w="441" w:type="pct"/>
          </w:tcPr>
          <w:p>
            <w:pPr>
              <w:spacing w:after="0" w:line="240" w:lineRule="auto"/>
              <w:jc w:val="center"/>
              <w:rPr>
                <w:rFonts w:ascii="Helvetica" w:eastAsia="Times New Roman" w:hAnsi="Helvetica" w:cs="Calibri"/>
                <w:noProof/>
                <w:color w:val="000000"/>
                <w:sz w:val="16"/>
                <w:szCs w:val="16"/>
              </w:rPr>
            </w:pPr>
            <w:r>
              <w:rPr>
                <w:rFonts w:ascii="Helvetica" w:hAnsi="Helvetica"/>
                <w:noProof/>
                <w:color w:val="000000"/>
                <w:sz w:val="16"/>
                <w:szCs w:val="16"/>
              </w:rPr>
              <w:t>***</w:t>
            </w:r>
          </w:p>
        </w:tc>
        <w:tc>
          <w:tcPr>
            <w:tcW w:w="398" w:type="pct"/>
          </w:tcPr>
          <w:p>
            <w:pPr>
              <w:spacing w:after="0" w:line="240" w:lineRule="auto"/>
              <w:jc w:val="center"/>
              <w:rPr>
                <w:rFonts w:ascii="Helvetica" w:eastAsia="Times New Roman" w:hAnsi="Helvetica" w:cs="Calibri"/>
                <w:noProof/>
                <w:color w:val="000000"/>
                <w:sz w:val="16"/>
                <w:szCs w:val="16"/>
              </w:rPr>
            </w:pPr>
          </w:p>
        </w:tc>
        <w:tc>
          <w:tcPr>
            <w:tcW w:w="419" w:type="pct"/>
          </w:tcPr>
          <w:p>
            <w:pPr>
              <w:spacing w:after="0" w:line="240" w:lineRule="auto"/>
              <w:jc w:val="center"/>
              <w:rPr>
                <w:rFonts w:ascii="Helvetica" w:eastAsia="Times New Roman" w:hAnsi="Helvetica" w:cs="Calibri"/>
                <w:noProof/>
                <w:color w:val="000000"/>
                <w:sz w:val="16"/>
                <w:szCs w:val="16"/>
              </w:rPr>
            </w:pPr>
          </w:p>
        </w:tc>
        <w:tc>
          <w:tcPr>
            <w:tcW w:w="419" w:type="pct"/>
            <w:shd w:val="clear" w:color="auto" w:fill="auto"/>
            <w:noWrap/>
            <w:hideMark/>
          </w:tcPr>
          <w:p>
            <w:pPr>
              <w:spacing w:after="0" w:line="240" w:lineRule="auto"/>
              <w:jc w:val="center"/>
              <w:rPr>
                <w:rFonts w:ascii="Helvetica" w:eastAsia="Times New Roman" w:hAnsi="Helvetica" w:cs="Calibri"/>
                <w:noProof/>
                <w:color w:val="000000"/>
                <w:sz w:val="16"/>
                <w:szCs w:val="16"/>
              </w:rPr>
            </w:pPr>
          </w:p>
        </w:tc>
        <w:tc>
          <w:tcPr>
            <w:tcW w:w="419" w:type="pct"/>
          </w:tcPr>
          <w:p>
            <w:pPr>
              <w:spacing w:after="0" w:line="240" w:lineRule="auto"/>
              <w:jc w:val="center"/>
              <w:rPr>
                <w:rFonts w:ascii="Helvetica" w:eastAsia="Times New Roman" w:hAnsi="Helvetica" w:cs="Calibri"/>
                <w:noProof/>
                <w:color w:val="000000"/>
                <w:sz w:val="16"/>
                <w:szCs w:val="16"/>
              </w:rPr>
            </w:pPr>
          </w:p>
        </w:tc>
        <w:tc>
          <w:tcPr>
            <w:tcW w:w="415" w:type="pct"/>
          </w:tcPr>
          <w:p>
            <w:pPr>
              <w:spacing w:after="0" w:line="240" w:lineRule="auto"/>
              <w:jc w:val="center"/>
              <w:rPr>
                <w:rFonts w:ascii="Wingdings" w:hAnsi="Wingdings"/>
                <w:noProof/>
                <w:sz w:val="16"/>
                <w:szCs w:val="16"/>
              </w:rPr>
            </w:pPr>
          </w:p>
        </w:tc>
        <w:tc>
          <w:tcPr>
            <w:tcW w:w="415" w:type="pct"/>
            <w:shd w:val="clear" w:color="auto" w:fill="auto"/>
            <w:noWrap/>
            <w:hideMark/>
          </w:tcPr>
          <w:p>
            <w:pPr>
              <w:spacing w:after="0" w:line="240" w:lineRule="auto"/>
              <w:jc w:val="center"/>
              <w:rPr>
                <w:rFonts w:ascii="Helvetica" w:eastAsia="Times New Roman" w:hAnsi="Helvetica" w:cs="Calibri"/>
                <w:noProof/>
                <w:color w:val="000000"/>
                <w:sz w:val="16"/>
                <w:szCs w:val="16"/>
              </w:rPr>
            </w:pPr>
            <w:r>
              <w:rPr>
                <w:rFonts w:ascii="Wingdings" w:hAnsi="Wingdings"/>
                <w:noProof/>
                <w:sz w:val="16"/>
                <w:szCs w:val="16"/>
              </w:rPr>
              <w:t></w:t>
            </w:r>
          </w:p>
        </w:tc>
      </w:tr>
      <w:tr>
        <w:trPr>
          <w:trHeight w:val="20"/>
        </w:trPr>
        <w:tc>
          <w:tcPr>
            <w:tcW w:w="457" w:type="pct"/>
            <w:shd w:val="clear" w:color="auto" w:fill="auto"/>
            <w:noWrap/>
          </w:tcPr>
          <w:p>
            <w:pPr>
              <w:spacing w:after="0" w:line="240" w:lineRule="auto"/>
              <w:rPr>
                <w:rFonts w:ascii="Times New Roman" w:hAnsi="Times New Roman"/>
                <w:noProof/>
                <w:sz w:val="18"/>
                <w:szCs w:val="18"/>
              </w:rPr>
            </w:pPr>
            <w:r>
              <w:rPr>
                <w:rFonts w:ascii="Times New Roman" w:hAnsi="Times New Roman"/>
                <w:noProof/>
                <w:sz w:val="18"/>
                <w:szCs w:val="18"/>
              </w:rPr>
              <w:t>Suède</w:t>
            </w:r>
          </w:p>
        </w:tc>
        <w:tc>
          <w:tcPr>
            <w:tcW w:w="778" w:type="pct"/>
            <w:shd w:val="clear" w:color="auto" w:fill="auto"/>
            <w:noWrap/>
          </w:tcPr>
          <w:p>
            <w:pPr>
              <w:spacing w:after="0" w:line="240" w:lineRule="auto"/>
              <w:rPr>
                <w:rFonts w:ascii="Times New Roman" w:hAnsi="Times New Roman"/>
                <w:noProof/>
                <w:sz w:val="18"/>
                <w:szCs w:val="18"/>
              </w:rPr>
            </w:pPr>
            <w:r>
              <w:rPr>
                <w:rFonts w:ascii="Times New Roman" w:hAnsi="Times New Roman"/>
                <w:noProof/>
                <w:sz w:val="18"/>
                <w:szCs w:val="18"/>
              </w:rPr>
              <w:t>D</w:t>
            </w:r>
          </w:p>
        </w:tc>
        <w:tc>
          <w:tcPr>
            <w:tcW w:w="419" w:type="pct"/>
          </w:tcPr>
          <w:p>
            <w:pPr>
              <w:spacing w:after="0" w:line="240" w:lineRule="auto"/>
              <w:jc w:val="center"/>
              <w:rPr>
                <w:rFonts w:ascii="Wingdings" w:eastAsia="Times New Roman" w:hAnsi="Wingdings" w:cs="Calibri"/>
                <w:noProof/>
                <w:color w:val="000000"/>
                <w:sz w:val="16"/>
                <w:szCs w:val="16"/>
              </w:rPr>
            </w:pPr>
          </w:p>
        </w:tc>
        <w:tc>
          <w:tcPr>
            <w:tcW w:w="419" w:type="pct"/>
          </w:tcPr>
          <w:p>
            <w:pPr>
              <w:spacing w:after="0" w:line="240" w:lineRule="auto"/>
              <w:jc w:val="center"/>
              <w:rPr>
                <w:rFonts w:ascii="Wingdings" w:eastAsia="Times New Roman" w:hAnsi="Wingdings" w:cs="Calibri"/>
                <w:noProof/>
                <w:color w:val="000000"/>
                <w:sz w:val="16"/>
                <w:szCs w:val="16"/>
              </w:rPr>
            </w:pPr>
          </w:p>
        </w:tc>
        <w:tc>
          <w:tcPr>
            <w:tcW w:w="441" w:type="pct"/>
          </w:tcPr>
          <w:p>
            <w:pPr>
              <w:spacing w:after="0" w:line="240" w:lineRule="auto"/>
              <w:jc w:val="center"/>
              <w:rPr>
                <w:rFonts w:ascii="Wingdings" w:eastAsia="Times New Roman" w:hAnsi="Wingdings" w:cs="Calibri"/>
                <w:noProof/>
                <w:color w:val="000000"/>
                <w:sz w:val="16"/>
                <w:szCs w:val="16"/>
              </w:rPr>
            </w:pPr>
          </w:p>
        </w:tc>
        <w:tc>
          <w:tcPr>
            <w:tcW w:w="398" w:type="pct"/>
          </w:tcPr>
          <w:p>
            <w:pPr>
              <w:spacing w:after="0" w:line="240" w:lineRule="auto"/>
              <w:jc w:val="center"/>
              <w:rPr>
                <w:rFonts w:ascii="Wingdings" w:eastAsia="Times New Roman" w:hAnsi="Wingdings" w:cs="Calibri"/>
                <w:noProof/>
                <w:color w:val="000000"/>
                <w:sz w:val="16"/>
                <w:szCs w:val="16"/>
              </w:rPr>
            </w:pPr>
            <w:r>
              <w:rPr>
                <w:rFonts w:ascii="Wingdings" w:hAnsi="Wingdings"/>
                <w:noProof/>
                <w:color w:val="000000"/>
                <w:sz w:val="16"/>
                <w:szCs w:val="16"/>
              </w:rPr>
              <w:t></w:t>
            </w:r>
          </w:p>
        </w:tc>
        <w:tc>
          <w:tcPr>
            <w:tcW w:w="419" w:type="pct"/>
          </w:tcPr>
          <w:p>
            <w:pPr>
              <w:spacing w:after="0" w:line="240" w:lineRule="auto"/>
              <w:jc w:val="center"/>
              <w:rPr>
                <w:rFonts w:ascii="Wingdings" w:eastAsia="Times New Roman" w:hAnsi="Wingdings" w:cs="Calibri"/>
                <w:noProof/>
                <w:color w:val="000000"/>
                <w:sz w:val="16"/>
                <w:szCs w:val="16"/>
              </w:rPr>
            </w:pPr>
          </w:p>
        </w:tc>
        <w:tc>
          <w:tcPr>
            <w:tcW w:w="419" w:type="pct"/>
            <w:shd w:val="clear" w:color="auto" w:fill="auto"/>
            <w:noWrap/>
          </w:tcPr>
          <w:p>
            <w:pPr>
              <w:spacing w:after="0" w:line="240" w:lineRule="auto"/>
              <w:jc w:val="center"/>
              <w:rPr>
                <w:rFonts w:ascii="Helvetica" w:eastAsia="Times New Roman" w:hAnsi="Helvetica" w:cs="Calibri"/>
                <w:noProof/>
                <w:color w:val="000000"/>
                <w:sz w:val="16"/>
                <w:szCs w:val="16"/>
              </w:rPr>
            </w:pPr>
            <w:r>
              <w:rPr>
                <w:rFonts w:ascii="Wingdings" w:hAnsi="Wingdings"/>
                <w:noProof/>
                <w:color w:val="000000"/>
                <w:sz w:val="16"/>
                <w:szCs w:val="16"/>
              </w:rPr>
              <w:t></w:t>
            </w:r>
          </w:p>
        </w:tc>
        <w:tc>
          <w:tcPr>
            <w:tcW w:w="419" w:type="pct"/>
          </w:tcPr>
          <w:p>
            <w:pPr>
              <w:spacing w:after="0" w:line="240" w:lineRule="auto"/>
              <w:jc w:val="center"/>
              <w:rPr>
                <w:rFonts w:ascii="Helvetica" w:eastAsia="Times New Roman" w:hAnsi="Helvetica" w:cs="Calibri"/>
                <w:noProof/>
                <w:color w:val="000000"/>
                <w:sz w:val="16"/>
                <w:szCs w:val="16"/>
              </w:rPr>
            </w:pPr>
            <w:r>
              <w:rPr>
                <w:rFonts w:ascii="Wingdings" w:hAnsi="Wingdings"/>
                <w:noProof/>
                <w:color w:val="000000"/>
                <w:sz w:val="16"/>
                <w:szCs w:val="16"/>
              </w:rPr>
              <w:t></w:t>
            </w:r>
          </w:p>
        </w:tc>
        <w:tc>
          <w:tcPr>
            <w:tcW w:w="415" w:type="pct"/>
          </w:tcPr>
          <w:p>
            <w:pPr>
              <w:spacing w:after="0" w:line="240" w:lineRule="auto"/>
              <w:jc w:val="center"/>
              <w:rPr>
                <w:rFonts w:ascii="Wingdings" w:hAnsi="Wingdings"/>
                <w:noProof/>
                <w:sz w:val="16"/>
                <w:szCs w:val="16"/>
              </w:rPr>
            </w:pPr>
          </w:p>
        </w:tc>
        <w:tc>
          <w:tcPr>
            <w:tcW w:w="415" w:type="pct"/>
            <w:shd w:val="clear" w:color="auto" w:fill="auto"/>
            <w:noWrap/>
          </w:tcPr>
          <w:p>
            <w:pPr>
              <w:spacing w:after="0" w:line="240" w:lineRule="auto"/>
              <w:jc w:val="center"/>
              <w:rPr>
                <w:rFonts w:ascii="Wingdings" w:hAnsi="Wingdings"/>
                <w:noProof/>
                <w:sz w:val="16"/>
                <w:szCs w:val="16"/>
              </w:rPr>
            </w:pPr>
          </w:p>
        </w:tc>
      </w:tr>
      <w:tr>
        <w:trPr>
          <w:trHeight w:val="20"/>
        </w:trPr>
        <w:tc>
          <w:tcPr>
            <w:tcW w:w="457" w:type="pct"/>
            <w:shd w:val="clear" w:color="auto" w:fill="auto"/>
            <w:noWrap/>
            <w:hideMark/>
          </w:tcPr>
          <w:p>
            <w:pPr>
              <w:spacing w:after="0" w:line="240" w:lineRule="auto"/>
              <w:rPr>
                <w:rFonts w:ascii="Times New Roman" w:eastAsia="Times New Roman" w:hAnsi="Times New Roman"/>
                <w:noProof/>
                <w:color w:val="000000"/>
                <w:sz w:val="18"/>
                <w:szCs w:val="18"/>
              </w:rPr>
            </w:pPr>
            <w:r>
              <w:rPr>
                <w:rFonts w:ascii="Times New Roman" w:hAnsi="Times New Roman"/>
                <w:noProof/>
                <w:sz w:val="18"/>
                <w:szCs w:val="18"/>
              </w:rPr>
              <w:t>Royaume-Uni</w:t>
            </w:r>
          </w:p>
        </w:tc>
        <w:tc>
          <w:tcPr>
            <w:tcW w:w="778" w:type="pct"/>
            <w:shd w:val="clear" w:color="auto" w:fill="auto"/>
            <w:noWrap/>
            <w:hideMark/>
          </w:tcPr>
          <w:p>
            <w:pPr>
              <w:spacing w:after="0" w:line="240" w:lineRule="auto"/>
              <w:rPr>
                <w:rFonts w:ascii="Times New Roman" w:eastAsia="Times New Roman" w:hAnsi="Times New Roman"/>
                <w:noProof/>
                <w:color w:val="000000"/>
                <w:sz w:val="18"/>
                <w:szCs w:val="18"/>
                <w:lang w:val="fr-BE"/>
              </w:rPr>
            </w:pPr>
            <w:r>
              <w:rPr>
                <w:rFonts w:ascii="Times New Roman" w:hAnsi="Times New Roman"/>
                <w:noProof/>
                <w:sz w:val="18"/>
                <w:szCs w:val="18"/>
                <w:lang w:val="fr-BE"/>
              </w:rPr>
              <w:t>D et autre (services frontaliers)</w:t>
            </w:r>
          </w:p>
        </w:tc>
        <w:tc>
          <w:tcPr>
            <w:tcW w:w="419" w:type="pct"/>
          </w:tcPr>
          <w:p>
            <w:pPr>
              <w:spacing w:after="0" w:line="240" w:lineRule="auto"/>
              <w:jc w:val="center"/>
              <w:rPr>
                <w:rFonts w:ascii="Wingdings" w:eastAsia="Times New Roman" w:hAnsi="Wingdings" w:cs="Calibri"/>
                <w:noProof/>
                <w:color w:val="000000"/>
                <w:sz w:val="16"/>
                <w:szCs w:val="16"/>
                <w:lang w:val="fr-BE"/>
              </w:rPr>
            </w:pPr>
          </w:p>
        </w:tc>
        <w:tc>
          <w:tcPr>
            <w:tcW w:w="419" w:type="pct"/>
          </w:tcPr>
          <w:p>
            <w:pPr>
              <w:spacing w:after="0" w:line="240" w:lineRule="auto"/>
              <w:jc w:val="center"/>
              <w:rPr>
                <w:rFonts w:ascii="Wingdings" w:eastAsia="Times New Roman" w:hAnsi="Wingdings" w:cs="Calibri"/>
                <w:noProof/>
                <w:color w:val="000000"/>
                <w:sz w:val="16"/>
                <w:szCs w:val="16"/>
                <w:lang w:val="fr-BE"/>
              </w:rPr>
            </w:pPr>
          </w:p>
        </w:tc>
        <w:tc>
          <w:tcPr>
            <w:tcW w:w="441" w:type="pct"/>
          </w:tcPr>
          <w:p>
            <w:pPr>
              <w:spacing w:after="0" w:line="240" w:lineRule="auto"/>
              <w:jc w:val="center"/>
              <w:rPr>
                <w:rFonts w:ascii="Wingdings" w:eastAsia="Times New Roman" w:hAnsi="Wingdings" w:cs="Calibri"/>
                <w:noProof/>
                <w:color w:val="000000"/>
                <w:sz w:val="16"/>
                <w:szCs w:val="16"/>
                <w:lang w:val="fr-BE"/>
              </w:rPr>
            </w:pPr>
          </w:p>
        </w:tc>
        <w:tc>
          <w:tcPr>
            <w:tcW w:w="398" w:type="pct"/>
          </w:tcPr>
          <w:p>
            <w:pPr>
              <w:spacing w:after="0" w:line="240" w:lineRule="auto"/>
              <w:jc w:val="center"/>
              <w:rPr>
                <w:rFonts w:ascii="Wingdings" w:eastAsia="Times New Roman" w:hAnsi="Wingdings" w:cs="Calibri"/>
                <w:noProof/>
                <w:color w:val="000000"/>
                <w:sz w:val="16"/>
                <w:szCs w:val="16"/>
              </w:rPr>
            </w:pPr>
            <w:r>
              <w:rPr>
                <w:rFonts w:ascii="Wingdings" w:hAnsi="Wingdings"/>
                <w:noProof/>
                <w:color w:val="000000"/>
                <w:sz w:val="16"/>
                <w:szCs w:val="16"/>
              </w:rPr>
              <w:t></w:t>
            </w:r>
          </w:p>
        </w:tc>
        <w:tc>
          <w:tcPr>
            <w:tcW w:w="419" w:type="pct"/>
          </w:tcPr>
          <w:p>
            <w:pPr>
              <w:spacing w:after="0" w:line="240" w:lineRule="auto"/>
              <w:jc w:val="center"/>
              <w:rPr>
                <w:rFonts w:ascii="Wingdings" w:eastAsia="Times New Roman" w:hAnsi="Wingdings" w:cs="Calibri"/>
                <w:noProof/>
                <w:color w:val="000000"/>
                <w:sz w:val="16"/>
                <w:szCs w:val="16"/>
              </w:rPr>
            </w:pPr>
          </w:p>
        </w:tc>
        <w:tc>
          <w:tcPr>
            <w:tcW w:w="419" w:type="pct"/>
            <w:shd w:val="clear" w:color="auto" w:fill="auto"/>
            <w:noWrap/>
            <w:hideMark/>
          </w:tcPr>
          <w:p>
            <w:pPr>
              <w:spacing w:after="0" w:line="240" w:lineRule="auto"/>
              <w:jc w:val="center"/>
              <w:rPr>
                <w:rFonts w:ascii="Helvetica" w:eastAsia="Times New Roman" w:hAnsi="Helvetica" w:cs="Calibri"/>
                <w:noProof/>
                <w:color w:val="000000"/>
                <w:sz w:val="16"/>
                <w:szCs w:val="16"/>
              </w:rPr>
            </w:pPr>
            <w:r>
              <w:rPr>
                <w:rFonts w:ascii="Wingdings" w:hAnsi="Wingdings"/>
                <w:noProof/>
                <w:color w:val="000000"/>
                <w:sz w:val="16"/>
                <w:szCs w:val="16"/>
              </w:rPr>
              <w:t></w:t>
            </w:r>
          </w:p>
        </w:tc>
        <w:tc>
          <w:tcPr>
            <w:tcW w:w="419" w:type="pct"/>
          </w:tcPr>
          <w:p>
            <w:pPr>
              <w:spacing w:after="0" w:line="240" w:lineRule="auto"/>
              <w:jc w:val="center"/>
              <w:rPr>
                <w:rFonts w:ascii="Helvetica" w:eastAsia="Times New Roman" w:hAnsi="Helvetica" w:cs="Calibri"/>
                <w:noProof/>
                <w:color w:val="000000"/>
                <w:sz w:val="16"/>
                <w:szCs w:val="16"/>
              </w:rPr>
            </w:pPr>
            <w:r>
              <w:rPr>
                <w:rFonts w:ascii="Wingdings" w:hAnsi="Wingdings"/>
                <w:noProof/>
                <w:color w:val="000000"/>
                <w:sz w:val="16"/>
                <w:szCs w:val="16"/>
              </w:rPr>
              <w:t></w:t>
            </w:r>
          </w:p>
        </w:tc>
        <w:tc>
          <w:tcPr>
            <w:tcW w:w="415" w:type="pct"/>
          </w:tcPr>
          <w:p>
            <w:pPr>
              <w:spacing w:after="0" w:line="240" w:lineRule="auto"/>
              <w:jc w:val="center"/>
              <w:rPr>
                <w:rFonts w:ascii="Wingdings" w:hAnsi="Wingdings"/>
                <w:noProof/>
                <w:sz w:val="16"/>
                <w:szCs w:val="16"/>
              </w:rPr>
            </w:pPr>
            <w:r>
              <w:rPr>
                <w:rFonts w:ascii="Wingdings" w:hAnsi="Wingdings"/>
                <w:noProof/>
                <w:color w:val="000000"/>
                <w:sz w:val="16"/>
                <w:szCs w:val="16"/>
              </w:rPr>
              <w:t></w:t>
            </w:r>
          </w:p>
        </w:tc>
        <w:tc>
          <w:tcPr>
            <w:tcW w:w="415" w:type="pct"/>
            <w:shd w:val="clear" w:color="auto" w:fill="auto"/>
            <w:noWrap/>
            <w:hideMark/>
          </w:tcPr>
          <w:p>
            <w:pPr>
              <w:spacing w:after="0" w:line="240" w:lineRule="auto"/>
              <w:jc w:val="center"/>
              <w:rPr>
                <w:rFonts w:ascii="Helvetica" w:eastAsia="Times New Roman" w:hAnsi="Helvetica" w:cs="Calibri"/>
                <w:noProof/>
                <w:color w:val="000000"/>
                <w:sz w:val="16"/>
                <w:szCs w:val="16"/>
              </w:rPr>
            </w:pPr>
            <w:r>
              <w:rPr>
                <w:rFonts w:ascii="Wingdings" w:hAnsi="Wingdings"/>
                <w:noProof/>
                <w:sz w:val="16"/>
                <w:szCs w:val="16"/>
              </w:rPr>
              <w:t></w:t>
            </w:r>
          </w:p>
        </w:tc>
      </w:tr>
    </w:tbl>
    <w:p>
      <w:pPr>
        <w:spacing w:after="0"/>
        <w:rPr>
          <w:rFonts w:ascii="Times New Roman" w:hAnsi="Times New Roman"/>
          <w:noProof/>
          <w:sz w:val="18"/>
          <w:szCs w:val="18"/>
          <w:lang w:val="fr-BE"/>
        </w:rPr>
      </w:pPr>
      <w:r>
        <w:rPr>
          <w:rFonts w:ascii="Times New Roman" w:hAnsi="Times New Roman"/>
          <w:noProof/>
          <w:sz w:val="18"/>
          <w:szCs w:val="18"/>
          <w:lang w:val="fr-BE"/>
        </w:rPr>
        <w:t>* AC = Autorité compétente; D = Douanes.</w:t>
      </w:r>
    </w:p>
    <w:p>
      <w:pPr>
        <w:spacing w:after="0"/>
        <w:rPr>
          <w:rFonts w:ascii="Times New Roman" w:hAnsi="Times New Roman"/>
          <w:noProof/>
          <w:sz w:val="18"/>
          <w:szCs w:val="18"/>
          <w:lang w:val="fr-BE"/>
        </w:rPr>
      </w:pPr>
      <w:r>
        <w:rPr>
          <w:rFonts w:ascii="Times New Roman" w:hAnsi="Times New Roman"/>
          <w:noProof/>
          <w:sz w:val="18"/>
          <w:szCs w:val="18"/>
          <w:lang w:val="fr-BE"/>
        </w:rPr>
        <w:t>** L’AC belge prévoit d’effectuer des contrôles supplémentaires basés sur les risques (espèces, volume, codes SH, pays d’origine) en collaboration avec les douanes.</w:t>
      </w:r>
    </w:p>
    <w:p>
      <w:pPr>
        <w:spacing w:after="0"/>
        <w:rPr>
          <w:rFonts w:ascii="Times New Roman" w:hAnsi="Times New Roman"/>
          <w:noProof/>
          <w:sz w:val="18"/>
          <w:szCs w:val="18"/>
          <w:lang w:val="fr-BE"/>
        </w:rPr>
      </w:pPr>
      <w:r>
        <w:rPr>
          <w:rFonts w:ascii="Times New Roman" w:hAnsi="Times New Roman"/>
          <w:noProof/>
          <w:sz w:val="18"/>
          <w:szCs w:val="18"/>
          <w:lang w:val="fr-BE"/>
        </w:rPr>
        <w:t>*** Espagne: les douanes vérifient que le poids des expéditions ne dépasse pas 10 % du poids indiqué sur l’autorisation.</w:t>
      </w:r>
    </w:p>
    <w:p>
      <w:pPr>
        <w:keepNext/>
        <w:spacing w:line="240" w:lineRule="auto"/>
        <w:jc w:val="both"/>
        <w:rPr>
          <w:rFonts w:ascii="Times New Roman" w:hAnsi="Times New Roman"/>
          <w:b/>
          <w:bCs/>
          <w:noProof/>
          <w:sz w:val="20"/>
          <w:szCs w:val="20"/>
          <w:lang w:val="fr-BE" w:eastAsia="en-GB"/>
        </w:rPr>
      </w:pPr>
    </w:p>
    <w:p>
      <w:pPr>
        <w:keepNext/>
        <w:spacing w:line="240" w:lineRule="auto"/>
        <w:jc w:val="both"/>
        <w:rPr>
          <w:rFonts w:ascii="Times New Roman" w:hAnsi="Times New Roman"/>
          <w:b/>
          <w:bCs/>
          <w:noProof/>
          <w:sz w:val="20"/>
          <w:szCs w:val="20"/>
          <w:lang w:val="fr-BE" w:eastAsia="en-GB"/>
        </w:rPr>
        <w:sectPr>
          <w:headerReference w:type="even" r:id="rId34"/>
          <w:headerReference w:type="default" r:id="rId35"/>
          <w:footerReference w:type="even" r:id="rId36"/>
          <w:footerReference w:type="default" r:id="rId37"/>
          <w:headerReference w:type="first" r:id="rId38"/>
          <w:footerReference w:type="first" r:id="rId39"/>
          <w:pgSz w:w="16838" w:h="11906" w:orient="landscape"/>
          <w:pgMar w:top="1417" w:right="1417" w:bottom="1417" w:left="1417" w:header="708" w:footer="708" w:gutter="0"/>
          <w:cols w:space="720"/>
          <w:docGrid w:linePitch="360"/>
        </w:sectPr>
      </w:pPr>
    </w:p>
    <w:p>
      <w:pPr>
        <w:keepNext/>
        <w:spacing w:line="240" w:lineRule="auto"/>
        <w:jc w:val="both"/>
        <w:rPr>
          <w:rFonts w:ascii="Times New Roman" w:hAnsi="Times New Roman"/>
          <w:b/>
          <w:bCs/>
          <w:noProof/>
          <w:sz w:val="20"/>
          <w:szCs w:val="20"/>
          <w:lang w:val="fr-BE" w:eastAsia="en-GB"/>
        </w:rPr>
      </w:pPr>
    </w:p>
    <w:p>
      <w:pPr>
        <w:keepNext/>
        <w:spacing w:line="240" w:lineRule="auto"/>
        <w:jc w:val="both"/>
        <w:rPr>
          <w:rFonts w:ascii="Times New Roman" w:hAnsi="Times New Roman"/>
          <w:b/>
          <w:noProof/>
          <w:sz w:val="20"/>
          <w:szCs w:val="20"/>
          <w:lang w:val="fr-BE"/>
        </w:rPr>
      </w:pPr>
      <w:r>
        <w:rPr>
          <w:rFonts w:ascii="Times New Roman" w:hAnsi="Times New Roman"/>
          <w:b/>
          <w:bCs/>
          <w:noProof/>
          <w:sz w:val="20"/>
          <w:szCs w:val="20"/>
          <w:lang w:val="fr-BE"/>
        </w:rPr>
        <w:t>Tableau 3:</w:t>
      </w:r>
      <w:r>
        <w:rPr>
          <w:rFonts w:ascii="Times New Roman" w:hAnsi="Times New Roman"/>
          <w:b/>
          <w:noProof/>
          <w:sz w:val="20"/>
          <w:szCs w:val="20"/>
          <w:lang w:val="fr-BE"/>
        </w:rPr>
        <w:t xml:space="preserve"> Niveau approximatif des droits et base de calcul pour les États membres qui mettent le traitement des autorisations FLEGT à la charge des importateurs</w:t>
      </w:r>
    </w:p>
    <w:tbl>
      <w:tblPr>
        <w:tblW w:w="9087" w:type="dxa"/>
        <w:tblBorders>
          <w:top w:val="single" w:sz="4" w:space="0" w:color="auto"/>
          <w:bottom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291"/>
        <w:gridCol w:w="1843"/>
        <w:gridCol w:w="5953"/>
      </w:tblGrid>
      <w:tr>
        <w:trPr>
          <w:trHeight w:val="20"/>
        </w:trPr>
        <w:tc>
          <w:tcPr>
            <w:tcW w:w="1291" w:type="dxa"/>
            <w:shd w:val="clear" w:color="000000" w:fill="6C8911"/>
            <w:noWrap/>
            <w:tcMar>
              <w:top w:w="15" w:type="dxa"/>
              <w:left w:w="15" w:type="dxa"/>
              <w:bottom w:w="0" w:type="dxa"/>
              <w:right w:w="15" w:type="dxa"/>
            </w:tcMar>
            <w:hideMark/>
          </w:tcPr>
          <w:p>
            <w:pPr>
              <w:spacing w:after="0" w:line="240" w:lineRule="auto"/>
              <w:rPr>
                <w:rFonts w:ascii="Times New Roman" w:hAnsi="Times New Roman"/>
                <w:noProof/>
                <w:color w:val="FFFFFF"/>
                <w:sz w:val="18"/>
                <w:szCs w:val="18"/>
              </w:rPr>
            </w:pPr>
            <w:bookmarkStart w:id="11" w:name="_Toc513702709"/>
            <w:r>
              <w:rPr>
                <w:rFonts w:ascii="Times New Roman" w:hAnsi="Times New Roman"/>
                <w:noProof/>
                <w:color w:val="FFFFFF"/>
                <w:sz w:val="18"/>
                <w:szCs w:val="18"/>
              </w:rPr>
              <w:t>Pays</w:t>
            </w:r>
          </w:p>
        </w:tc>
        <w:tc>
          <w:tcPr>
            <w:tcW w:w="1843" w:type="dxa"/>
            <w:shd w:val="clear" w:color="000000" w:fill="6C8911"/>
            <w:noWrap/>
            <w:tcMar>
              <w:top w:w="15" w:type="dxa"/>
              <w:left w:w="15" w:type="dxa"/>
              <w:bottom w:w="0" w:type="dxa"/>
              <w:right w:w="15" w:type="dxa"/>
            </w:tcMar>
            <w:hideMark/>
          </w:tcPr>
          <w:p>
            <w:pPr>
              <w:spacing w:after="0" w:line="240" w:lineRule="auto"/>
              <w:rPr>
                <w:rFonts w:ascii="Times New Roman" w:hAnsi="Times New Roman"/>
                <w:noProof/>
                <w:color w:val="FFFFFF"/>
                <w:sz w:val="18"/>
                <w:szCs w:val="18"/>
              </w:rPr>
            </w:pPr>
            <w:r>
              <w:rPr>
                <w:rFonts w:ascii="Times New Roman" w:hAnsi="Times New Roman"/>
                <w:noProof/>
                <w:color w:val="FFFFFF"/>
                <w:sz w:val="18"/>
                <w:szCs w:val="18"/>
              </w:rPr>
              <w:t>Niveau des droits [converti]</w:t>
            </w:r>
          </w:p>
        </w:tc>
        <w:tc>
          <w:tcPr>
            <w:tcW w:w="5953" w:type="dxa"/>
            <w:shd w:val="clear" w:color="000000" w:fill="6C8911"/>
            <w:noWrap/>
            <w:tcMar>
              <w:top w:w="15" w:type="dxa"/>
              <w:left w:w="15" w:type="dxa"/>
              <w:bottom w:w="0" w:type="dxa"/>
              <w:right w:w="15" w:type="dxa"/>
            </w:tcMar>
            <w:hideMark/>
          </w:tcPr>
          <w:p>
            <w:pPr>
              <w:spacing w:after="0" w:line="240" w:lineRule="auto"/>
              <w:rPr>
                <w:rFonts w:ascii="Times New Roman" w:hAnsi="Times New Roman"/>
                <w:noProof/>
                <w:color w:val="FFFFFF"/>
                <w:sz w:val="18"/>
                <w:szCs w:val="18"/>
                <w:lang w:val="fr-BE"/>
              </w:rPr>
            </w:pPr>
            <w:r>
              <w:rPr>
                <w:rFonts w:ascii="Times New Roman" w:hAnsi="Times New Roman"/>
                <w:noProof/>
                <w:color w:val="FFFFFF"/>
                <w:sz w:val="18"/>
                <w:szCs w:val="18"/>
                <w:lang w:val="fr-BE"/>
              </w:rPr>
              <w:t>Base de calcul des droits</w:t>
            </w:r>
          </w:p>
        </w:tc>
      </w:tr>
      <w:tr>
        <w:trPr>
          <w:trHeight w:val="20"/>
        </w:trPr>
        <w:tc>
          <w:tcPr>
            <w:tcW w:w="1291" w:type="dxa"/>
            <w:shd w:val="clear" w:color="auto" w:fill="auto"/>
            <w:noWrap/>
            <w:tcMar>
              <w:top w:w="15" w:type="dxa"/>
              <w:left w:w="15" w:type="dxa"/>
              <w:bottom w:w="0" w:type="dxa"/>
              <w:right w:w="15" w:type="dxa"/>
            </w:tcMar>
            <w:hideMark/>
          </w:tcPr>
          <w:p>
            <w:pPr>
              <w:spacing w:after="0" w:line="240" w:lineRule="auto"/>
              <w:rPr>
                <w:rFonts w:ascii="Times New Roman" w:hAnsi="Times New Roman"/>
                <w:noProof/>
                <w:color w:val="000000"/>
                <w:sz w:val="18"/>
                <w:szCs w:val="18"/>
              </w:rPr>
            </w:pPr>
            <w:r>
              <w:rPr>
                <w:rFonts w:ascii="Times New Roman" w:hAnsi="Times New Roman"/>
                <w:noProof/>
                <w:color w:val="000000"/>
                <w:sz w:val="18"/>
                <w:szCs w:val="18"/>
              </w:rPr>
              <w:t>Autriche</w:t>
            </w:r>
          </w:p>
        </w:tc>
        <w:tc>
          <w:tcPr>
            <w:tcW w:w="1843" w:type="dxa"/>
            <w:shd w:val="clear" w:color="auto" w:fill="auto"/>
            <w:noWrap/>
            <w:tcMar>
              <w:top w:w="15" w:type="dxa"/>
              <w:left w:w="15" w:type="dxa"/>
              <w:bottom w:w="0" w:type="dxa"/>
              <w:right w:w="15" w:type="dxa"/>
            </w:tcMar>
            <w:hideMark/>
          </w:tcPr>
          <w:p>
            <w:pPr>
              <w:spacing w:after="0" w:line="240" w:lineRule="auto"/>
              <w:rPr>
                <w:rFonts w:ascii="Times New Roman" w:hAnsi="Times New Roman"/>
                <w:noProof/>
                <w:color w:val="000000"/>
                <w:sz w:val="18"/>
                <w:szCs w:val="18"/>
              </w:rPr>
            </w:pPr>
            <w:r>
              <w:rPr>
                <w:rFonts w:ascii="Times New Roman" w:hAnsi="Times New Roman"/>
                <w:noProof/>
                <w:color w:val="000000"/>
                <w:sz w:val="18"/>
                <w:szCs w:val="18"/>
              </w:rPr>
              <w:t>105,90 EUR</w:t>
            </w:r>
          </w:p>
        </w:tc>
        <w:tc>
          <w:tcPr>
            <w:tcW w:w="5953" w:type="dxa"/>
            <w:shd w:val="clear" w:color="auto" w:fill="auto"/>
            <w:tcMar>
              <w:top w:w="15" w:type="dxa"/>
              <w:left w:w="15" w:type="dxa"/>
              <w:bottom w:w="0" w:type="dxa"/>
              <w:right w:w="15" w:type="dxa"/>
            </w:tcMar>
            <w:hideMark/>
          </w:tcPr>
          <w:p>
            <w:pPr>
              <w:spacing w:after="0" w:line="240" w:lineRule="auto"/>
              <w:rPr>
                <w:rFonts w:ascii="Times New Roman" w:hAnsi="Times New Roman"/>
                <w:noProof/>
                <w:color w:val="000000"/>
                <w:sz w:val="18"/>
                <w:szCs w:val="18"/>
                <w:lang w:val="fr-BE"/>
              </w:rPr>
            </w:pPr>
            <w:r>
              <w:rPr>
                <w:rFonts w:ascii="Times New Roman" w:hAnsi="Times New Roman"/>
                <w:noProof/>
                <w:color w:val="000000"/>
                <w:sz w:val="18"/>
                <w:szCs w:val="18"/>
                <w:lang w:val="fr-BE"/>
              </w:rPr>
              <w:t>Les droits ont été calculés en fonction</w:t>
            </w:r>
            <w:r>
              <w:rPr>
                <w:rFonts w:ascii="Times New Roman" w:hAnsi="Times New Roman"/>
                <w:noProof/>
                <w:color w:val="000000"/>
                <w:sz w:val="18"/>
                <w:szCs w:val="18"/>
                <w:lang w:val="fr-BE"/>
              </w:rPr>
              <w:br/>
              <w:t>- du nombre d’importations du début de 2015 à la fin de mai 2016</w:t>
            </w:r>
            <w:r>
              <w:rPr>
                <w:rFonts w:ascii="Times New Roman" w:hAnsi="Times New Roman"/>
                <w:noProof/>
                <w:color w:val="000000"/>
                <w:sz w:val="18"/>
                <w:szCs w:val="18"/>
                <w:lang w:val="fr-BE"/>
              </w:rPr>
              <w:br/>
              <w:t>- du temps estimé nécessaire pour vérifier une autorisation dans le bureau</w:t>
            </w:r>
            <w:r>
              <w:rPr>
                <w:rFonts w:ascii="Times New Roman" w:hAnsi="Times New Roman"/>
                <w:noProof/>
                <w:color w:val="000000"/>
                <w:sz w:val="18"/>
                <w:szCs w:val="18"/>
                <w:lang w:val="fr-BE"/>
              </w:rPr>
              <w:br/>
              <w:t>- de la durée et des coûts (temps de travail, frais de déplacement) estimés des contrôles physiques.</w:t>
            </w:r>
          </w:p>
        </w:tc>
      </w:tr>
      <w:tr>
        <w:trPr>
          <w:trHeight w:val="20"/>
        </w:trPr>
        <w:tc>
          <w:tcPr>
            <w:tcW w:w="1291" w:type="dxa"/>
            <w:shd w:val="clear" w:color="auto" w:fill="auto"/>
            <w:noWrap/>
            <w:tcMar>
              <w:top w:w="15" w:type="dxa"/>
              <w:left w:w="15" w:type="dxa"/>
              <w:bottom w:w="0" w:type="dxa"/>
              <w:right w:w="15" w:type="dxa"/>
            </w:tcMar>
            <w:hideMark/>
          </w:tcPr>
          <w:p>
            <w:pPr>
              <w:spacing w:after="0" w:line="240" w:lineRule="auto"/>
              <w:rPr>
                <w:rFonts w:ascii="Times New Roman" w:hAnsi="Times New Roman"/>
                <w:noProof/>
                <w:color w:val="000000"/>
                <w:sz w:val="18"/>
                <w:szCs w:val="18"/>
              </w:rPr>
            </w:pPr>
            <w:r>
              <w:rPr>
                <w:rFonts w:ascii="Times New Roman" w:hAnsi="Times New Roman"/>
                <w:noProof/>
                <w:color w:val="000000"/>
                <w:sz w:val="18"/>
                <w:szCs w:val="18"/>
              </w:rPr>
              <w:t>Belgique</w:t>
            </w:r>
          </w:p>
        </w:tc>
        <w:tc>
          <w:tcPr>
            <w:tcW w:w="1843" w:type="dxa"/>
            <w:shd w:val="clear" w:color="auto" w:fill="auto"/>
            <w:noWrap/>
            <w:tcMar>
              <w:top w:w="15" w:type="dxa"/>
              <w:left w:w="15" w:type="dxa"/>
              <w:bottom w:w="0" w:type="dxa"/>
              <w:right w:w="15" w:type="dxa"/>
            </w:tcMar>
            <w:hideMark/>
          </w:tcPr>
          <w:p>
            <w:pPr>
              <w:spacing w:after="0" w:line="240" w:lineRule="auto"/>
              <w:rPr>
                <w:rFonts w:ascii="Times New Roman" w:hAnsi="Times New Roman"/>
                <w:noProof/>
                <w:color w:val="000000"/>
                <w:sz w:val="18"/>
                <w:szCs w:val="18"/>
                <w:lang w:val="fr-BE"/>
              </w:rPr>
            </w:pPr>
            <w:r>
              <w:rPr>
                <w:rFonts w:ascii="Times New Roman" w:hAnsi="Times New Roman"/>
                <w:noProof/>
                <w:color w:val="000000"/>
                <w:sz w:val="18"/>
                <w:szCs w:val="18"/>
                <w:lang w:val="fr-BE"/>
              </w:rPr>
              <w:t>50 EUR (seulement pour les expéditions de plus de 500 kg)</w:t>
            </w:r>
          </w:p>
        </w:tc>
        <w:tc>
          <w:tcPr>
            <w:tcW w:w="5953" w:type="dxa"/>
            <w:shd w:val="clear" w:color="auto" w:fill="auto"/>
            <w:noWrap/>
            <w:tcMar>
              <w:top w:w="15" w:type="dxa"/>
              <w:left w:w="15" w:type="dxa"/>
              <w:bottom w:w="0" w:type="dxa"/>
              <w:right w:w="15" w:type="dxa"/>
            </w:tcMar>
            <w:hideMark/>
          </w:tcPr>
          <w:p>
            <w:pPr>
              <w:spacing w:after="0" w:line="240" w:lineRule="auto"/>
              <w:rPr>
                <w:rFonts w:ascii="Times New Roman" w:hAnsi="Times New Roman"/>
                <w:noProof/>
                <w:color w:val="000000"/>
                <w:sz w:val="18"/>
                <w:szCs w:val="18"/>
                <w:lang w:val="fr-BE"/>
              </w:rPr>
            </w:pPr>
            <w:r>
              <w:rPr>
                <w:rFonts w:ascii="Times New Roman" w:hAnsi="Times New Roman"/>
                <w:noProof/>
                <w:color w:val="000000"/>
                <w:sz w:val="18"/>
                <w:szCs w:val="18"/>
                <w:lang w:val="fr-BE"/>
              </w:rPr>
              <w:t>Base légale pour les droits</w:t>
            </w:r>
          </w:p>
        </w:tc>
      </w:tr>
      <w:tr>
        <w:trPr>
          <w:trHeight w:val="20"/>
        </w:trPr>
        <w:tc>
          <w:tcPr>
            <w:tcW w:w="1291" w:type="dxa"/>
            <w:shd w:val="clear" w:color="auto" w:fill="auto"/>
            <w:noWrap/>
            <w:tcMar>
              <w:top w:w="15" w:type="dxa"/>
              <w:left w:w="15" w:type="dxa"/>
              <w:bottom w:w="0" w:type="dxa"/>
              <w:right w:w="15" w:type="dxa"/>
            </w:tcMar>
            <w:hideMark/>
          </w:tcPr>
          <w:p>
            <w:pPr>
              <w:spacing w:after="0" w:line="240" w:lineRule="auto"/>
              <w:rPr>
                <w:rFonts w:ascii="Times New Roman" w:hAnsi="Times New Roman"/>
                <w:noProof/>
                <w:color w:val="000000"/>
                <w:sz w:val="18"/>
                <w:szCs w:val="18"/>
              </w:rPr>
            </w:pPr>
            <w:r>
              <w:rPr>
                <w:rFonts w:ascii="Times New Roman" w:hAnsi="Times New Roman"/>
                <w:noProof/>
                <w:color w:val="000000"/>
                <w:sz w:val="18"/>
                <w:szCs w:val="18"/>
              </w:rPr>
              <w:t>Finlande</w:t>
            </w:r>
          </w:p>
        </w:tc>
        <w:tc>
          <w:tcPr>
            <w:tcW w:w="1843" w:type="dxa"/>
            <w:shd w:val="clear" w:color="auto" w:fill="auto"/>
            <w:noWrap/>
            <w:tcMar>
              <w:top w:w="15" w:type="dxa"/>
              <w:left w:w="15" w:type="dxa"/>
              <w:bottom w:w="0" w:type="dxa"/>
              <w:right w:w="15" w:type="dxa"/>
            </w:tcMar>
            <w:hideMark/>
          </w:tcPr>
          <w:p>
            <w:pPr>
              <w:spacing w:after="0" w:line="240" w:lineRule="auto"/>
              <w:rPr>
                <w:rFonts w:ascii="Times New Roman" w:hAnsi="Times New Roman"/>
                <w:noProof/>
                <w:color w:val="000000"/>
                <w:sz w:val="18"/>
                <w:szCs w:val="18"/>
              </w:rPr>
            </w:pPr>
            <w:r>
              <w:rPr>
                <w:rFonts w:ascii="Times New Roman" w:hAnsi="Times New Roman"/>
                <w:noProof/>
                <w:color w:val="000000"/>
                <w:sz w:val="18"/>
                <w:szCs w:val="18"/>
              </w:rPr>
              <w:t>70 EUR</w:t>
            </w:r>
          </w:p>
        </w:tc>
        <w:tc>
          <w:tcPr>
            <w:tcW w:w="5953" w:type="dxa"/>
            <w:shd w:val="clear" w:color="auto" w:fill="auto"/>
            <w:noWrap/>
            <w:tcMar>
              <w:top w:w="15" w:type="dxa"/>
              <w:left w:w="15" w:type="dxa"/>
              <w:bottom w:w="0" w:type="dxa"/>
              <w:right w:w="15" w:type="dxa"/>
            </w:tcMar>
            <w:hideMark/>
          </w:tcPr>
          <w:p>
            <w:pPr>
              <w:spacing w:after="0" w:line="240" w:lineRule="auto"/>
              <w:rPr>
                <w:rFonts w:ascii="Times New Roman" w:hAnsi="Times New Roman"/>
                <w:noProof/>
                <w:color w:val="000000"/>
                <w:sz w:val="18"/>
                <w:szCs w:val="18"/>
                <w:lang w:val="fr-BE"/>
              </w:rPr>
            </w:pPr>
            <w:r>
              <w:rPr>
                <w:rFonts w:ascii="Times New Roman" w:hAnsi="Times New Roman"/>
                <w:noProof/>
                <w:color w:val="000000"/>
                <w:sz w:val="18"/>
                <w:szCs w:val="18"/>
                <w:lang w:val="fr-BE"/>
              </w:rPr>
              <w:t>Base légale pour les droits; sur la base du temps moyen passé par le personnel pour traiter une autorisation FLEGT</w:t>
            </w:r>
          </w:p>
        </w:tc>
      </w:tr>
      <w:tr>
        <w:trPr>
          <w:trHeight w:val="20"/>
        </w:trPr>
        <w:tc>
          <w:tcPr>
            <w:tcW w:w="1291" w:type="dxa"/>
            <w:shd w:val="clear" w:color="auto" w:fill="auto"/>
            <w:noWrap/>
            <w:tcMar>
              <w:top w:w="15" w:type="dxa"/>
              <w:left w:w="15" w:type="dxa"/>
              <w:bottom w:w="0" w:type="dxa"/>
              <w:right w:w="15" w:type="dxa"/>
            </w:tcMar>
            <w:hideMark/>
          </w:tcPr>
          <w:p>
            <w:pPr>
              <w:spacing w:after="0" w:line="240" w:lineRule="auto"/>
              <w:rPr>
                <w:rFonts w:ascii="Times New Roman" w:hAnsi="Times New Roman"/>
                <w:noProof/>
                <w:color w:val="000000"/>
                <w:sz w:val="18"/>
                <w:szCs w:val="18"/>
              </w:rPr>
            </w:pPr>
            <w:r>
              <w:rPr>
                <w:rFonts w:ascii="Times New Roman" w:hAnsi="Times New Roman"/>
                <w:noProof/>
                <w:color w:val="000000"/>
                <w:sz w:val="18"/>
                <w:szCs w:val="18"/>
              </w:rPr>
              <w:t>Grèce</w:t>
            </w:r>
          </w:p>
        </w:tc>
        <w:tc>
          <w:tcPr>
            <w:tcW w:w="1843" w:type="dxa"/>
            <w:shd w:val="clear" w:color="auto" w:fill="auto"/>
            <w:noWrap/>
            <w:tcMar>
              <w:top w:w="15" w:type="dxa"/>
              <w:left w:w="15" w:type="dxa"/>
              <w:bottom w:w="0" w:type="dxa"/>
              <w:right w:w="15" w:type="dxa"/>
            </w:tcMar>
            <w:hideMark/>
          </w:tcPr>
          <w:p>
            <w:pPr>
              <w:spacing w:after="0" w:line="240" w:lineRule="auto"/>
              <w:rPr>
                <w:rFonts w:ascii="Times New Roman" w:hAnsi="Times New Roman"/>
                <w:noProof/>
                <w:color w:val="000000"/>
                <w:sz w:val="18"/>
                <w:szCs w:val="18"/>
              </w:rPr>
            </w:pPr>
            <w:r>
              <w:rPr>
                <w:rFonts w:ascii="Times New Roman" w:hAnsi="Times New Roman"/>
                <w:noProof/>
                <w:color w:val="000000"/>
                <w:sz w:val="18"/>
                <w:szCs w:val="18"/>
              </w:rPr>
              <w:t>100 EUR</w:t>
            </w:r>
          </w:p>
        </w:tc>
        <w:tc>
          <w:tcPr>
            <w:tcW w:w="5953" w:type="dxa"/>
            <w:shd w:val="clear" w:color="auto" w:fill="auto"/>
            <w:noWrap/>
            <w:tcMar>
              <w:top w:w="15" w:type="dxa"/>
              <w:left w:w="15" w:type="dxa"/>
              <w:bottom w:w="0" w:type="dxa"/>
              <w:right w:w="15" w:type="dxa"/>
            </w:tcMar>
            <w:hideMark/>
          </w:tcPr>
          <w:p>
            <w:pPr>
              <w:spacing w:after="0" w:line="240" w:lineRule="auto"/>
              <w:rPr>
                <w:rFonts w:ascii="Times New Roman" w:hAnsi="Times New Roman"/>
                <w:noProof/>
                <w:color w:val="000000"/>
                <w:sz w:val="18"/>
                <w:szCs w:val="18"/>
                <w:lang w:val="fr-BE"/>
              </w:rPr>
            </w:pPr>
            <w:r>
              <w:rPr>
                <w:rFonts w:ascii="Times New Roman" w:hAnsi="Times New Roman"/>
                <w:noProof/>
                <w:color w:val="000000"/>
                <w:sz w:val="18"/>
                <w:szCs w:val="18"/>
                <w:lang w:val="fr-BE"/>
              </w:rPr>
              <w:t>Base légale pour les droits</w:t>
            </w:r>
          </w:p>
        </w:tc>
      </w:tr>
      <w:tr>
        <w:trPr>
          <w:trHeight w:val="20"/>
        </w:trPr>
        <w:tc>
          <w:tcPr>
            <w:tcW w:w="1291" w:type="dxa"/>
            <w:shd w:val="clear" w:color="auto" w:fill="auto"/>
            <w:noWrap/>
            <w:tcMar>
              <w:top w:w="15" w:type="dxa"/>
              <w:left w:w="15" w:type="dxa"/>
              <w:bottom w:w="0" w:type="dxa"/>
              <w:right w:w="15" w:type="dxa"/>
            </w:tcMar>
            <w:hideMark/>
          </w:tcPr>
          <w:p>
            <w:pPr>
              <w:spacing w:after="0" w:line="240" w:lineRule="auto"/>
              <w:rPr>
                <w:rFonts w:ascii="Times New Roman" w:hAnsi="Times New Roman"/>
                <w:noProof/>
                <w:color w:val="000000"/>
                <w:sz w:val="18"/>
                <w:szCs w:val="18"/>
              </w:rPr>
            </w:pPr>
            <w:r>
              <w:rPr>
                <w:rFonts w:ascii="Times New Roman" w:hAnsi="Times New Roman"/>
                <w:noProof/>
                <w:color w:val="000000"/>
                <w:sz w:val="18"/>
                <w:szCs w:val="18"/>
              </w:rPr>
              <w:t>Italie</w:t>
            </w:r>
          </w:p>
        </w:tc>
        <w:tc>
          <w:tcPr>
            <w:tcW w:w="1843" w:type="dxa"/>
            <w:shd w:val="clear" w:color="auto" w:fill="auto"/>
            <w:noWrap/>
            <w:tcMar>
              <w:top w:w="15" w:type="dxa"/>
              <w:left w:w="15" w:type="dxa"/>
              <w:bottom w:w="0" w:type="dxa"/>
              <w:right w:w="15" w:type="dxa"/>
            </w:tcMar>
            <w:hideMark/>
          </w:tcPr>
          <w:p>
            <w:pPr>
              <w:spacing w:after="0" w:line="240" w:lineRule="auto"/>
              <w:rPr>
                <w:rFonts w:ascii="Times New Roman" w:hAnsi="Times New Roman"/>
                <w:noProof/>
                <w:color w:val="000000"/>
                <w:sz w:val="18"/>
                <w:szCs w:val="18"/>
              </w:rPr>
            </w:pPr>
            <w:r>
              <w:rPr>
                <w:rFonts w:ascii="Times New Roman" w:hAnsi="Times New Roman"/>
                <w:noProof/>
                <w:color w:val="000000"/>
                <w:sz w:val="18"/>
                <w:szCs w:val="18"/>
              </w:rPr>
              <w:t>50 EUR</w:t>
            </w:r>
          </w:p>
        </w:tc>
        <w:tc>
          <w:tcPr>
            <w:tcW w:w="5953" w:type="dxa"/>
            <w:shd w:val="clear" w:color="auto" w:fill="auto"/>
            <w:noWrap/>
            <w:tcMar>
              <w:top w:w="15" w:type="dxa"/>
              <w:left w:w="15" w:type="dxa"/>
              <w:bottom w:w="0" w:type="dxa"/>
              <w:right w:w="15" w:type="dxa"/>
            </w:tcMar>
            <w:hideMark/>
          </w:tcPr>
          <w:p>
            <w:pPr>
              <w:spacing w:after="0" w:line="240" w:lineRule="auto"/>
              <w:rPr>
                <w:rFonts w:ascii="Times New Roman" w:hAnsi="Times New Roman"/>
                <w:noProof/>
                <w:color w:val="000000"/>
                <w:sz w:val="18"/>
                <w:szCs w:val="18"/>
                <w:lang w:val="fr-BE"/>
              </w:rPr>
            </w:pPr>
            <w:r>
              <w:rPr>
                <w:rFonts w:ascii="Times New Roman" w:hAnsi="Times New Roman"/>
                <w:noProof/>
                <w:color w:val="000000"/>
                <w:sz w:val="18"/>
                <w:szCs w:val="18"/>
                <w:lang w:val="fr-BE"/>
              </w:rPr>
              <w:t>Sur la base du temps moyen passé par le personnel pour traiter une autorisation FLEGT</w:t>
            </w:r>
          </w:p>
        </w:tc>
      </w:tr>
      <w:tr>
        <w:trPr>
          <w:trHeight w:val="20"/>
        </w:trPr>
        <w:tc>
          <w:tcPr>
            <w:tcW w:w="1291" w:type="dxa"/>
            <w:shd w:val="clear" w:color="auto" w:fill="auto"/>
            <w:noWrap/>
            <w:tcMar>
              <w:top w:w="15" w:type="dxa"/>
              <w:left w:w="15" w:type="dxa"/>
              <w:bottom w:w="0" w:type="dxa"/>
              <w:right w:w="15" w:type="dxa"/>
            </w:tcMar>
            <w:hideMark/>
          </w:tcPr>
          <w:p>
            <w:pPr>
              <w:spacing w:after="0" w:line="240" w:lineRule="auto"/>
              <w:rPr>
                <w:rFonts w:ascii="Times New Roman" w:hAnsi="Times New Roman"/>
                <w:noProof/>
                <w:color w:val="000000"/>
                <w:sz w:val="18"/>
                <w:szCs w:val="18"/>
              </w:rPr>
            </w:pPr>
            <w:r>
              <w:rPr>
                <w:rFonts w:ascii="Times New Roman" w:hAnsi="Times New Roman"/>
                <w:noProof/>
                <w:color w:val="000000"/>
                <w:sz w:val="18"/>
                <w:szCs w:val="18"/>
              </w:rPr>
              <w:t>Royaume-Uni</w:t>
            </w:r>
          </w:p>
        </w:tc>
        <w:tc>
          <w:tcPr>
            <w:tcW w:w="1843" w:type="dxa"/>
            <w:shd w:val="clear" w:color="auto" w:fill="auto"/>
            <w:noWrap/>
            <w:tcMar>
              <w:top w:w="15" w:type="dxa"/>
              <w:left w:w="15" w:type="dxa"/>
              <w:bottom w:w="0" w:type="dxa"/>
              <w:right w:w="15" w:type="dxa"/>
            </w:tcMar>
            <w:hideMark/>
          </w:tcPr>
          <w:p>
            <w:pPr>
              <w:spacing w:after="0" w:line="240" w:lineRule="auto"/>
              <w:rPr>
                <w:rFonts w:ascii="Times New Roman" w:hAnsi="Times New Roman"/>
                <w:noProof/>
                <w:color w:val="000000"/>
                <w:sz w:val="18"/>
                <w:szCs w:val="18"/>
              </w:rPr>
            </w:pPr>
            <w:r>
              <w:rPr>
                <w:rFonts w:ascii="Times New Roman" w:hAnsi="Times New Roman"/>
                <w:noProof/>
                <w:color w:val="000000"/>
                <w:sz w:val="18"/>
                <w:szCs w:val="18"/>
              </w:rPr>
              <w:t>9,60 GBP (11,26 EUR)</w:t>
            </w:r>
          </w:p>
        </w:tc>
        <w:tc>
          <w:tcPr>
            <w:tcW w:w="5953" w:type="dxa"/>
            <w:shd w:val="clear" w:color="auto" w:fill="auto"/>
            <w:noWrap/>
            <w:tcMar>
              <w:top w:w="15" w:type="dxa"/>
              <w:left w:w="15" w:type="dxa"/>
              <w:bottom w:w="0" w:type="dxa"/>
              <w:right w:w="15" w:type="dxa"/>
            </w:tcMar>
            <w:hideMark/>
          </w:tcPr>
          <w:p>
            <w:pPr>
              <w:spacing w:after="0" w:line="240" w:lineRule="auto"/>
              <w:rPr>
                <w:rFonts w:ascii="Times New Roman" w:hAnsi="Times New Roman"/>
                <w:noProof/>
                <w:color w:val="000000"/>
                <w:sz w:val="18"/>
                <w:szCs w:val="18"/>
                <w:lang w:val="fr-BE"/>
              </w:rPr>
            </w:pPr>
            <w:r>
              <w:rPr>
                <w:rFonts w:ascii="Times New Roman" w:hAnsi="Times New Roman"/>
                <w:noProof/>
                <w:color w:val="000000"/>
                <w:sz w:val="18"/>
                <w:szCs w:val="18"/>
                <w:lang w:val="fr-BE"/>
              </w:rPr>
              <w:t>Base légale pour les droits; sur la base du temps moyen passé par le personnel pour traiter une autorisation FLEGT</w:t>
            </w:r>
          </w:p>
        </w:tc>
      </w:tr>
      <w:bookmarkEnd w:id="11"/>
    </w:tbl>
    <w:p>
      <w:pPr>
        <w:keepNext/>
        <w:tabs>
          <w:tab w:val="left" w:pos="10635"/>
        </w:tabs>
        <w:spacing w:after="120" w:line="270" w:lineRule="atLeast"/>
        <w:rPr>
          <w:rFonts w:ascii="Times New Roman" w:hAnsi="Times New Roman"/>
          <w:noProof/>
          <w:sz w:val="24"/>
          <w:szCs w:val="24"/>
          <w:lang w:val="fr-BE" w:eastAsia="en-GB"/>
        </w:rPr>
      </w:pPr>
    </w:p>
    <w:sectPr>
      <w:headerReference w:type="even" r:id="rId40"/>
      <w:headerReference w:type="default" r:id="rId41"/>
      <w:footerReference w:type="even" r:id="rId42"/>
      <w:footerReference w:type="default" r:id="rId43"/>
      <w:headerReference w:type="first" r:id="rId44"/>
      <w:footerReference w:type="first" r:id="rId45"/>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nstantia">
    <w:panose1 w:val="02030602050306030303"/>
    <w:charset w:val="00"/>
    <w:family w:val="roman"/>
    <w:pitch w:val="variable"/>
    <w:sig w:usb0="A00002EF" w:usb1="4000204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right"/>
    </w:pPr>
    <w:r>
      <w:fldChar w:fldCharType="begin"/>
    </w:r>
    <w:r>
      <w:instrText xml:space="preserve"> PAGE   \* MERGEFORMAT </w:instrText>
    </w:r>
    <w:r>
      <w:fldChar w:fldCharType="separate"/>
    </w:r>
    <w:r>
      <w:rPr>
        <w:noProof/>
      </w:rPr>
      <w:t>12</w:t>
    </w:r>
    <w:r>
      <w:fldChar w:fldCharType="end"/>
    </w:r>
  </w:p>
  <w:p>
    <w:pPr>
      <w:pStyle w:val="Foote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right"/>
    </w:pPr>
    <w:r>
      <w:fldChar w:fldCharType="begin"/>
    </w:r>
    <w:r>
      <w:instrText xml:space="preserve"> PAGE   \* MERGEFORMAT </w:instrText>
    </w:r>
    <w:r>
      <w:fldChar w:fldCharType="separate"/>
    </w:r>
    <w:r>
      <w:rPr>
        <w:noProof/>
      </w:rPr>
      <w:t>14</w:t>
    </w:r>
    <w:r>
      <w:rPr>
        <w:noProof/>
      </w:rPr>
      <w:fldChar w:fldCharType="end"/>
    </w:r>
  </w:p>
  <w:p>
    <w:pPr>
      <w:pStyle w:val="Foote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right"/>
    </w:pPr>
    <w:r>
      <w:fldChar w:fldCharType="begin"/>
    </w:r>
    <w:r>
      <w:instrText xml:space="preserve"> PAGE   \* MERGEFORMAT </w:instrText>
    </w:r>
    <w:r>
      <w:fldChar w:fldCharType="separate"/>
    </w:r>
    <w:r>
      <w:rPr>
        <w:noProof/>
      </w:rPr>
      <w:t>1</w:t>
    </w:r>
    <w:r>
      <w:fldChar w:fldCharType="end"/>
    </w:r>
  </w:p>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right"/>
    </w:pPr>
    <w:r>
      <w:fldChar w:fldCharType="begin"/>
    </w:r>
    <w:r>
      <w:instrText xml:space="preserve"> PAGE   \* MERGEFORMAT </w:instrText>
    </w:r>
    <w:r>
      <w:fldChar w:fldCharType="separate"/>
    </w:r>
    <w:r>
      <w:rPr>
        <w:noProof/>
      </w:rPr>
      <w:t>10</w:t>
    </w:r>
    <w:r>
      <w:fldChar w:fldCharType="end"/>
    </w:r>
  </w:p>
  <w:p>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spacing w:after="0" w:line="240" w:lineRule="auto"/>
        <w:jc w:val="both"/>
        <w:rPr>
          <w:rFonts w:ascii="Times New Roman" w:hAnsi="Times New Roman"/>
          <w:sz w:val="20"/>
          <w:szCs w:val="20"/>
          <w:lang w:val="pt-PT"/>
        </w:rPr>
      </w:pPr>
      <w:r>
        <w:rPr>
          <w:rStyle w:val="FootnoteReference"/>
          <w:rFonts w:ascii="Times New Roman" w:hAnsi="Times New Roman"/>
          <w:sz w:val="20"/>
          <w:szCs w:val="20"/>
        </w:rPr>
        <w:footnoteRef/>
      </w:r>
      <w:r>
        <w:rPr>
          <w:rFonts w:ascii="Times New Roman" w:hAnsi="Times New Roman"/>
          <w:sz w:val="20"/>
          <w:szCs w:val="20"/>
          <w:lang w:val="pt-PT"/>
        </w:rPr>
        <w:t xml:space="preserve"> JO L 347 du 30.12.2005, p. 1.</w:t>
      </w:r>
    </w:p>
  </w:footnote>
  <w:footnote w:id="2">
    <w:p>
      <w:pPr>
        <w:pStyle w:val="FootnoteText"/>
        <w:rPr>
          <w:rFonts w:ascii="Times New Roman" w:hAnsi="Times New Roman"/>
          <w:lang w:val="pt-PT"/>
        </w:rPr>
      </w:pPr>
      <w:r>
        <w:rPr>
          <w:rStyle w:val="FootnoteReference"/>
          <w:rFonts w:ascii="Times New Roman" w:hAnsi="Times New Roman"/>
        </w:rPr>
        <w:footnoteRef/>
      </w:r>
      <w:r>
        <w:rPr>
          <w:rFonts w:ascii="Times New Roman" w:hAnsi="Times New Roman"/>
          <w:lang w:val="pt-PT"/>
        </w:rPr>
        <w:t xml:space="preserve"> COM(2003) 0251 final.</w:t>
      </w:r>
    </w:p>
  </w:footnote>
  <w:footnote w:id="3">
    <w:p>
      <w:pPr>
        <w:spacing w:after="0" w:line="240" w:lineRule="auto"/>
        <w:jc w:val="both"/>
        <w:rPr>
          <w:rFonts w:ascii="Times New Roman" w:hAnsi="Times New Roman"/>
          <w:sz w:val="20"/>
          <w:szCs w:val="20"/>
          <w:lang w:val="fr-BE"/>
        </w:rPr>
      </w:pPr>
      <w:r>
        <w:rPr>
          <w:rStyle w:val="FootnoteReference"/>
          <w:rFonts w:ascii="Times New Roman" w:hAnsi="Times New Roman"/>
          <w:sz w:val="20"/>
          <w:szCs w:val="20"/>
        </w:rPr>
        <w:footnoteRef/>
      </w:r>
      <w:r>
        <w:rPr>
          <w:rFonts w:ascii="Times New Roman" w:hAnsi="Times New Roman"/>
          <w:sz w:val="20"/>
          <w:szCs w:val="20"/>
          <w:lang w:val="fr-BE"/>
        </w:rPr>
        <w:t xml:space="preserve"> JO L 277 du 18.10.2008, p. 23.</w:t>
      </w:r>
    </w:p>
  </w:footnote>
  <w:footnote w:id="4">
    <w:p>
      <w:pPr>
        <w:pStyle w:val="FootnoteText"/>
        <w:rPr>
          <w:rFonts w:ascii="Times New Roman" w:hAnsi="Times New Roman"/>
          <w:lang w:val="fr-BE"/>
        </w:rPr>
      </w:pPr>
      <w:r>
        <w:rPr>
          <w:rStyle w:val="FootnoteReference"/>
          <w:rFonts w:ascii="Times New Roman" w:hAnsi="Times New Roman"/>
        </w:rPr>
        <w:footnoteRef/>
      </w:r>
      <w:r>
        <w:rPr>
          <w:rFonts w:ascii="Times New Roman" w:hAnsi="Times New Roman"/>
          <w:lang w:val="fr-BE"/>
        </w:rPr>
        <w:t xml:space="preserve"> Le premier rapport couvrait la période du 15 novembre au 31 décembre 2016, COM(2018) 448 final.</w:t>
      </w:r>
    </w:p>
  </w:footnote>
  <w:footnote w:id="5">
    <w:p>
      <w:pPr>
        <w:pStyle w:val="FootnoteText"/>
        <w:jc w:val="both"/>
        <w:rPr>
          <w:lang w:val="fr-BE"/>
        </w:rPr>
      </w:pPr>
      <w:r>
        <w:rPr>
          <w:rStyle w:val="FootnoteReference"/>
          <w:rFonts w:ascii="Times New Roman" w:hAnsi="Times New Roman"/>
        </w:rPr>
        <w:footnoteRef/>
      </w:r>
      <w:r>
        <w:rPr>
          <w:rFonts w:ascii="Times New Roman" w:hAnsi="Times New Roman"/>
          <w:lang w:val="fr-BE"/>
        </w:rPr>
        <w:t xml:space="preserve"> </w:t>
      </w:r>
      <w:hyperlink r:id="rId1" w:history="1">
        <w:r>
          <w:rPr>
            <w:rStyle w:val="Hyperlink"/>
            <w:rFonts w:ascii="Times New Roman" w:hAnsi="Times New Roman"/>
            <w:lang w:val="fr-BE"/>
          </w:rPr>
          <w:t>http://ec.europa.eu/environment/forests/flegt.htm</w:t>
        </w:r>
      </w:hyperlink>
    </w:p>
  </w:footnote>
  <w:footnote w:id="6">
    <w:p>
      <w:pPr>
        <w:pStyle w:val="FootnoteText"/>
        <w:tabs>
          <w:tab w:val="left" w:pos="240"/>
        </w:tabs>
        <w:rPr>
          <w:rFonts w:ascii="Times New Roman" w:hAnsi="Times New Roman"/>
          <w:lang w:val="fr-BE"/>
        </w:rPr>
      </w:pPr>
      <w:r>
        <w:rPr>
          <w:rStyle w:val="FootnoteReference"/>
          <w:rFonts w:ascii="Times New Roman" w:hAnsi="Times New Roman"/>
        </w:rPr>
        <w:footnoteRef/>
      </w:r>
      <w:r>
        <w:rPr>
          <w:rFonts w:ascii="Times New Roman" w:hAnsi="Times New Roman"/>
          <w:lang w:val="fr-BE"/>
        </w:rPr>
        <w:tab/>
        <w:t>C’est-à-dire le nombre d’autorisations déposées auprès de l’AC.</w:t>
      </w:r>
    </w:p>
  </w:footnote>
  <w:footnote w:id="7">
    <w:p>
      <w:pPr>
        <w:pStyle w:val="FootnoteText"/>
        <w:tabs>
          <w:tab w:val="left" w:pos="240"/>
        </w:tabs>
        <w:ind w:left="240" w:hanging="240"/>
        <w:rPr>
          <w:rFonts w:ascii="Times New Roman" w:hAnsi="Times New Roman"/>
          <w:lang w:val="fr-BE"/>
        </w:rPr>
      </w:pPr>
      <w:r>
        <w:rPr>
          <w:rStyle w:val="FootnoteReference"/>
          <w:rFonts w:ascii="Times New Roman" w:hAnsi="Times New Roman"/>
        </w:rPr>
        <w:footnoteRef/>
      </w:r>
      <w:r>
        <w:rPr>
          <w:rFonts w:ascii="Times New Roman" w:hAnsi="Times New Roman"/>
          <w:lang w:val="fr-BE"/>
        </w:rPr>
        <w:t xml:space="preserve"> </w:t>
      </w:r>
      <w:r>
        <w:rPr>
          <w:rFonts w:ascii="Times New Roman" w:hAnsi="Times New Roman"/>
          <w:lang w:val="fr-BE"/>
        </w:rPr>
        <w:tab/>
        <w:t>C’est-à-dire lorsque les autorités compétentes procèdent conformément à la législation nationale dans le cas d’expéditions qui ne sont pas couvertes par une autorisation FLEGT.</w:t>
      </w:r>
    </w:p>
  </w:footnote>
  <w:footnote w:id="8">
    <w:p>
      <w:pPr>
        <w:tabs>
          <w:tab w:val="left" w:pos="240"/>
        </w:tabs>
        <w:spacing w:after="0" w:line="240" w:lineRule="auto"/>
        <w:jc w:val="both"/>
        <w:rPr>
          <w:lang w:val="fr-BE"/>
        </w:rPr>
      </w:pPr>
      <w:r>
        <w:rPr>
          <w:rStyle w:val="FootnoteReference"/>
          <w:rFonts w:ascii="Times New Roman" w:hAnsi="Times New Roman"/>
          <w:sz w:val="20"/>
          <w:szCs w:val="20"/>
        </w:rPr>
        <w:footnoteRef/>
      </w:r>
      <w:r>
        <w:rPr>
          <w:rFonts w:ascii="Times New Roman" w:hAnsi="Times New Roman"/>
          <w:sz w:val="20"/>
          <w:szCs w:val="20"/>
          <w:lang w:val="fr-BE"/>
        </w:rPr>
        <w:tab/>
        <w:t xml:space="preserve">Voir </w:t>
      </w:r>
      <w:hyperlink r:id="rId2" w:history="1">
        <w:r>
          <w:rPr>
            <w:rStyle w:val="Hyperlink"/>
            <w:rFonts w:ascii="Times New Roman" w:hAnsi="Times New Roman"/>
            <w:sz w:val="20"/>
            <w:szCs w:val="20"/>
            <w:lang w:val="fr-BE"/>
          </w:rPr>
          <w:t>http://ec.europa.eu/environment/forests/pdf/list_competent_authorities_flegt.pdf</w:t>
        </w:r>
      </w:hyperlink>
      <w:r>
        <w:rPr>
          <w:rFonts w:ascii="Times New Roman" w:hAnsi="Times New Roman"/>
          <w:sz w:val="20"/>
          <w:szCs w:val="20"/>
          <w:lang w:val="fr-BE"/>
        </w:rPr>
        <w:t xml:space="preserve"> </w:t>
      </w:r>
    </w:p>
  </w:footnote>
  <w:footnote w:id="9">
    <w:p>
      <w:pPr>
        <w:pStyle w:val="FootnoteText"/>
        <w:rPr>
          <w:rFonts w:ascii="Times New Roman" w:hAnsi="Times New Roman"/>
          <w:lang w:val="fr-BE"/>
        </w:rPr>
      </w:pPr>
      <w:r>
        <w:rPr>
          <w:rStyle w:val="FootnoteReference"/>
          <w:rFonts w:ascii="Times New Roman" w:hAnsi="Times New Roman"/>
        </w:rPr>
        <w:footnoteRef/>
      </w:r>
      <w:r>
        <w:rPr>
          <w:rFonts w:ascii="Times New Roman" w:hAnsi="Times New Roman"/>
          <w:lang w:val="fr-BE"/>
        </w:rPr>
        <w:t xml:space="preserve"> Plus de 99 % (28 331) des autorisations FLEGT validées indiquaient le poids des marchandises; dans les 136 cas où le poids n’a pas été déclaré, 443 m</w:t>
      </w:r>
      <w:r>
        <w:rPr>
          <w:rFonts w:ascii="Times New Roman" w:hAnsi="Times New Roman"/>
          <w:vertAlign w:val="superscript"/>
          <w:lang w:val="fr-BE"/>
        </w:rPr>
        <w:t>3</w:t>
      </w:r>
      <w:r>
        <w:rPr>
          <w:rFonts w:ascii="Times New Roman" w:hAnsi="Times New Roman"/>
          <w:lang w:val="fr-BE"/>
        </w:rPr>
        <w:t xml:space="preserve"> et 801 913 articles supplémentaires ont été déclarés. </w:t>
      </w:r>
    </w:p>
    <w:p>
      <w:pPr>
        <w:pStyle w:val="FootnoteText"/>
        <w:jc w:val="both"/>
        <w:rPr>
          <w:rFonts w:asciiTheme="minorHAnsi" w:hAnsiTheme="minorHAnsi" w:cstheme="minorHAnsi"/>
          <w:lang w:val="fr-BE"/>
        </w:rPr>
      </w:pPr>
      <w:r>
        <w:rPr>
          <w:rFonts w:ascii="Times New Roman" w:hAnsi="Times New Roman"/>
          <w:lang w:val="fr-BE"/>
        </w:rPr>
        <w:t>Pour éviter le double comptage, lorsque la quantité était déclarée dans plusieurs mesures, le poids a été préféré au volume ou au nombre d’articles car c’était la mesure la plus fréquemment déclarée. Lorsque le poids n’a pas été déclaré, le volume a été préféré au nombre d’articles.</w:t>
      </w:r>
    </w:p>
  </w:footnote>
  <w:footnote w:id="10">
    <w:p>
      <w:pPr>
        <w:pStyle w:val="FootnoteText"/>
        <w:jc w:val="both"/>
        <w:rPr>
          <w:rFonts w:ascii="Times New Roman" w:hAnsi="Times New Roman"/>
          <w:sz w:val="16"/>
          <w:szCs w:val="16"/>
          <w:lang w:val="fr-BE"/>
        </w:rPr>
      </w:pPr>
      <w:r>
        <w:rPr>
          <w:rStyle w:val="FootnoteReference"/>
          <w:rFonts w:ascii="Times New Roman" w:hAnsi="Times New Roman"/>
        </w:rPr>
        <w:footnoteRef/>
      </w:r>
      <w:r>
        <w:rPr>
          <w:rFonts w:ascii="Times New Roman" w:hAnsi="Times New Roman"/>
          <w:lang w:val="fr-BE"/>
        </w:rPr>
        <w:t xml:space="preserve"> Le présent rapport n’inclut que les données des autorisations FLEGT. Bien que les États membres aient communiqué des données provenant des déclarations douanières, celles-ci n’étaient pas toujours directement comparables avec les données des autorisations FLEGT en raison de l’utilisation d’unités de mesure différentes.</w:t>
      </w:r>
      <w:r>
        <w:rPr>
          <w:rFonts w:ascii="Times New Roman" w:hAnsi="Times New Roman"/>
          <w:sz w:val="16"/>
          <w:szCs w:val="16"/>
          <w:lang w:val="fr-BE"/>
        </w:rPr>
        <w:t xml:space="preserve"> </w:t>
      </w:r>
    </w:p>
  </w:footnote>
  <w:footnote w:id="11">
    <w:p>
      <w:pPr>
        <w:pStyle w:val="FootnoteText"/>
        <w:jc w:val="both"/>
        <w:rPr>
          <w:rFonts w:ascii="Times New Roman" w:hAnsi="Times New Roman"/>
          <w:lang w:val="fr-BE"/>
        </w:rPr>
      </w:pPr>
      <w:r>
        <w:rPr>
          <w:rStyle w:val="FootnoteReference"/>
          <w:rFonts w:ascii="Times New Roman" w:hAnsi="Times New Roman"/>
        </w:rPr>
        <w:footnoteRef/>
      </w:r>
      <w:r>
        <w:rPr>
          <w:rFonts w:ascii="Times New Roman" w:hAnsi="Times New Roman"/>
          <w:lang w:val="fr-BE"/>
        </w:rPr>
        <w:t xml:space="preserve"> FLEGIT/TRACES est une application web qui fait partie du système TRACES NT (TRAde Control and Expert System, New Technology) et peut être utilisée par les importateurs de l’UE et leurs agents, par les autorités des États membres compétentes pour le régime FLEGT et par les douanes de l’UE aux fins de la vérification et de la gestion électroniques des autorisations FLEGT de manière rapide et sécurisée.</w:t>
      </w:r>
    </w:p>
  </w:footnote>
  <w:footnote w:id="12">
    <w:p>
      <w:pPr>
        <w:pStyle w:val="FootnoteText"/>
        <w:rPr>
          <w:rFonts w:ascii="Times New Roman" w:hAnsi="Times New Roman"/>
          <w:lang w:val="fr-BE"/>
        </w:rPr>
      </w:pPr>
      <w:r>
        <w:rPr>
          <w:rStyle w:val="FootnoteReference"/>
          <w:rFonts w:ascii="Times New Roman" w:hAnsi="Times New Roman"/>
        </w:rPr>
        <w:footnoteRef/>
      </w:r>
      <w:r>
        <w:rPr>
          <w:rFonts w:ascii="Times New Roman" w:hAnsi="Times New Roman"/>
          <w:lang w:val="fr-BE"/>
        </w:rPr>
        <w:t xml:space="preserve"> Il peut s’agir d’autorisations FLEGT qui ont été rejetées ou ignorées (par exemple, lorsqu’une autorisation FLEGT a été soumise pour des produits dérivés du bois non couverts par l’APV avec l’Indonésie).</w:t>
      </w:r>
    </w:p>
  </w:footnote>
  <w:footnote w:id="13">
    <w:p>
      <w:pPr>
        <w:pStyle w:val="FootnoteText"/>
        <w:jc w:val="both"/>
        <w:rPr>
          <w:rFonts w:ascii="Times New Roman" w:hAnsi="Times New Roman"/>
          <w:lang w:val="fr-BE"/>
        </w:rPr>
      </w:pPr>
      <w:r>
        <w:rPr>
          <w:rStyle w:val="FootnoteReference"/>
          <w:rFonts w:ascii="Times New Roman" w:hAnsi="Times New Roman"/>
        </w:rPr>
        <w:footnoteRef/>
      </w:r>
      <w:r>
        <w:rPr>
          <w:rFonts w:ascii="Times New Roman" w:hAnsi="Times New Roman"/>
          <w:lang w:val="fr-BE"/>
        </w:rPr>
        <w:t xml:space="preserve"> L’article 6, paragraphe 1, dispose que, si les autorités compétentes établissent qu’une expédition n’est pas couverte par une autorisation FLEGT et que son importation est donc interdite, elles procèdent conformément à leur législation nationale en vigueur.</w:t>
      </w:r>
    </w:p>
  </w:footnote>
  <w:footnote w:id="14">
    <w:p>
      <w:pPr>
        <w:pStyle w:val="FootnoteText"/>
        <w:jc w:val="both"/>
        <w:rPr>
          <w:rFonts w:ascii="Times New Roman" w:hAnsi="Times New Roman"/>
          <w:lang w:val="fr-BE"/>
        </w:rPr>
      </w:pPr>
      <w:r>
        <w:rPr>
          <w:rStyle w:val="FootnoteReference"/>
          <w:rFonts w:ascii="Times New Roman" w:hAnsi="Times New Roman"/>
        </w:rPr>
        <w:footnoteRef/>
      </w:r>
      <w:r>
        <w:rPr>
          <w:rFonts w:ascii="Times New Roman" w:hAnsi="Times New Roman"/>
          <w:lang w:val="fr-BE"/>
        </w:rPr>
        <w:t xml:space="preserve"> Article 6, paragraphe 2: les États membres notifient à la Commission toute information tendant à indiquer que les dispositions du présent règlement sont ou ont été contournées.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AD0EB0"/>
    <w:multiLevelType w:val="multilevel"/>
    <w:tmpl w:val="D68C6B1E"/>
    <w:lvl w:ilvl="0">
      <w:start w:val="2"/>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
    <w:nsid w:val="109D79E3"/>
    <w:multiLevelType w:val="hybridMultilevel"/>
    <w:tmpl w:val="BC942B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2">
    <w:nsid w:val="2659590F"/>
    <w:multiLevelType w:val="hybridMultilevel"/>
    <w:tmpl w:val="3A542E00"/>
    <w:lvl w:ilvl="0" w:tplc="DD78FCE4">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nsid w:val="28200A1E"/>
    <w:multiLevelType w:val="hybridMultilevel"/>
    <w:tmpl w:val="04625FA0"/>
    <w:lvl w:ilvl="0" w:tplc="1A82386C">
      <w:start w:val="1"/>
      <w:numFmt w:val="upperRoman"/>
      <w:lvlText w:val="%1."/>
      <w:lvlJc w:val="left"/>
      <w:pPr>
        <w:ind w:left="1440" w:hanging="108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4">
    <w:nsid w:val="353741A0"/>
    <w:multiLevelType w:val="hybridMultilevel"/>
    <w:tmpl w:val="3DF68DCE"/>
    <w:lvl w:ilvl="0" w:tplc="99BC39C2">
      <w:start w:val="1"/>
      <w:numFmt w:val="upperLetter"/>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5">
    <w:nsid w:val="40BA5D60"/>
    <w:multiLevelType w:val="hybridMultilevel"/>
    <w:tmpl w:val="CBB69BC4"/>
    <w:lvl w:ilvl="0" w:tplc="0809000F">
      <w:start w:val="1"/>
      <w:numFmt w:val="decimal"/>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6">
    <w:nsid w:val="43566FCB"/>
    <w:multiLevelType w:val="hybridMultilevel"/>
    <w:tmpl w:val="47AE6B3C"/>
    <w:lvl w:ilvl="0" w:tplc="83EEE7C6">
      <w:start w:val="6"/>
      <w:numFmt w:val="bullet"/>
      <w:lvlText w:val=""/>
      <w:lvlJc w:val="left"/>
      <w:pPr>
        <w:ind w:left="720" w:hanging="360"/>
      </w:pPr>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4FCA3283"/>
    <w:multiLevelType w:val="hybridMultilevel"/>
    <w:tmpl w:val="5B7C07D4"/>
    <w:lvl w:ilvl="0" w:tplc="3D6A7E28">
      <w:start w:val="6"/>
      <w:numFmt w:val="bullet"/>
      <w:lvlText w:val=""/>
      <w:lvlJc w:val="left"/>
      <w:pPr>
        <w:ind w:left="720" w:hanging="360"/>
      </w:pPr>
      <w:rPr>
        <w:rFonts w:ascii="Symbol" w:eastAsia="Calibri" w:hAnsi="Symbol" w:cs="Times New Roman"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50813AAF"/>
    <w:multiLevelType w:val="hybridMultilevel"/>
    <w:tmpl w:val="0D70E37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5C282459"/>
    <w:multiLevelType w:val="hybridMultilevel"/>
    <w:tmpl w:val="361082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60D520D7"/>
    <w:multiLevelType w:val="multilevel"/>
    <w:tmpl w:val="06E84262"/>
    <w:lvl w:ilvl="0">
      <w:start w:val="2"/>
      <w:numFmt w:val="decimal"/>
      <w:lvlText w:val="%1."/>
      <w:lvlJc w:val="left"/>
      <w:pPr>
        <w:ind w:left="360" w:hanging="360"/>
      </w:pPr>
      <w:rPr>
        <w:rFonts w:cs="Times New Roman" w:hint="default"/>
      </w:rPr>
    </w:lvl>
    <w:lvl w:ilvl="1">
      <w:start w:val="1"/>
      <w:numFmt w:val="decimal"/>
      <w:isLgl/>
      <w:lvlText w:val="%1.%2"/>
      <w:lvlJc w:val="left"/>
      <w:pPr>
        <w:ind w:left="360" w:hanging="360"/>
      </w:pPr>
      <w:rPr>
        <w:rFonts w:cs="Times New Roman" w:hint="default"/>
        <w:b/>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11">
    <w:nsid w:val="6D2B4EBE"/>
    <w:multiLevelType w:val="hybridMultilevel"/>
    <w:tmpl w:val="E47E404E"/>
    <w:lvl w:ilvl="0" w:tplc="BBC0436C">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7DC65909"/>
    <w:multiLevelType w:val="multilevel"/>
    <w:tmpl w:val="FF727CAA"/>
    <w:lvl w:ilvl="0">
      <w:start w:val="4"/>
      <w:numFmt w:val="decimal"/>
      <w:lvlText w:val="%1."/>
      <w:lvlJc w:val="left"/>
      <w:pPr>
        <w:ind w:left="360" w:hanging="360"/>
      </w:pPr>
      <w:rPr>
        <w:rFonts w:cs="Times New Roman" w:hint="default"/>
      </w:rPr>
    </w:lvl>
    <w:lvl w:ilvl="1">
      <w:start w:val="1"/>
      <w:numFmt w:val="decimal"/>
      <w:isLgl/>
      <w:lvlText w:val="%1.%2"/>
      <w:lvlJc w:val="left"/>
      <w:pPr>
        <w:ind w:left="360" w:hanging="360"/>
      </w:pPr>
      <w:rPr>
        <w:rFonts w:cs="Times New Roman" w:hint="default"/>
        <w:b/>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num w:numId="1">
    <w:abstractNumId w:val="10"/>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
  </w:num>
  <w:num w:numId="5">
    <w:abstractNumId w:val="3"/>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9"/>
  </w:num>
  <w:num w:numId="10">
    <w:abstractNumId w:val="2"/>
  </w:num>
  <w:num w:numId="11">
    <w:abstractNumId w:val="8"/>
  </w:num>
  <w:num w:numId="12">
    <w:abstractNumId w:val="11"/>
  </w:num>
  <w:num w:numId="13">
    <w:abstractNumId w:val="12"/>
  </w:num>
  <w:num w:numId="14">
    <w:abstractNumId w:val="6"/>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activeWritingStyle w:appName="MSWord" w:lang="de-DE" w:vendorID="64" w:dllVersion="131078" w:nlCheck="1" w:checkStyle="0"/>
  <w:activeWritingStyle w:appName="MSWord" w:lang="en-GB" w:vendorID="64" w:dllVersion="131078" w:nlCheck="1" w:checkStyle="1"/>
  <w:activeWritingStyle w:appName="MSWord" w:lang="fi-FI" w:vendorID="64" w:dllVersion="131078" w:nlCheck="1" w:checkStyle="0"/>
  <w:activeWritingStyle w:appName="MSWord" w:lang="fr-FR" w:vendorID="64" w:dllVersion="131078" w:nlCheck="1" w:checkStyle="0"/>
  <w:activeWritingStyle w:appName="MSWord" w:lang="es-ES" w:vendorID="64" w:dllVersion="131078" w:nlCheck="1" w:checkStyle="0"/>
  <w:activeWritingStyle w:appName="MSWord" w:lang="en-US" w:vendorID="64" w:dllVersion="131078" w:nlCheck="1" w:checkStyle="1"/>
  <w:activeWritingStyle w:appName="MSWord" w:lang="pt-PT" w:vendorID="64" w:dllVersion="131078" w:nlCheck="1" w:checkStyle="0"/>
  <w:activeWritingStyle w:appName="MSWord" w:lang="en-IE" w:vendorID="64" w:dllVersion="131078" w:nlCheck="1" w:checkStyle="1"/>
  <w:activeWritingStyle w:appName="MSWord" w:lang="fr-BE" w:vendorID="64" w:dllVersion="131078" w:nlCheck="1" w:checkStyle="1"/>
  <w:revisionView w:markup="0"/>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EAFB66F8-F88D-44AD-8B44-F97C98126A73"/>
    <w:docVar w:name="LW_COVERPAGE_TYPE" w:val="1"/>
    <w:docVar w:name="LW_CROSSREFERENCE" w:val="&lt;UNUSED&gt;"/>
    <w:docVar w:name="LW_DocType" w:val="NORMAL"/>
    <w:docVar w:name="LW_EMISSION" w:val="4.6.2019"/>
    <w:docVar w:name="LW_EMISSION_ISODATE" w:val="2019-06-04"/>
    <w:docVar w:name="LW_EMISSION_LOCATION" w:val="BRX"/>
    <w:docVar w:name="LW_EMISSION_PREFIX" w:val="Bruxelles, le "/>
    <w:docVar w:name="LW_EMISSION_SUFFIX" w:val=" "/>
    <w:docVar w:name="LW_ID_DOCTYPE_NONLW" w:val="CP-003"/>
    <w:docVar w:name="LW_LANGUE" w:val="FR"/>
    <w:docVar w:name="LW_LEVEL_OF_SENSITIVITY" w:val="Standard treatment"/>
    <w:docVar w:name="LW_NOM.INST" w:val="COMMISSION EUROPÉENNE"/>
    <w:docVar w:name="LW_NOM.INST_JOINTDOC" w:val="&lt;EMPTY&gt;"/>
    <w:docVar w:name="LW_PART_NBR" w:val="1"/>
    <w:docVar w:name="LW_PART_NBR_TOTAL" w:val="1"/>
    <w:docVar w:name="LW_REF.INST.NEW" w:val="COM"/>
    <w:docVar w:name="LW_REF.INST.NEW_ADOPTED" w:val="final"/>
    <w:docVar w:name="LW_REF.INST.NEW_TEXT" w:val="(2019) 249"/>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OUS.TITRE.OBJ.CP" w:val="&lt;UNUSED&gt;"/>
    <w:docVar w:name="LW_SUPERTITRE" w:val="&lt;UNUSED&gt;"/>
    <w:docVar w:name="LW_TITRE.OBJ.CP" w:val="Rapport de synthèse annuel pour l\u8217?année 2017 sur la mise en place d\u8217?un régime d\u8217?autorisation FLEGT conformément au règlement (CE) nº 2173/2005 du 20 décembre 2005 concernant la mise en place d\u8217?un régime d\u8217?autorisation FLEGT relatif aux importations de bois dans la Communauté européenne."/>
    <w:docVar w:name="LW_TYPE.DOC.CP" w:val="RAPPORT DE LA COMMISSION"/>
  </w:docVar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nhideWhenUsed="0" w:qFormat="1"/>
    <w:lsdException w:name="caption" w:locked="1" w:uiPriority="0" w:qFormat="1"/>
    <w:lsdException w:name="footnote reference"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lang w:val="en-GB" w:eastAsia="en-US"/>
    </w:rPr>
  </w:style>
  <w:style w:type="paragraph" w:styleId="Heading1">
    <w:name w:val="heading 1"/>
    <w:basedOn w:val="Normal"/>
    <w:next w:val="Normal"/>
    <w:link w:val="Heading1Char"/>
    <w:qFormat/>
    <w:locke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semiHidden/>
    <w:unhideWhenUsed/>
    <w:qFormat/>
    <w:locke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locked/>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semiHidden/>
    <w:unhideWhenUsed/>
    <w:qFormat/>
    <w:locked/>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uiPriority w:val="99"/>
    <w:rPr>
      <w:rFonts w:cs="Times New Roman"/>
      <w:color w:val="0000FF"/>
      <w:shd w:val="clear" w:color="auto" w:fill="auto"/>
    </w:rPr>
  </w:style>
  <w:style w:type="paragraph" w:customStyle="1" w:styleId="Pagedecouverture">
    <w:name w:val="Page de couverture"/>
    <w:basedOn w:val="Normal"/>
    <w:next w:val="Normal"/>
    <w:uiPriority w:val="99"/>
    <w:pPr>
      <w:spacing w:after="0" w:line="240" w:lineRule="auto"/>
      <w:jc w:val="both"/>
    </w:pPr>
    <w:rPr>
      <w:rFonts w:ascii="Times New Roman" w:hAnsi="Times New Roman"/>
      <w:sz w:val="24"/>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eastAsiaTheme="minorHAnsi" w:hAnsi="Times New Roman"/>
      <w:sz w:val="24"/>
    </w:rPr>
  </w:style>
  <w:style w:type="character" w:customStyle="1" w:styleId="HeaderChar">
    <w:name w:val="Header Char"/>
    <w:basedOn w:val="DefaultParagraphFont"/>
    <w:link w:val="Header"/>
    <w:uiPriority w:val="99"/>
    <w:locked/>
    <w:rPr>
      <w:rFonts w:ascii="Times New Roman" w:eastAsiaTheme="minorHAnsi" w:hAnsi="Times New Roman"/>
      <w:sz w:val="24"/>
      <w:lang w:val="en-GB" w:eastAsia="en-US"/>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eastAsiaTheme="minorHAnsi" w:hAnsi="Times New Roman"/>
      <w:sz w:val="24"/>
    </w:rPr>
  </w:style>
  <w:style w:type="character" w:customStyle="1" w:styleId="FooterChar">
    <w:name w:val="Footer Char"/>
    <w:basedOn w:val="DefaultParagraphFont"/>
    <w:link w:val="Footer"/>
    <w:uiPriority w:val="99"/>
    <w:locked/>
    <w:rPr>
      <w:rFonts w:ascii="Times New Roman" w:eastAsiaTheme="minorHAnsi" w:hAnsi="Times New Roman"/>
      <w:sz w:val="24"/>
      <w:lang w:val="en-GB" w:eastAsia="en-US"/>
    </w:rPr>
  </w:style>
  <w:style w:type="paragraph" w:customStyle="1" w:styleId="Typedudocument">
    <w:name w:val="Type du document"/>
    <w:basedOn w:val="Normal"/>
    <w:next w:val="Normal"/>
    <w:link w:val="TypedudocumentChar"/>
    <w:uiPriority w:val="99"/>
    <w:pPr>
      <w:spacing w:before="360" w:after="0" w:line="240" w:lineRule="auto"/>
      <w:jc w:val="center"/>
    </w:pPr>
    <w:rPr>
      <w:rFonts w:ascii="Times New Roman" w:hAnsi="Times New Roman"/>
      <w:b/>
      <w:sz w:val="24"/>
    </w:rPr>
  </w:style>
  <w:style w:type="paragraph" w:customStyle="1" w:styleId="Titreobjet">
    <w:name w:val="Titre objet"/>
    <w:basedOn w:val="Normal"/>
    <w:next w:val="Normal"/>
    <w:uiPriority w:val="99"/>
    <w:pPr>
      <w:spacing w:before="360" w:after="360" w:line="240" w:lineRule="auto"/>
      <w:jc w:val="center"/>
    </w:pPr>
    <w:rPr>
      <w:rFonts w:ascii="Times New Roman" w:hAnsi="Times New Roman"/>
      <w:b/>
      <w:sz w:val="24"/>
    </w:rPr>
  </w:style>
  <w:style w:type="paragraph" w:customStyle="1" w:styleId="FooterCoverPage">
    <w:name w:val="Footer Cover Page"/>
    <w:basedOn w:val="Normal"/>
    <w:link w:val="FooterCoverPageChar"/>
    <w:uiPriority w:val="99"/>
    <w:pPr>
      <w:tabs>
        <w:tab w:val="center" w:pos="4535"/>
        <w:tab w:val="right" w:pos="9071"/>
        <w:tab w:val="right" w:pos="9921"/>
      </w:tabs>
      <w:spacing w:before="360" w:after="0" w:line="240" w:lineRule="auto"/>
      <w:ind w:left="-850" w:right="-850"/>
    </w:pPr>
    <w:rPr>
      <w:rFonts w:ascii="Times New Roman" w:hAnsi="Times New Roman"/>
      <w:sz w:val="24"/>
    </w:rPr>
  </w:style>
  <w:style w:type="character" w:customStyle="1" w:styleId="TypedudocumentChar">
    <w:name w:val="Type du document Char"/>
    <w:basedOn w:val="DefaultParagraphFont"/>
    <w:link w:val="Typedudocument"/>
    <w:uiPriority w:val="99"/>
    <w:locked/>
    <w:rPr>
      <w:rFonts w:ascii="Times New Roman" w:hAnsi="Times New Roman" w:cs="Times New Roman"/>
      <w:b/>
      <w:sz w:val="24"/>
    </w:rPr>
  </w:style>
  <w:style w:type="character" w:customStyle="1" w:styleId="FooterCoverPageChar">
    <w:name w:val="Footer Cover Page Char"/>
    <w:basedOn w:val="TypedudocumentChar"/>
    <w:link w:val="FooterCoverPage"/>
    <w:uiPriority w:val="99"/>
    <w:locked/>
    <w:rPr>
      <w:rFonts w:ascii="Times New Roman" w:hAnsi="Times New Roman" w:cs="Times New Roman"/>
      <w:b w:val="0"/>
      <w:sz w:val="24"/>
      <w:lang w:val="en-GB" w:eastAsia="en-US"/>
    </w:rPr>
  </w:style>
  <w:style w:type="paragraph" w:customStyle="1" w:styleId="HeaderCoverPage">
    <w:name w:val="Header Cover Page"/>
    <w:basedOn w:val="Normal"/>
    <w:link w:val="HeaderCoverPageChar"/>
    <w:uiPriority w:val="99"/>
    <w:pPr>
      <w:tabs>
        <w:tab w:val="center" w:pos="4535"/>
        <w:tab w:val="right" w:pos="9071"/>
      </w:tabs>
      <w:spacing w:after="120" w:line="240" w:lineRule="auto"/>
      <w:jc w:val="both"/>
    </w:pPr>
    <w:rPr>
      <w:rFonts w:ascii="Times New Roman" w:hAnsi="Times New Roman"/>
      <w:sz w:val="24"/>
    </w:rPr>
  </w:style>
  <w:style w:type="character" w:customStyle="1" w:styleId="HeaderCoverPageChar">
    <w:name w:val="Header Cover Page Char"/>
    <w:basedOn w:val="TypedudocumentChar"/>
    <w:link w:val="HeaderCoverPage"/>
    <w:uiPriority w:val="99"/>
    <w:locked/>
    <w:rPr>
      <w:rFonts w:ascii="Times New Roman" w:hAnsi="Times New Roman" w:cs="Times New Roman"/>
      <w:b w:val="0"/>
      <w:sz w:val="24"/>
      <w:lang w:val="en-GB" w:eastAsia="en-US"/>
    </w:rPr>
  </w:style>
  <w:style w:type="paragraph" w:styleId="ListParagraph">
    <w:name w:val="List Paragraph"/>
    <w:basedOn w:val="Normal"/>
    <w:uiPriority w:val="99"/>
    <w:qFormat/>
    <w:pPr>
      <w:ind w:left="720"/>
      <w:contextualSpacing/>
    </w:pPr>
  </w:style>
  <w:style w:type="character" w:styleId="Hyperlink">
    <w:name w:val="Hyperlink"/>
    <w:basedOn w:val="DefaultParagraphFont"/>
    <w:uiPriority w:val="99"/>
    <w:semiHidden/>
    <w:rPr>
      <w:rFonts w:cs="Times New Roman"/>
      <w:color w:val="0000FF"/>
      <w:u w:val="single"/>
    </w:rPr>
  </w:style>
  <w:style w:type="paragraph" w:styleId="FootnoteText">
    <w:name w:val="footnote text"/>
    <w:aliases w:val="Footnote,Testo nota a piè di pagina_Rientro,stile 1,Footnote1,Footnote2,Footnote3,Footnote4,Footnote5,Footnote6,Footnote7,Footnote8,Footnote9,Footnote10,Footnote11,Footnote21,Footnote31,Footnote41,Footnote51,ft,o,f,Reference,Footnote text"/>
    <w:basedOn w:val="Normal"/>
    <w:link w:val="FootnoteTextChar"/>
    <w:uiPriority w:val="99"/>
    <w:qFormat/>
    <w:pPr>
      <w:spacing w:after="0" w:line="240" w:lineRule="auto"/>
    </w:pPr>
    <w:rPr>
      <w:rFonts w:ascii="Constantia" w:eastAsia="Times New Roman" w:hAnsi="Constantia"/>
      <w:sz w:val="20"/>
      <w:szCs w:val="20"/>
      <w:lang w:eastAsia="en-GB"/>
    </w:rPr>
  </w:style>
  <w:style w:type="character" w:customStyle="1" w:styleId="FootnoteTextChar">
    <w:name w:val="Footnote Text Char"/>
    <w:aliases w:val="Footnote Char,Testo nota a piè di pagina_Rientro Char,stile 1 Char,Footnote1 Char,Footnote2 Char,Footnote3 Char,Footnote4 Char,Footnote5 Char,Footnote6 Char,Footnote7 Char,Footnote8 Char,Footnote9 Char,Footnote10 Char,Footnote11 Char"/>
    <w:basedOn w:val="DefaultParagraphFont"/>
    <w:link w:val="FootnoteText"/>
    <w:uiPriority w:val="99"/>
    <w:locked/>
    <w:rPr>
      <w:rFonts w:ascii="Constantia" w:hAnsi="Constantia" w:cs="Times New Roman"/>
      <w:sz w:val="20"/>
      <w:szCs w:val="20"/>
      <w:lang w:eastAsia="en-GB"/>
    </w:rPr>
  </w:style>
  <w:style w:type="character" w:styleId="FootnoteReference">
    <w:name w:val="footnote reference"/>
    <w:aliases w:val="number,Footnote symbol,Voetnootverwijzing,Times 10 Point,Exposant 3 Point,Footnote reference number,note TESI,SUPERS,EN Footnote Reference,Ref,de nota al pie,Footnote Reference Superscript,Footnote sign,BVI fnr,stylish"/>
    <w:basedOn w:val="DefaultParagraphFont"/>
    <w:qFormat/>
    <w:rPr>
      <w:rFonts w:cs="Times New Roman"/>
      <w:vertAlign w:val="superscript"/>
    </w:rPr>
  </w:style>
  <w:style w:type="table" w:styleId="TableGrid">
    <w:name w:val="Table Grid"/>
    <w:basedOn w:val="TableNormal"/>
    <w:uiPriority w:val="99"/>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table" w:customStyle="1" w:styleId="TableGrid1">
    <w:name w:val="Table Grid1"/>
    <w:uiPriority w:val="99"/>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uiPriority w:val="99"/>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uiPriority w:val="99"/>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uiPriority w:val="99"/>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rPr>
      <w:rFonts w:cs="Times New Roman"/>
      <w:sz w:val="16"/>
      <w:szCs w:val="16"/>
    </w:rPr>
  </w:style>
  <w:style w:type="paragraph" w:styleId="CommentText">
    <w:name w:val="annotation text"/>
    <w:basedOn w:val="Normal"/>
    <w:link w:val="CommentTextChar"/>
    <w:uiPriority w:val="99"/>
    <w:semiHidden/>
    <w:pPr>
      <w:spacing w:line="240" w:lineRule="auto"/>
    </w:pPr>
    <w:rPr>
      <w:sz w:val="20"/>
      <w:szCs w:val="20"/>
    </w:rPr>
  </w:style>
  <w:style w:type="character" w:customStyle="1" w:styleId="CommentTextChar">
    <w:name w:val="Comment Text Char"/>
    <w:basedOn w:val="DefaultParagraphFont"/>
    <w:link w:val="CommentText"/>
    <w:uiPriority w:val="99"/>
    <w:semiHidden/>
    <w:locked/>
    <w:rPr>
      <w:rFonts w:cs="Times New Roman"/>
      <w:sz w:val="20"/>
      <w:szCs w:val="20"/>
    </w:rPr>
  </w:style>
  <w:style w:type="paragraph" w:styleId="CommentSubject">
    <w:name w:val="annotation subject"/>
    <w:basedOn w:val="CommentText"/>
    <w:next w:val="CommentText"/>
    <w:link w:val="CommentSubjectChar"/>
    <w:uiPriority w:val="99"/>
    <w:semiHidden/>
    <w:rPr>
      <w:b/>
      <w:bCs/>
    </w:rPr>
  </w:style>
  <w:style w:type="character" w:customStyle="1" w:styleId="CommentSubjectChar">
    <w:name w:val="Comment Subject Char"/>
    <w:basedOn w:val="CommentTextChar"/>
    <w:link w:val="CommentSubject"/>
    <w:uiPriority w:val="99"/>
    <w:semiHidden/>
    <w:locked/>
    <w:rPr>
      <w:rFonts w:cs="Times New Roman"/>
      <w:b/>
      <w:bCs/>
      <w:sz w:val="20"/>
      <w:szCs w:val="20"/>
    </w:rPr>
  </w:style>
  <w:style w:type="paragraph" w:styleId="Revision">
    <w:name w:val="Revision"/>
    <w:hidden/>
    <w:uiPriority w:val="99"/>
    <w:semiHidden/>
    <w:rPr>
      <w:lang w:val="en-GB" w:eastAsia="en-US"/>
    </w:rPr>
  </w:style>
  <w:style w:type="character" w:styleId="Emphasis">
    <w:name w:val="Emphasis"/>
    <w:basedOn w:val="DefaultParagraphFont"/>
    <w:uiPriority w:val="20"/>
    <w:qFormat/>
    <w:locked/>
    <w:rPr>
      <w:i/>
      <w:iCs/>
    </w:rPr>
  </w:style>
  <w:style w:type="paragraph" w:customStyle="1" w:styleId="Default">
    <w:name w:val="Default"/>
    <w:pPr>
      <w:autoSpaceDE w:val="0"/>
      <w:autoSpaceDN w:val="0"/>
      <w:adjustRightInd w:val="0"/>
    </w:pPr>
    <w:rPr>
      <w:rFonts w:cs="Calibri"/>
      <w:color w:val="000000"/>
      <w:sz w:val="24"/>
      <w:szCs w:val="24"/>
      <w:lang w:val="en-GB"/>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Declassification">
    <w:name w:val="Declassification"/>
    <w:basedOn w:val="Normal"/>
    <w:next w:val="Normal"/>
    <w:pPr>
      <w:spacing w:after="0" w:line="240" w:lineRule="auto"/>
      <w:jc w:val="both"/>
    </w:pPr>
    <w:rPr>
      <w:rFonts w:ascii="Times New Roman" w:eastAsiaTheme="minorHAnsi" w:hAnsi="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eastAsiaTheme="minorHAnsi" w:hAnsi="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eastAsiaTheme="minorHAnsi" w:hAnsi="Times New Roman"/>
      <w:sz w:val="24"/>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b/>
      <w:sz w:val="32"/>
    </w:rPr>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basedOn w:val="DefaultParagraphFont"/>
    <w:link w:val="EndnoteText"/>
    <w:uiPriority w:val="99"/>
    <w:semiHidden/>
    <w:rPr>
      <w:sz w:val="20"/>
      <w:szCs w:val="20"/>
      <w:lang w:val="en-GB" w:eastAsia="en-US"/>
    </w:rPr>
  </w:style>
  <w:style w:type="character" w:styleId="EndnoteReference">
    <w:name w:val="endnote reference"/>
    <w:basedOn w:val="DefaultParagraphFont"/>
    <w:uiPriority w:val="99"/>
    <w:semiHidden/>
    <w:unhideWhenUsed/>
    <w:rPr>
      <w:vertAlign w:val="superscript"/>
    </w:rPr>
  </w:style>
  <w:style w:type="paragraph" w:styleId="Caption">
    <w:name w:val="caption"/>
    <w:basedOn w:val="Normal"/>
    <w:next w:val="Normal"/>
    <w:unhideWhenUsed/>
    <w:qFormat/>
    <w:locked/>
    <w:pPr>
      <w:spacing w:line="240" w:lineRule="auto"/>
    </w:pPr>
    <w:rPr>
      <w:i/>
      <w:iCs/>
      <w:color w:val="1F497D" w:themeColor="text2"/>
      <w:sz w:val="18"/>
      <w:szCs w:val="18"/>
    </w:rPr>
  </w:style>
  <w:style w:type="character" w:customStyle="1" w:styleId="Heading1Char">
    <w:name w:val="Heading 1 Char"/>
    <w:basedOn w:val="DefaultParagraphFont"/>
    <w:link w:val="Heading1"/>
    <w:rPr>
      <w:rFonts w:asciiTheme="majorHAnsi" w:eastAsiaTheme="majorEastAsia" w:hAnsiTheme="majorHAnsi" w:cstheme="majorBidi"/>
      <w:b/>
      <w:bCs/>
      <w:color w:val="365F91" w:themeColor="accent1" w:themeShade="BF"/>
      <w:sz w:val="28"/>
      <w:szCs w:val="28"/>
      <w:lang w:val="en-GB" w:eastAsia="en-US"/>
    </w:rPr>
  </w:style>
  <w:style w:type="character" w:customStyle="1" w:styleId="Heading2Char">
    <w:name w:val="Heading 2 Char"/>
    <w:basedOn w:val="DefaultParagraphFont"/>
    <w:link w:val="Heading2"/>
    <w:semiHidden/>
    <w:rPr>
      <w:rFonts w:asciiTheme="majorHAnsi" w:eastAsiaTheme="majorEastAsia" w:hAnsiTheme="majorHAnsi" w:cstheme="majorBidi"/>
      <w:b/>
      <w:bCs/>
      <w:color w:val="4F81BD" w:themeColor="accent1"/>
      <w:sz w:val="26"/>
      <w:szCs w:val="26"/>
      <w:lang w:val="en-GB" w:eastAsia="en-US"/>
    </w:rPr>
  </w:style>
  <w:style w:type="character" w:customStyle="1" w:styleId="Heading3Char">
    <w:name w:val="Heading 3 Char"/>
    <w:basedOn w:val="DefaultParagraphFont"/>
    <w:link w:val="Heading3"/>
    <w:semiHidden/>
    <w:rPr>
      <w:rFonts w:asciiTheme="majorHAnsi" w:eastAsiaTheme="majorEastAsia" w:hAnsiTheme="majorHAnsi" w:cstheme="majorBidi"/>
      <w:b/>
      <w:bCs/>
      <w:color w:val="4F81BD" w:themeColor="accent1"/>
      <w:lang w:val="en-GB" w:eastAsia="en-US"/>
    </w:rPr>
  </w:style>
  <w:style w:type="character" w:customStyle="1" w:styleId="Heading4Char">
    <w:name w:val="Heading 4 Char"/>
    <w:basedOn w:val="DefaultParagraphFont"/>
    <w:link w:val="Heading4"/>
    <w:semiHidden/>
    <w:rPr>
      <w:rFonts w:asciiTheme="majorHAnsi" w:eastAsiaTheme="majorEastAsia" w:hAnsiTheme="majorHAnsi" w:cstheme="majorBidi"/>
      <w:b/>
      <w:bCs/>
      <w:i/>
      <w:iCs/>
      <w:color w:val="4F81BD" w:themeColor="accent1"/>
      <w:lang w:val="en-GB" w:eastAsia="en-US"/>
    </w:rPr>
  </w:style>
  <w:style w:type="table" w:customStyle="1" w:styleId="TableGrid5">
    <w:name w:val="Table Grid5"/>
    <w:basedOn w:val="TableNormal"/>
    <w:next w:val="TableGrid"/>
    <w:uiPriority w:val="59"/>
    <w:rPr>
      <w:rFonts w:asciiTheme="minorHAnsi" w:eastAsiaTheme="minorEastAsia" w:hAnsiTheme="minorHAnsi" w:cstheme="minorBid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nhideWhenUsed="0" w:qFormat="1"/>
    <w:lsdException w:name="caption" w:locked="1" w:uiPriority="0" w:qFormat="1"/>
    <w:lsdException w:name="footnote reference"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lang w:val="en-GB" w:eastAsia="en-US"/>
    </w:rPr>
  </w:style>
  <w:style w:type="paragraph" w:styleId="Heading1">
    <w:name w:val="heading 1"/>
    <w:basedOn w:val="Normal"/>
    <w:next w:val="Normal"/>
    <w:link w:val="Heading1Char"/>
    <w:qFormat/>
    <w:locke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semiHidden/>
    <w:unhideWhenUsed/>
    <w:qFormat/>
    <w:locke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locked/>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semiHidden/>
    <w:unhideWhenUsed/>
    <w:qFormat/>
    <w:locked/>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uiPriority w:val="99"/>
    <w:rPr>
      <w:rFonts w:cs="Times New Roman"/>
      <w:color w:val="0000FF"/>
      <w:shd w:val="clear" w:color="auto" w:fill="auto"/>
    </w:rPr>
  </w:style>
  <w:style w:type="paragraph" w:customStyle="1" w:styleId="Pagedecouverture">
    <w:name w:val="Page de couverture"/>
    <w:basedOn w:val="Normal"/>
    <w:next w:val="Normal"/>
    <w:uiPriority w:val="99"/>
    <w:pPr>
      <w:spacing w:after="0" w:line="240" w:lineRule="auto"/>
      <w:jc w:val="both"/>
    </w:pPr>
    <w:rPr>
      <w:rFonts w:ascii="Times New Roman" w:hAnsi="Times New Roman"/>
      <w:sz w:val="24"/>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eastAsiaTheme="minorHAnsi" w:hAnsi="Times New Roman"/>
      <w:sz w:val="24"/>
    </w:rPr>
  </w:style>
  <w:style w:type="character" w:customStyle="1" w:styleId="HeaderChar">
    <w:name w:val="Header Char"/>
    <w:basedOn w:val="DefaultParagraphFont"/>
    <w:link w:val="Header"/>
    <w:uiPriority w:val="99"/>
    <w:locked/>
    <w:rPr>
      <w:rFonts w:ascii="Times New Roman" w:eastAsiaTheme="minorHAnsi" w:hAnsi="Times New Roman"/>
      <w:sz w:val="24"/>
      <w:lang w:val="en-GB" w:eastAsia="en-US"/>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eastAsiaTheme="minorHAnsi" w:hAnsi="Times New Roman"/>
      <w:sz w:val="24"/>
    </w:rPr>
  </w:style>
  <w:style w:type="character" w:customStyle="1" w:styleId="FooterChar">
    <w:name w:val="Footer Char"/>
    <w:basedOn w:val="DefaultParagraphFont"/>
    <w:link w:val="Footer"/>
    <w:uiPriority w:val="99"/>
    <w:locked/>
    <w:rPr>
      <w:rFonts w:ascii="Times New Roman" w:eastAsiaTheme="minorHAnsi" w:hAnsi="Times New Roman"/>
      <w:sz w:val="24"/>
      <w:lang w:val="en-GB" w:eastAsia="en-US"/>
    </w:rPr>
  </w:style>
  <w:style w:type="paragraph" w:customStyle="1" w:styleId="Typedudocument">
    <w:name w:val="Type du document"/>
    <w:basedOn w:val="Normal"/>
    <w:next w:val="Normal"/>
    <w:link w:val="TypedudocumentChar"/>
    <w:uiPriority w:val="99"/>
    <w:pPr>
      <w:spacing w:before="360" w:after="0" w:line="240" w:lineRule="auto"/>
      <w:jc w:val="center"/>
    </w:pPr>
    <w:rPr>
      <w:rFonts w:ascii="Times New Roman" w:hAnsi="Times New Roman"/>
      <w:b/>
      <w:sz w:val="24"/>
    </w:rPr>
  </w:style>
  <w:style w:type="paragraph" w:customStyle="1" w:styleId="Titreobjet">
    <w:name w:val="Titre objet"/>
    <w:basedOn w:val="Normal"/>
    <w:next w:val="Normal"/>
    <w:uiPriority w:val="99"/>
    <w:pPr>
      <w:spacing w:before="360" w:after="360" w:line="240" w:lineRule="auto"/>
      <w:jc w:val="center"/>
    </w:pPr>
    <w:rPr>
      <w:rFonts w:ascii="Times New Roman" w:hAnsi="Times New Roman"/>
      <w:b/>
      <w:sz w:val="24"/>
    </w:rPr>
  </w:style>
  <w:style w:type="paragraph" w:customStyle="1" w:styleId="FooterCoverPage">
    <w:name w:val="Footer Cover Page"/>
    <w:basedOn w:val="Normal"/>
    <w:link w:val="FooterCoverPageChar"/>
    <w:uiPriority w:val="99"/>
    <w:pPr>
      <w:tabs>
        <w:tab w:val="center" w:pos="4535"/>
        <w:tab w:val="right" w:pos="9071"/>
        <w:tab w:val="right" w:pos="9921"/>
      </w:tabs>
      <w:spacing w:before="360" w:after="0" w:line="240" w:lineRule="auto"/>
      <w:ind w:left="-850" w:right="-850"/>
    </w:pPr>
    <w:rPr>
      <w:rFonts w:ascii="Times New Roman" w:hAnsi="Times New Roman"/>
      <w:sz w:val="24"/>
    </w:rPr>
  </w:style>
  <w:style w:type="character" w:customStyle="1" w:styleId="TypedudocumentChar">
    <w:name w:val="Type du document Char"/>
    <w:basedOn w:val="DefaultParagraphFont"/>
    <w:link w:val="Typedudocument"/>
    <w:uiPriority w:val="99"/>
    <w:locked/>
    <w:rPr>
      <w:rFonts w:ascii="Times New Roman" w:hAnsi="Times New Roman" w:cs="Times New Roman"/>
      <w:b/>
      <w:sz w:val="24"/>
    </w:rPr>
  </w:style>
  <w:style w:type="character" w:customStyle="1" w:styleId="FooterCoverPageChar">
    <w:name w:val="Footer Cover Page Char"/>
    <w:basedOn w:val="TypedudocumentChar"/>
    <w:link w:val="FooterCoverPage"/>
    <w:uiPriority w:val="99"/>
    <w:locked/>
    <w:rPr>
      <w:rFonts w:ascii="Times New Roman" w:hAnsi="Times New Roman" w:cs="Times New Roman"/>
      <w:b w:val="0"/>
      <w:sz w:val="24"/>
      <w:lang w:val="en-GB" w:eastAsia="en-US"/>
    </w:rPr>
  </w:style>
  <w:style w:type="paragraph" w:customStyle="1" w:styleId="HeaderCoverPage">
    <w:name w:val="Header Cover Page"/>
    <w:basedOn w:val="Normal"/>
    <w:link w:val="HeaderCoverPageChar"/>
    <w:uiPriority w:val="99"/>
    <w:pPr>
      <w:tabs>
        <w:tab w:val="center" w:pos="4535"/>
        <w:tab w:val="right" w:pos="9071"/>
      </w:tabs>
      <w:spacing w:after="120" w:line="240" w:lineRule="auto"/>
      <w:jc w:val="both"/>
    </w:pPr>
    <w:rPr>
      <w:rFonts w:ascii="Times New Roman" w:hAnsi="Times New Roman"/>
      <w:sz w:val="24"/>
    </w:rPr>
  </w:style>
  <w:style w:type="character" w:customStyle="1" w:styleId="HeaderCoverPageChar">
    <w:name w:val="Header Cover Page Char"/>
    <w:basedOn w:val="TypedudocumentChar"/>
    <w:link w:val="HeaderCoverPage"/>
    <w:uiPriority w:val="99"/>
    <w:locked/>
    <w:rPr>
      <w:rFonts w:ascii="Times New Roman" w:hAnsi="Times New Roman" w:cs="Times New Roman"/>
      <w:b w:val="0"/>
      <w:sz w:val="24"/>
      <w:lang w:val="en-GB" w:eastAsia="en-US"/>
    </w:rPr>
  </w:style>
  <w:style w:type="paragraph" w:styleId="ListParagraph">
    <w:name w:val="List Paragraph"/>
    <w:basedOn w:val="Normal"/>
    <w:uiPriority w:val="99"/>
    <w:qFormat/>
    <w:pPr>
      <w:ind w:left="720"/>
      <w:contextualSpacing/>
    </w:pPr>
  </w:style>
  <w:style w:type="character" w:styleId="Hyperlink">
    <w:name w:val="Hyperlink"/>
    <w:basedOn w:val="DefaultParagraphFont"/>
    <w:uiPriority w:val="99"/>
    <w:semiHidden/>
    <w:rPr>
      <w:rFonts w:cs="Times New Roman"/>
      <w:color w:val="0000FF"/>
      <w:u w:val="single"/>
    </w:rPr>
  </w:style>
  <w:style w:type="paragraph" w:styleId="FootnoteText">
    <w:name w:val="footnote text"/>
    <w:aliases w:val="Footnote,Testo nota a piè di pagina_Rientro,stile 1,Footnote1,Footnote2,Footnote3,Footnote4,Footnote5,Footnote6,Footnote7,Footnote8,Footnote9,Footnote10,Footnote11,Footnote21,Footnote31,Footnote41,Footnote51,ft,o,f,Reference,Footnote text"/>
    <w:basedOn w:val="Normal"/>
    <w:link w:val="FootnoteTextChar"/>
    <w:uiPriority w:val="99"/>
    <w:qFormat/>
    <w:pPr>
      <w:spacing w:after="0" w:line="240" w:lineRule="auto"/>
    </w:pPr>
    <w:rPr>
      <w:rFonts w:ascii="Constantia" w:eastAsia="Times New Roman" w:hAnsi="Constantia"/>
      <w:sz w:val="20"/>
      <w:szCs w:val="20"/>
      <w:lang w:eastAsia="en-GB"/>
    </w:rPr>
  </w:style>
  <w:style w:type="character" w:customStyle="1" w:styleId="FootnoteTextChar">
    <w:name w:val="Footnote Text Char"/>
    <w:aliases w:val="Footnote Char,Testo nota a piè di pagina_Rientro Char,stile 1 Char,Footnote1 Char,Footnote2 Char,Footnote3 Char,Footnote4 Char,Footnote5 Char,Footnote6 Char,Footnote7 Char,Footnote8 Char,Footnote9 Char,Footnote10 Char,Footnote11 Char"/>
    <w:basedOn w:val="DefaultParagraphFont"/>
    <w:link w:val="FootnoteText"/>
    <w:uiPriority w:val="99"/>
    <w:locked/>
    <w:rPr>
      <w:rFonts w:ascii="Constantia" w:hAnsi="Constantia" w:cs="Times New Roman"/>
      <w:sz w:val="20"/>
      <w:szCs w:val="20"/>
      <w:lang w:eastAsia="en-GB"/>
    </w:rPr>
  </w:style>
  <w:style w:type="character" w:styleId="FootnoteReference">
    <w:name w:val="footnote reference"/>
    <w:aliases w:val="number,Footnote symbol,Voetnootverwijzing,Times 10 Point,Exposant 3 Point,Footnote reference number,note TESI,SUPERS,EN Footnote Reference,Ref,de nota al pie,Footnote Reference Superscript,Footnote sign,BVI fnr,stylish"/>
    <w:basedOn w:val="DefaultParagraphFont"/>
    <w:qFormat/>
    <w:rPr>
      <w:rFonts w:cs="Times New Roman"/>
      <w:vertAlign w:val="superscript"/>
    </w:rPr>
  </w:style>
  <w:style w:type="table" w:styleId="TableGrid">
    <w:name w:val="Table Grid"/>
    <w:basedOn w:val="TableNormal"/>
    <w:uiPriority w:val="99"/>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table" w:customStyle="1" w:styleId="TableGrid1">
    <w:name w:val="Table Grid1"/>
    <w:uiPriority w:val="99"/>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uiPriority w:val="99"/>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uiPriority w:val="99"/>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uiPriority w:val="99"/>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rPr>
      <w:rFonts w:cs="Times New Roman"/>
      <w:sz w:val="16"/>
      <w:szCs w:val="16"/>
    </w:rPr>
  </w:style>
  <w:style w:type="paragraph" w:styleId="CommentText">
    <w:name w:val="annotation text"/>
    <w:basedOn w:val="Normal"/>
    <w:link w:val="CommentTextChar"/>
    <w:uiPriority w:val="99"/>
    <w:semiHidden/>
    <w:pPr>
      <w:spacing w:line="240" w:lineRule="auto"/>
    </w:pPr>
    <w:rPr>
      <w:sz w:val="20"/>
      <w:szCs w:val="20"/>
    </w:rPr>
  </w:style>
  <w:style w:type="character" w:customStyle="1" w:styleId="CommentTextChar">
    <w:name w:val="Comment Text Char"/>
    <w:basedOn w:val="DefaultParagraphFont"/>
    <w:link w:val="CommentText"/>
    <w:uiPriority w:val="99"/>
    <w:semiHidden/>
    <w:locked/>
    <w:rPr>
      <w:rFonts w:cs="Times New Roman"/>
      <w:sz w:val="20"/>
      <w:szCs w:val="20"/>
    </w:rPr>
  </w:style>
  <w:style w:type="paragraph" w:styleId="CommentSubject">
    <w:name w:val="annotation subject"/>
    <w:basedOn w:val="CommentText"/>
    <w:next w:val="CommentText"/>
    <w:link w:val="CommentSubjectChar"/>
    <w:uiPriority w:val="99"/>
    <w:semiHidden/>
    <w:rPr>
      <w:b/>
      <w:bCs/>
    </w:rPr>
  </w:style>
  <w:style w:type="character" w:customStyle="1" w:styleId="CommentSubjectChar">
    <w:name w:val="Comment Subject Char"/>
    <w:basedOn w:val="CommentTextChar"/>
    <w:link w:val="CommentSubject"/>
    <w:uiPriority w:val="99"/>
    <w:semiHidden/>
    <w:locked/>
    <w:rPr>
      <w:rFonts w:cs="Times New Roman"/>
      <w:b/>
      <w:bCs/>
      <w:sz w:val="20"/>
      <w:szCs w:val="20"/>
    </w:rPr>
  </w:style>
  <w:style w:type="paragraph" w:styleId="Revision">
    <w:name w:val="Revision"/>
    <w:hidden/>
    <w:uiPriority w:val="99"/>
    <w:semiHidden/>
    <w:rPr>
      <w:lang w:val="en-GB" w:eastAsia="en-US"/>
    </w:rPr>
  </w:style>
  <w:style w:type="character" w:styleId="Emphasis">
    <w:name w:val="Emphasis"/>
    <w:basedOn w:val="DefaultParagraphFont"/>
    <w:uiPriority w:val="20"/>
    <w:qFormat/>
    <w:locked/>
    <w:rPr>
      <w:i/>
      <w:iCs/>
    </w:rPr>
  </w:style>
  <w:style w:type="paragraph" w:customStyle="1" w:styleId="Default">
    <w:name w:val="Default"/>
    <w:pPr>
      <w:autoSpaceDE w:val="0"/>
      <w:autoSpaceDN w:val="0"/>
      <w:adjustRightInd w:val="0"/>
    </w:pPr>
    <w:rPr>
      <w:rFonts w:cs="Calibri"/>
      <w:color w:val="000000"/>
      <w:sz w:val="24"/>
      <w:szCs w:val="24"/>
      <w:lang w:val="en-GB"/>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Declassification">
    <w:name w:val="Declassification"/>
    <w:basedOn w:val="Normal"/>
    <w:next w:val="Normal"/>
    <w:pPr>
      <w:spacing w:after="0" w:line="240" w:lineRule="auto"/>
      <w:jc w:val="both"/>
    </w:pPr>
    <w:rPr>
      <w:rFonts w:ascii="Times New Roman" w:eastAsiaTheme="minorHAnsi" w:hAnsi="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eastAsiaTheme="minorHAnsi" w:hAnsi="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eastAsiaTheme="minorHAnsi" w:hAnsi="Times New Roman"/>
      <w:sz w:val="24"/>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b/>
      <w:sz w:val="32"/>
    </w:rPr>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basedOn w:val="DefaultParagraphFont"/>
    <w:link w:val="EndnoteText"/>
    <w:uiPriority w:val="99"/>
    <w:semiHidden/>
    <w:rPr>
      <w:sz w:val="20"/>
      <w:szCs w:val="20"/>
      <w:lang w:val="en-GB" w:eastAsia="en-US"/>
    </w:rPr>
  </w:style>
  <w:style w:type="character" w:styleId="EndnoteReference">
    <w:name w:val="endnote reference"/>
    <w:basedOn w:val="DefaultParagraphFont"/>
    <w:uiPriority w:val="99"/>
    <w:semiHidden/>
    <w:unhideWhenUsed/>
    <w:rPr>
      <w:vertAlign w:val="superscript"/>
    </w:rPr>
  </w:style>
  <w:style w:type="paragraph" w:styleId="Caption">
    <w:name w:val="caption"/>
    <w:basedOn w:val="Normal"/>
    <w:next w:val="Normal"/>
    <w:unhideWhenUsed/>
    <w:qFormat/>
    <w:locked/>
    <w:pPr>
      <w:spacing w:line="240" w:lineRule="auto"/>
    </w:pPr>
    <w:rPr>
      <w:i/>
      <w:iCs/>
      <w:color w:val="1F497D" w:themeColor="text2"/>
      <w:sz w:val="18"/>
      <w:szCs w:val="18"/>
    </w:rPr>
  </w:style>
  <w:style w:type="character" w:customStyle="1" w:styleId="Heading1Char">
    <w:name w:val="Heading 1 Char"/>
    <w:basedOn w:val="DefaultParagraphFont"/>
    <w:link w:val="Heading1"/>
    <w:rPr>
      <w:rFonts w:asciiTheme="majorHAnsi" w:eastAsiaTheme="majorEastAsia" w:hAnsiTheme="majorHAnsi" w:cstheme="majorBidi"/>
      <w:b/>
      <w:bCs/>
      <w:color w:val="365F91" w:themeColor="accent1" w:themeShade="BF"/>
      <w:sz w:val="28"/>
      <w:szCs w:val="28"/>
      <w:lang w:val="en-GB" w:eastAsia="en-US"/>
    </w:rPr>
  </w:style>
  <w:style w:type="character" w:customStyle="1" w:styleId="Heading2Char">
    <w:name w:val="Heading 2 Char"/>
    <w:basedOn w:val="DefaultParagraphFont"/>
    <w:link w:val="Heading2"/>
    <w:semiHidden/>
    <w:rPr>
      <w:rFonts w:asciiTheme="majorHAnsi" w:eastAsiaTheme="majorEastAsia" w:hAnsiTheme="majorHAnsi" w:cstheme="majorBidi"/>
      <w:b/>
      <w:bCs/>
      <w:color w:val="4F81BD" w:themeColor="accent1"/>
      <w:sz w:val="26"/>
      <w:szCs w:val="26"/>
      <w:lang w:val="en-GB" w:eastAsia="en-US"/>
    </w:rPr>
  </w:style>
  <w:style w:type="character" w:customStyle="1" w:styleId="Heading3Char">
    <w:name w:val="Heading 3 Char"/>
    <w:basedOn w:val="DefaultParagraphFont"/>
    <w:link w:val="Heading3"/>
    <w:semiHidden/>
    <w:rPr>
      <w:rFonts w:asciiTheme="majorHAnsi" w:eastAsiaTheme="majorEastAsia" w:hAnsiTheme="majorHAnsi" w:cstheme="majorBidi"/>
      <w:b/>
      <w:bCs/>
      <w:color w:val="4F81BD" w:themeColor="accent1"/>
      <w:lang w:val="en-GB" w:eastAsia="en-US"/>
    </w:rPr>
  </w:style>
  <w:style w:type="character" w:customStyle="1" w:styleId="Heading4Char">
    <w:name w:val="Heading 4 Char"/>
    <w:basedOn w:val="DefaultParagraphFont"/>
    <w:link w:val="Heading4"/>
    <w:semiHidden/>
    <w:rPr>
      <w:rFonts w:asciiTheme="majorHAnsi" w:eastAsiaTheme="majorEastAsia" w:hAnsiTheme="majorHAnsi" w:cstheme="majorBidi"/>
      <w:b/>
      <w:bCs/>
      <w:i/>
      <w:iCs/>
      <w:color w:val="4F81BD" w:themeColor="accent1"/>
      <w:lang w:val="en-GB" w:eastAsia="en-US"/>
    </w:rPr>
  </w:style>
  <w:style w:type="table" w:customStyle="1" w:styleId="TableGrid5">
    <w:name w:val="Table Grid5"/>
    <w:basedOn w:val="TableNormal"/>
    <w:next w:val="TableGrid"/>
    <w:uiPriority w:val="59"/>
    <w:rPr>
      <w:rFonts w:asciiTheme="minorHAnsi" w:eastAsiaTheme="minorEastAsia" w:hAnsiTheme="minorHAnsi" w:cstheme="minorBid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7618443">
      <w:bodyDiv w:val="1"/>
      <w:marLeft w:val="0"/>
      <w:marRight w:val="0"/>
      <w:marTop w:val="0"/>
      <w:marBottom w:val="0"/>
      <w:divBdr>
        <w:top w:val="none" w:sz="0" w:space="0" w:color="auto"/>
        <w:left w:val="none" w:sz="0" w:space="0" w:color="auto"/>
        <w:bottom w:val="none" w:sz="0" w:space="0" w:color="auto"/>
        <w:right w:val="none" w:sz="0" w:space="0" w:color="auto"/>
      </w:divBdr>
    </w:div>
    <w:div w:id="400446890">
      <w:bodyDiv w:val="1"/>
      <w:marLeft w:val="0"/>
      <w:marRight w:val="0"/>
      <w:marTop w:val="0"/>
      <w:marBottom w:val="0"/>
      <w:divBdr>
        <w:top w:val="none" w:sz="0" w:space="0" w:color="auto"/>
        <w:left w:val="none" w:sz="0" w:space="0" w:color="auto"/>
        <w:bottom w:val="none" w:sz="0" w:space="0" w:color="auto"/>
        <w:right w:val="none" w:sz="0" w:space="0" w:color="auto"/>
      </w:divBdr>
    </w:div>
    <w:div w:id="1052463737">
      <w:marLeft w:val="0"/>
      <w:marRight w:val="0"/>
      <w:marTop w:val="0"/>
      <w:marBottom w:val="0"/>
      <w:divBdr>
        <w:top w:val="none" w:sz="0" w:space="0" w:color="auto"/>
        <w:left w:val="none" w:sz="0" w:space="0" w:color="auto"/>
        <w:bottom w:val="none" w:sz="0" w:space="0" w:color="auto"/>
        <w:right w:val="none" w:sz="0" w:space="0" w:color="auto"/>
      </w:divBdr>
    </w:div>
    <w:div w:id="1052463738">
      <w:marLeft w:val="0"/>
      <w:marRight w:val="0"/>
      <w:marTop w:val="0"/>
      <w:marBottom w:val="0"/>
      <w:divBdr>
        <w:top w:val="none" w:sz="0" w:space="0" w:color="auto"/>
        <w:left w:val="none" w:sz="0" w:space="0" w:color="auto"/>
        <w:bottom w:val="none" w:sz="0" w:space="0" w:color="auto"/>
        <w:right w:val="none" w:sz="0" w:space="0" w:color="auto"/>
      </w:divBdr>
    </w:div>
    <w:div w:id="1052463739">
      <w:marLeft w:val="0"/>
      <w:marRight w:val="0"/>
      <w:marTop w:val="0"/>
      <w:marBottom w:val="0"/>
      <w:divBdr>
        <w:top w:val="none" w:sz="0" w:space="0" w:color="auto"/>
        <w:left w:val="none" w:sz="0" w:space="0" w:color="auto"/>
        <w:bottom w:val="none" w:sz="0" w:space="0" w:color="auto"/>
        <w:right w:val="none" w:sz="0" w:space="0" w:color="auto"/>
      </w:divBdr>
    </w:div>
    <w:div w:id="1052463740">
      <w:marLeft w:val="0"/>
      <w:marRight w:val="0"/>
      <w:marTop w:val="0"/>
      <w:marBottom w:val="0"/>
      <w:divBdr>
        <w:top w:val="none" w:sz="0" w:space="0" w:color="auto"/>
        <w:left w:val="none" w:sz="0" w:space="0" w:color="auto"/>
        <w:bottom w:val="none" w:sz="0" w:space="0" w:color="auto"/>
        <w:right w:val="none" w:sz="0" w:space="0" w:color="auto"/>
      </w:divBdr>
    </w:div>
    <w:div w:id="1052463741">
      <w:marLeft w:val="0"/>
      <w:marRight w:val="0"/>
      <w:marTop w:val="0"/>
      <w:marBottom w:val="0"/>
      <w:divBdr>
        <w:top w:val="none" w:sz="0" w:space="0" w:color="auto"/>
        <w:left w:val="none" w:sz="0" w:space="0" w:color="auto"/>
        <w:bottom w:val="none" w:sz="0" w:space="0" w:color="auto"/>
        <w:right w:val="none" w:sz="0" w:space="0" w:color="auto"/>
      </w:divBdr>
    </w:div>
    <w:div w:id="1052463742">
      <w:marLeft w:val="0"/>
      <w:marRight w:val="0"/>
      <w:marTop w:val="0"/>
      <w:marBottom w:val="0"/>
      <w:divBdr>
        <w:top w:val="none" w:sz="0" w:space="0" w:color="auto"/>
        <w:left w:val="none" w:sz="0" w:space="0" w:color="auto"/>
        <w:bottom w:val="none" w:sz="0" w:space="0" w:color="auto"/>
        <w:right w:val="none" w:sz="0" w:space="0" w:color="auto"/>
      </w:divBdr>
    </w:div>
    <w:div w:id="1052463743">
      <w:marLeft w:val="0"/>
      <w:marRight w:val="0"/>
      <w:marTop w:val="0"/>
      <w:marBottom w:val="0"/>
      <w:divBdr>
        <w:top w:val="none" w:sz="0" w:space="0" w:color="auto"/>
        <w:left w:val="none" w:sz="0" w:space="0" w:color="auto"/>
        <w:bottom w:val="none" w:sz="0" w:space="0" w:color="auto"/>
        <w:right w:val="none" w:sz="0" w:space="0" w:color="auto"/>
      </w:divBdr>
    </w:div>
    <w:div w:id="1052463744">
      <w:marLeft w:val="0"/>
      <w:marRight w:val="0"/>
      <w:marTop w:val="0"/>
      <w:marBottom w:val="0"/>
      <w:divBdr>
        <w:top w:val="none" w:sz="0" w:space="0" w:color="auto"/>
        <w:left w:val="none" w:sz="0" w:space="0" w:color="auto"/>
        <w:bottom w:val="none" w:sz="0" w:space="0" w:color="auto"/>
        <w:right w:val="none" w:sz="0" w:space="0" w:color="auto"/>
      </w:divBdr>
    </w:div>
    <w:div w:id="1052463745">
      <w:marLeft w:val="0"/>
      <w:marRight w:val="0"/>
      <w:marTop w:val="0"/>
      <w:marBottom w:val="0"/>
      <w:divBdr>
        <w:top w:val="none" w:sz="0" w:space="0" w:color="auto"/>
        <w:left w:val="none" w:sz="0" w:space="0" w:color="auto"/>
        <w:bottom w:val="none" w:sz="0" w:space="0" w:color="auto"/>
        <w:right w:val="none" w:sz="0" w:space="0" w:color="auto"/>
      </w:divBdr>
    </w:div>
    <w:div w:id="1052463746">
      <w:marLeft w:val="0"/>
      <w:marRight w:val="0"/>
      <w:marTop w:val="0"/>
      <w:marBottom w:val="0"/>
      <w:divBdr>
        <w:top w:val="none" w:sz="0" w:space="0" w:color="auto"/>
        <w:left w:val="none" w:sz="0" w:space="0" w:color="auto"/>
        <w:bottom w:val="none" w:sz="0" w:space="0" w:color="auto"/>
        <w:right w:val="none" w:sz="0" w:space="0" w:color="auto"/>
      </w:divBdr>
    </w:div>
    <w:div w:id="1052463747">
      <w:marLeft w:val="0"/>
      <w:marRight w:val="0"/>
      <w:marTop w:val="0"/>
      <w:marBottom w:val="0"/>
      <w:divBdr>
        <w:top w:val="none" w:sz="0" w:space="0" w:color="auto"/>
        <w:left w:val="none" w:sz="0" w:space="0" w:color="auto"/>
        <w:bottom w:val="none" w:sz="0" w:space="0" w:color="auto"/>
        <w:right w:val="none" w:sz="0" w:space="0" w:color="auto"/>
      </w:divBdr>
    </w:div>
    <w:div w:id="1052463748">
      <w:marLeft w:val="0"/>
      <w:marRight w:val="0"/>
      <w:marTop w:val="0"/>
      <w:marBottom w:val="0"/>
      <w:divBdr>
        <w:top w:val="none" w:sz="0" w:space="0" w:color="auto"/>
        <w:left w:val="none" w:sz="0" w:space="0" w:color="auto"/>
        <w:bottom w:val="none" w:sz="0" w:space="0" w:color="auto"/>
        <w:right w:val="none" w:sz="0" w:space="0" w:color="auto"/>
      </w:divBdr>
    </w:div>
    <w:div w:id="1052463749">
      <w:marLeft w:val="0"/>
      <w:marRight w:val="0"/>
      <w:marTop w:val="0"/>
      <w:marBottom w:val="0"/>
      <w:divBdr>
        <w:top w:val="none" w:sz="0" w:space="0" w:color="auto"/>
        <w:left w:val="none" w:sz="0" w:space="0" w:color="auto"/>
        <w:bottom w:val="none" w:sz="0" w:space="0" w:color="auto"/>
        <w:right w:val="none" w:sz="0" w:space="0" w:color="auto"/>
      </w:divBdr>
    </w:div>
    <w:div w:id="1052463750">
      <w:marLeft w:val="0"/>
      <w:marRight w:val="0"/>
      <w:marTop w:val="0"/>
      <w:marBottom w:val="0"/>
      <w:divBdr>
        <w:top w:val="none" w:sz="0" w:space="0" w:color="auto"/>
        <w:left w:val="none" w:sz="0" w:space="0" w:color="auto"/>
        <w:bottom w:val="none" w:sz="0" w:space="0" w:color="auto"/>
        <w:right w:val="none" w:sz="0" w:space="0" w:color="auto"/>
      </w:divBdr>
    </w:div>
    <w:div w:id="1052463751">
      <w:marLeft w:val="0"/>
      <w:marRight w:val="0"/>
      <w:marTop w:val="0"/>
      <w:marBottom w:val="0"/>
      <w:divBdr>
        <w:top w:val="none" w:sz="0" w:space="0" w:color="auto"/>
        <w:left w:val="none" w:sz="0" w:space="0" w:color="auto"/>
        <w:bottom w:val="none" w:sz="0" w:space="0" w:color="auto"/>
        <w:right w:val="none" w:sz="0" w:space="0" w:color="auto"/>
      </w:divBdr>
    </w:div>
    <w:div w:id="1052463752">
      <w:marLeft w:val="0"/>
      <w:marRight w:val="0"/>
      <w:marTop w:val="0"/>
      <w:marBottom w:val="0"/>
      <w:divBdr>
        <w:top w:val="none" w:sz="0" w:space="0" w:color="auto"/>
        <w:left w:val="none" w:sz="0" w:space="0" w:color="auto"/>
        <w:bottom w:val="none" w:sz="0" w:space="0" w:color="auto"/>
        <w:right w:val="none" w:sz="0" w:space="0" w:color="auto"/>
      </w:divBdr>
    </w:div>
    <w:div w:id="1398212109">
      <w:bodyDiv w:val="1"/>
      <w:marLeft w:val="0"/>
      <w:marRight w:val="0"/>
      <w:marTop w:val="0"/>
      <w:marBottom w:val="0"/>
      <w:divBdr>
        <w:top w:val="none" w:sz="0" w:space="0" w:color="auto"/>
        <w:left w:val="none" w:sz="0" w:space="0" w:color="auto"/>
        <w:bottom w:val="none" w:sz="0" w:space="0" w:color="auto"/>
        <w:right w:val="none" w:sz="0" w:space="0" w:color="auto"/>
      </w:divBdr>
    </w:div>
    <w:div w:id="1493907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image" Target="media/image4.emf"/><Relationship Id="rId26" Type="http://schemas.openxmlformats.org/officeDocument/2006/relationships/header" Target="header6.xml"/><Relationship Id="rId39" Type="http://schemas.openxmlformats.org/officeDocument/2006/relationships/footer" Target="footer12.xml"/><Relationship Id="rId3" Type="http://schemas.openxmlformats.org/officeDocument/2006/relationships/styles" Target="styles.xml"/><Relationship Id="rId21" Type="http://schemas.openxmlformats.org/officeDocument/2006/relationships/image" Target="media/image7.emf"/><Relationship Id="rId34" Type="http://schemas.openxmlformats.org/officeDocument/2006/relationships/header" Target="header10.xml"/><Relationship Id="rId42" Type="http://schemas.openxmlformats.org/officeDocument/2006/relationships/footer" Target="footer13.xml"/><Relationship Id="rId47"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3.emf"/><Relationship Id="rId25" Type="http://schemas.openxmlformats.org/officeDocument/2006/relationships/footer" Target="footer5.xml"/><Relationship Id="rId33" Type="http://schemas.openxmlformats.org/officeDocument/2006/relationships/footer" Target="footer9.xml"/><Relationship Id="rId38" Type="http://schemas.openxmlformats.org/officeDocument/2006/relationships/header" Target="header12.xm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2.emf"/><Relationship Id="rId20" Type="http://schemas.openxmlformats.org/officeDocument/2006/relationships/image" Target="media/image6.png"/><Relationship Id="rId29" Type="http://schemas.openxmlformats.org/officeDocument/2006/relationships/header" Target="header8.xml"/><Relationship Id="rId41" Type="http://schemas.openxmlformats.org/officeDocument/2006/relationships/header" Target="header1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4.xml"/><Relationship Id="rId32" Type="http://schemas.openxmlformats.org/officeDocument/2006/relationships/header" Target="header9.xml"/><Relationship Id="rId37" Type="http://schemas.openxmlformats.org/officeDocument/2006/relationships/footer" Target="footer11.xml"/><Relationship Id="rId40" Type="http://schemas.openxmlformats.org/officeDocument/2006/relationships/header" Target="header13.xml"/><Relationship Id="rId45" Type="http://schemas.openxmlformats.org/officeDocument/2006/relationships/footer" Target="footer15.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5.xml"/><Relationship Id="rId28" Type="http://schemas.openxmlformats.org/officeDocument/2006/relationships/header" Target="header7.xml"/><Relationship Id="rId36" Type="http://schemas.openxmlformats.org/officeDocument/2006/relationships/footer" Target="footer10.xml"/><Relationship Id="rId10" Type="http://schemas.openxmlformats.org/officeDocument/2006/relationships/header" Target="header1.xml"/><Relationship Id="rId19" Type="http://schemas.openxmlformats.org/officeDocument/2006/relationships/image" Target="media/image5.png"/><Relationship Id="rId31" Type="http://schemas.openxmlformats.org/officeDocument/2006/relationships/footer" Target="footer8.xml"/><Relationship Id="rId44" Type="http://schemas.openxmlformats.org/officeDocument/2006/relationships/header" Target="header1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eader" Target="header4.xml"/><Relationship Id="rId27" Type="http://schemas.openxmlformats.org/officeDocument/2006/relationships/footer" Target="footer6.xml"/><Relationship Id="rId30" Type="http://schemas.openxmlformats.org/officeDocument/2006/relationships/footer" Target="footer7.xml"/><Relationship Id="rId35" Type="http://schemas.openxmlformats.org/officeDocument/2006/relationships/header" Target="header11.xml"/><Relationship Id="rId43" Type="http://schemas.openxmlformats.org/officeDocument/2006/relationships/footer" Target="footer14.xml"/></Relationships>
</file>

<file path=word/_rels/footnotes.xml.rels><?xml version="1.0" encoding="UTF-8" standalone="yes"?>
<Relationships xmlns="http://schemas.openxmlformats.org/package/2006/relationships"><Relationship Id="rId2" Type="http://schemas.openxmlformats.org/officeDocument/2006/relationships/hyperlink" Target="http://ec.europa.eu/environment/forests/pdf/list_competent_authorities_flegt.pdf" TargetMode="External"/><Relationship Id="rId1" Type="http://schemas.openxmlformats.org/officeDocument/2006/relationships/hyperlink" Target="http://ec.europa.eu/environment/forests/flegt.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5162AE-7689-4402-8FE5-883688348C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166</TotalTime>
  <Pages>14</Pages>
  <Words>4273</Words>
  <Characters>22776</Characters>
  <Application>Microsoft Office Word</Application>
  <DocSecurity>0</DocSecurity>
  <Lines>911</Lines>
  <Paragraphs>510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26539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DIGIT/C6</cp:lastModifiedBy>
  <cp:revision>33</cp:revision>
  <cp:lastPrinted>2019-05-08T09:21:00Z</cp:lastPrinted>
  <dcterms:created xsi:type="dcterms:W3CDTF">2019-05-03T14:25:00Z</dcterms:created>
  <dcterms:modified xsi:type="dcterms:W3CDTF">2019-05-29T07:55:00Z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Level of sensitivity">
    <vt:lpwstr>Standard treatment</vt:lpwstr>
  </property>
  <property fmtid="{D5CDD505-2E9C-101B-9397-08002B2CF9AE}" pid="6" name="Last edited using">
    <vt:lpwstr>LW 6.0.1, Build 20180503</vt:lpwstr>
  </property>
  <property fmtid="{D5CDD505-2E9C-101B-9397-08002B2CF9AE}" pid="7" name="Created using">
    <vt:lpwstr>LW 6.0.1, Build 20180503</vt:lpwstr>
  </property>
</Properties>
</file>