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842FEA7C-7F8F-4FFD-991B-C5BB5ACF8D63" style="width:450.75pt;height:410.2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p>
      <w:pPr>
        <w:spacing w:before="0" w:after="0"/>
        <w:rPr>
          <w:rFonts w:eastAsia="Times New Roman"/>
          <w:noProof/>
          <w:szCs w:val="20"/>
        </w:rPr>
      </w:pPr>
    </w:p>
    <w:p>
      <w:pPr>
        <w:spacing w:before="0" w:after="0"/>
        <w:rPr>
          <w:rFonts w:eastAsia="Times New Roman"/>
          <w:noProof/>
          <w:szCs w:val="20"/>
        </w:rPr>
      </w:pPr>
      <w:r>
        <w:rPr>
          <w:noProof/>
        </w:rPr>
        <w:t>Списък на проекторезолюции за стъпка 7, които ще бъдат гласувани по време на общото събрание на OIV през юли 2019 г.</w:t>
      </w:r>
    </w:p>
    <w:p>
      <w:pPr>
        <w:spacing w:before="0" w:after="0"/>
        <w:jc w:val="center"/>
        <w:rPr>
          <w:rFonts w:eastAsia="Times New Roman"/>
          <w:noProof/>
          <w:szCs w:val="20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6250"/>
      </w:tblGrid>
      <w:tr>
        <w:trPr>
          <w:trHeight w:val="300"/>
          <w:tblHeader/>
          <w:jc w:val="center"/>
        </w:trPr>
        <w:tc>
          <w:tcPr>
            <w:tcW w:w="2694" w:type="dxa"/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Референтен номер на резолюцията</w:t>
            </w:r>
          </w:p>
        </w:tc>
        <w:tc>
          <w:tcPr>
            <w:tcW w:w="992" w:type="dxa"/>
            <w:shd w:val="clear" w:color="000000" w:fill="D9D9D9"/>
            <w:vAlign w:val="bottom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Стъпка</w:t>
            </w:r>
          </w:p>
        </w:tc>
        <w:tc>
          <w:tcPr>
            <w:tcW w:w="6250" w:type="dxa"/>
            <w:shd w:val="clear" w:color="000000" w:fill="D9D9D9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Наименование</w:t>
            </w:r>
          </w:p>
        </w:tc>
      </w:tr>
      <w:tr>
        <w:trPr>
          <w:trHeight w:val="108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OENO-MICRO 16-594A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Премахване на диви щамове микроорганизми от грозде и мъст чрез прекъснати процеси при високо налягане (високо хидростатично налягане — ВХН)</w:t>
            </w:r>
          </w:p>
        </w:tc>
      </w:tr>
      <w:tr>
        <w:trPr>
          <w:trHeight w:val="1080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OENO-MICRO 17-611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noProof/>
              </w:rPr>
              <w:t>Намаляване на киселинното съдържание от млечнокисели бактерии</w:t>
            </w:r>
            <w:r>
              <w:rPr>
                <w:rFonts w:ascii="Calibri" w:hAnsi="Calibri"/>
                <w:noProof/>
                <w:highlight w:val="yellow"/>
              </w:rPr>
              <w:t xml:space="preserve"> </w:t>
            </w:r>
          </w:p>
        </w:tc>
      </w:tr>
      <w:tr>
        <w:trPr>
          <w:trHeight w:val="615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15-586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Гранична стойност за карбоксиметилцелулоза на OIV — актуализация </w:t>
            </w:r>
          </w:p>
        </w:tc>
      </w:tr>
      <w:tr>
        <w:trPr>
          <w:trHeight w:val="780"/>
          <w:tblHeader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Актуализиране на енологичната практика за добавяне на танин в мъст </w:t>
            </w:r>
          </w:p>
        </w:tc>
      </w:tr>
      <w:tr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Актуализиране на енологичната практика за добавяне на танин във вино </w:t>
            </w:r>
          </w:p>
        </w:tc>
      </w:tr>
      <w:tr>
        <w:trPr>
          <w:trHeight w:val="81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Извличане на фенолни и/или ароматни съединения в грозде с използване на ултразвук</w:t>
            </w:r>
          </w:p>
        </w:tc>
      </w:tr>
      <w:tr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18-633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Актуализиране на досие 2.3.2. Активатори на ферментация: хранителна целулоза (от стъпка 3)</w:t>
            </w:r>
          </w:p>
        </w:tc>
      </w:tr>
      <w:tr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17-617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Актуализация на монографията относно колоидния силициев диоксид и съответните фишове на Международния кодекс на енологичните практики</w:t>
            </w:r>
          </w:p>
        </w:tc>
      </w:tr>
      <w:tr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18-646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Актуализация на досие E-COEI-1-POTBIS относно калиевия хидроген сулфит</w:t>
            </w:r>
          </w:p>
        </w:tc>
      </w:tr>
      <w:tr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18-650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Преразглеждане на досие F-COEI-1-OEUALB Яйчен албумин — съдържание на сухо вещество и pH на яйчни албумини</w:t>
            </w:r>
          </w:p>
        </w:tc>
      </w:tr>
      <w:tr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16-596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Валидиране на анализа на фталати във вината (OIV-OENO 477-2013)</w:t>
            </w:r>
          </w:p>
        </w:tc>
      </w:tr>
      <w:tr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17-619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Метод за определяне на калиев полиаспартат във виното чрез високоефективна течна хроматография с флуоресцентен детектор</w:t>
            </w:r>
          </w:p>
        </w:tc>
      </w:tr>
      <w:tr>
        <w:trPr>
          <w:trHeight w:val="12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17-621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Определяне на оцетна киселина във виното чрез автоматизиран ензимен метод</w:t>
            </w:r>
          </w:p>
        </w:tc>
      </w:tr>
      <w:tr>
        <w:trPr>
          <w:trHeight w:val="99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17-622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Определяне на D-глюконова киселина във вино и мъст чрез ензимен метод</w:t>
            </w:r>
          </w:p>
        </w:tc>
      </w:tr>
      <w:tr>
        <w:trPr>
          <w:trHeight w:val="990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18-638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Актуализиране на граничната стойност за олово във виното (от стъпка 3)</w:t>
            </w:r>
          </w:p>
        </w:tc>
      </w:tr>
    </w:tbl>
    <w:p>
      <w:pPr>
        <w:spacing w:before="0" w:after="240"/>
        <w:rPr>
          <w:rFonts w:eastAsia="Times New Roman"/>
          <w:noProof/>
          <w:szCs w:val="20"/>
        </w:rPr>
      </w:pPr>
    </w:p>
    <w:p>
      <w:pPr>
        <w:spacing w:before="0" w:after="240"/>
        <w:rPr>
          <w:rFonts w:eastAsia="Times New Roman"/>
          <w:noProof/>
          <w:szCs w:val="20"/>
        </w:rPr>
      </w:pPr>
    </w:p>
    <w:p>
      <w:pPr>
        <w:spacing w:before="0" w:after="240"/>
        <w:rPr>
          <w:rFonts w:eastAsia="Times New Roman"/>
          <w:noProof/>
          <w:szCs w:val="20"/>
        </w:rPr>
      </w:pPr>
    </w:p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7C647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2E69A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4EC07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1CA1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CDAE2B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10C0C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7E220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CEC87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5-29 09:56:5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5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842FEA7C-7F8F-4FFD-991B-C5BB5ACF8D63"/>
    <w:docVar w:name="LW_COVERPAGE_TYPE" w:val="1"/>
    <w:docVar w:name="LW_CROSSREFERENCE" w:val="&lt;UNUSED&gt;"/>
    <w:docVar w:name="LW_DocType" w:val="ANNEX"/>
    <w:docVar w:name="LW_EMISSION" w:val="4.6.2019"/>
    <w:docVar w:name="LW_EMISSION_ISODATE" w:val="2019-06-04"/>
    <w:docVar w:name="LW_EMISSION_LOCATION" w:val="BRX"/>
    <w:docVar w:name="LW_EMISSION_PREFIX" w:val="Брюксел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87?\u1086?\u1079?\u1080?\u1094?\u1080?\u1103?\u1090?\u1072?, \u1082?\u1086?\u1103?\u1090?\u1086? \u1090?\u1088?\u1103?\u1073?\u1074?\u1072? \u1076?\u1072? \u1089?\u1077? \u1079?\u1072?\u1077?\u1084?\u1077? \u1086?\u1090? \u1080?\u1084?\u1077?\u1090?\u1086? \u1085?\u1072? \u1045?\u1074?\u1088?\u1086?\u1087?\u1077?\u1081?\u1089?\u1082?\u1080?\u1103? \u1089?\u1098?\u1102?\u1079? _x000b_\u1074? \u1088?\u1072?\u1084?\u1082?\u1080?\u1090?\u1077? \u1085?\u1072? \u1052?\u1077?\u1078?\u1076?\u1091?\u1085?\u1072?\u1088?\u1086?\u1076?\u1085?\u1072?\u1090?\u1072? \u1086?\u1088?\u1075?\u1072?\u1085?\u1080?\u1079?\u1072?\u1094?\u1080?\u1103? \u1087?\u1086? \u1083?\u1086?\u1079?\u1072?\u1090?\u1072? \u1080? \u1074?\u1080?\u1085?\u1086?\u1090?\u1086? (OIV)_x000b_"/>
    <w:docVar w:name="LW_OBJETACTEPRINCIPAL.CP" w:val="\u1086?\u1090?\u1085?\u1086?\u1089?\u1085?\u1086? \u1087?\u1086?\u1079?\u1080?\u1094?\u1080?\u1103?\u1090?\u1072?, \u1082?\u1086?\u1103?\u1090?\u1086? \u1090?\u1088?\u1103?\u1073?\u1074?\u1072? \u1076?\u1072? \u1089?\u1077? \u1079?\u1072?\u1077?\u1084?\u1077? \u1086?\u1090? \u1080?\u1084?\u1077?\u1090?\u1086? \u1085?\u1072? \u1045?\u1074?\u1088?\u1086?\u1087?\u1077?\u1081?\u1089?\u1082?\u1080?\u1103? \u1089?\u1098?\u1102?\u1079? _x000b_\u1074? \u1088?\u1072?\u1084?\u1082?\u1080?\u1090?\u1077? \u1085?\u1072? \u1052?\u1077?\u1078?\u1076?\u1091?\u1085?\u1072?\u1088?\u1086?\u1076?\u1085?\u1072?\u1090?\u1072? \u1086?\u1088?\u1075?\u1072?\u1085?\u1080?\u1079?\u1072?\u1094?\u1080?\u1103? \u1087?\u1086? \u1083?\u1086?\u1079?\u1072?\u1090?\u1072? \u1080? \u1074?\u1080?\u1085?\u1086?\u1090?\u1086? (OIV)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4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87?\u1088?\u1077?\u1076?\u1083?\u1086?\u1078?\u1077?\u1085?\u1080?\u1077? \u1079?\u1072?_x000b_\u1056?\u1045?\u1064?\u1045?\u1053?\u1048?\u1045? \u1053?\u1040? \u1057?\u1066?\u1042?\u1045?\u1058?\u1040?"/>
    <w:docVar w:name="LW_TYPEACTEPRINCIPAL.CP" w:val="\u1087?\u1088?\u1077?\u1076?\u1083?\u1086?\u1078?\u1077?\u1085?\u1080?\u1077? \u1079?\u1072?_x000b_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3</Pages>
  <Words>249</Words>
  <Characters>1551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RANALLI Romina (AGRI)</dc:creator>
  <cp:keywords/>
  <dc:description/>
  <cp:lastModifiedBy>WES PDFC Administrator</cp:lastModifiedBy>
  <cp:revision>8</cp:revision>
  <dcterms:created xsi:type="dcterms:W3CDTF">2019-05-28T20:48:00Z</dcterms:created>
  <dcterms:modified xsi:type="dcterms:W3CDTF">2019-05-29T07:56:00Z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6.0.1, Build 20180503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