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0A9CF182-F357-4B72-932A-371C119F0357" style="width:450.7pt;height:410.4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spacing w:before="0" w:after="0"/>
        <w:rPr>
          <w:rFonts w:eastAsia="Times New Roman"/>
          <w:noProof/>
          <w:szCs w:val="20"/>
        </w:rPr>
      </w:pPr>
    </w:p>
    <w:p>
      <w:pPr>
        <w:spacing w:before="0" w:after="0"/>
        <w:rPr>
          <w:rFonts w:eastAsia="Times New Roman"/>
          <w:noProof/>
          <w:szCs w:val="20"/>
        </w:rPr>
      </w:pPr>
      <w:r>
        <w:rPr>
          <w:noProof/>
        </w:rPr>
        <w:t>Liste des projets de résolution à l’étape 7 qui feront l'objet d'un vote lors de l’assemblée générale de l’OIV de juillet 2019</w:t>
      </w:r>
    </w:p>
    <w:p>
      <w:pPr>
        <w:spacing w:before="0" w:after="0"/>
        <w:jc w:val="center"/>
        <w:rPr>
          <w:rFonts w:eastAsia="Times New Roman"/>
          <w:noProof/>
          <w:szCs w:val="20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992"/>
        <w:gridCol w:w="6250"/>
      </w:tblGrid>
      <w:tr>
        <w:trPr>
          <w:trHeight w:val="300"/>
          <w:tblHeader/>
          <w:jc w:val="center"/>
        </w:trPr>
        <w:tc>
          <w:tcPr>
            <w:tcW w:w="2694" w:type="dxa"/>
            <w:shd w:val="clear" w:color="000000" w:fill="D9D9D9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b/>
                <w:bCs/>
                <w:noProof/>
                <w:color w:val="000000"/>
                <w:szCs w:val="20"/>
              </w:rPr>
            </w:pPr>
            <w:r>
              <w:rPr>
                <w:rFonts w:ascii="Calibri" w:hAnsi="Calibri"/>
                <w:b/>
                <w:bCs/>
                <w:noProof/>
                <w:color w:val="000000"/>
                <w:szCs w:val="20"/>
              </w:rPr>
              <w:t>Réf. Résolution</w:t>
            </w:r>
          </w:p>
        </w:tc>
        <w:tc>
          <w:tcPr>
            <w:tcW w:w="992" w:type="dxa"/>
            <w:shd w:val="clear" w:color="000000" w:fill="D9D9D9"/>
            <w:vAlign w:val="bottom"/>
            <w:hideMark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b/>
                <w:bCs/>
                <w:noProof/>
                <w:color w:val="000000"/>
                <w:szCs w:val="20"/>
              </w:rPr>
            </w:pPr>
            <w:r>
              <w:rPr>
                <w:rFonts w:ascii="Calibri" w:hAnsi="Calibri"/>
                <w:b/>
                <w:bCs/>
                <w:noProof/>
                <w:color w:val="000000"/>
                <w:szCs w:val="20"/>
              </w:rPr>
              <w:t>Étape</w:t>
            </w:r>
          </w:p>
        </w:tc>
        <w:tc>
          <w:tcPr>
            <w:tcW w:w="6250" w:type="dxa"/>
            <w:shd w:val="clear" w:color="000000" w:fill="D9D9D9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b/>
                <w:bCs/>
                <w:noProof/>
                <w:color w:val="000000"/>
                <w:szCs w:val="20"/>
              </w:rPr>
            </w:pPr>
            <w:r>
              <w:rPr>
                <w:rFonts w:ascii="Calibri" w:hAnsi="Calibri"/>
                <w:b/>
                <w:bCs/>
                <w:noProof/>
                <w:color w:val="000000"/>
                <w:szCs w:val="20"/>
              </w:rPr>
              <w:t>Titre</w:t>
            </w:r>
          </w:p>
        </w:tc>
      </w:tr>
      <w:tr>
        <w:trPr>
          <w:trHeight w:val="1080"/>
          <w:tblHeader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OENO-MICRO 16-594A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7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Élimination des micro-organismes sauvages dans les raisins et les moûts par des procédés à haute pression discontinue (haute pression hydrostatique – HHP)</w:t>
            </w:r>
          </w:p>
        </w:tc>
      </w:tr>
      <w:tr>
        <w:trPr>
          <w:trHeight w:val="1080"/>
          <w:tblHeader/>
          <w:jc w:val="center"/>
        </w:trPr>
        <w:tc>
          <w:tcPr>
            <w:tcW w:w="2694" w:type="dxa"/>
            <w:shd w:val="clear" w:color="auto" w:fill="auto"/>
            <w:vAlign w:val="center"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OENO-MICRO 17-611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7</w:t>
            </w:r>
          </w:p>
        </w:tc>
        <w:tc>
          <w:tcPr>
            <w:tcW w:w="6250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asciiTheme="minorHAnsi" w:eastAsia="Times New Roman" w:hAnsiTheme="minorHAnsi" w:cs="Arial"/>
                <w:noProof/>
                <w:color w:val="000000"/>
                <w:szCs w:val="20"/>
              </w:rPr>
            </w:pPr>
            <w:r>
              <w:rPr>
                <w:rFonts w:asciiTheme="minorHAnsi" w:hAnsiTheme="minorHAnsi"/>
                <w:noProof/>
              </w:rPr>
              <w:t>Désacidification par des bactéries lactiques</w:t>
            </w:r>
            <w:r>
              <w:rPr>
                <w:rFonts w:asciiTheme="minorHAnsi" w:hAnsiTheme="minorHAnsi"/>
                <w:noProof/>
                <w:szCs w:val="20"/>
                <w:highlight w:val="yellow"/>
              </w:rPr>
              <w:t xml:space="preserve"> </w:t>
            </w:r>
          </w:p>
        </w:tc>
      </w:tr>
      <w:tr>
        <w:trPr>
          <w:trHeight w:val="615"/>
          <w:tblHeader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OENO-TECHNO 15-586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7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 xml:space="preserve">Limite de l’OIV pour la carboxyméthylcellulose – mise à jour </w:t>
            </w:r>
          </w:p>
        </w:tc>
      </w:tr>
      <w:tr>
        <w:trPr>
          <w:trHeight w:val="780"/>
          <w:tblHeader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OENO-TECHNO 17-612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7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 xml:space="preserve">Actualisation de la pratique œnologique concernant l’addition de tanins dans les moûts </w:t>
            </w:r>
          </w:p>
        </w:tc>
      </w:tr>
      <w:tr>
        <w:trPr>
          <w:trHeight w:val="930"/>
          <w:tblHeader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OENO-TECHNO 17-613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7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 xml:space="preserve">Actualisation de la pratique œnologique concernant l’addition de tanins dans les vins </w:t>
            </w:r>
          </w:p>
        </w:tc>
      </w:tr>
      <w:tr>
        <w:trPr>
          <w:trHeight w:val="810"/>
          <w:tblHeader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OENO-TECHNO 17-616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7</w:t>
            </w:r>
          </w:p>
        </w:tc>
        <w:tc>
          <w:tcPr>
            <w:tcW w:w="6250" w:type="dxa"/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Extraction des composés phénoliques et/ou aromatiques des raisins à l’aide d’ultrasons</w:t>
            </w:r>
          </w:p>
        </w:tc>
      </w:tr>
      <w:tr>
        <w:trPr>
          <w:trHeight w:val="885"/>
          <w:tblHeader/>
          <w:jc w:val="center"/>
        </w:trPr>
        <w:tc>
          <w:tcPr>
            <w:tcW w:w="2694" w:type="dxa"/>
            <w:shd w:val="clear" w:color="auto" w:fill="auto"/>
            <w:vAlign w:val="center"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OENO-TECHNO 18-633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7</w:t>
            </w:r>
          </w:p>
        </w:tc>
        <w:tc>
          <w:tcPr>
            <w:tcW w:w="6250" w:type="dxa"/>
            <w:shd w:val="clear" w:color="auto" w:fill="auto"/>
            <w:vAlign w:val="center"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Actualisation du dossier 2.3.2. Activateurs de fermentation: cellulose alimentaire (à partir de l’étape 3)</w:t>
            </w:r>
          </w:p>
        </w:tc>
      </w:tr>
      <w:tr>
        <w:trPr>
          <w:trHeight w:val="885"/>
          <w:tblHeader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OENO-SPECIF 17-617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7</w:t>
            </w:r>
          </w:p>
        </w:tc>
        <w:tc>
          <w:tcPr>
            <w:tcW w:w="6250" w:type="dxa"/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Actualisation d’une monographie sur le dioxyde de silicium colloïdal et fiches pertinentes du code international des pratiques œnologiques</w:t>
            </w:r>
          </w:p>
        </w:tc>
      </w:tr>
      <w:tr>
        <w:trPr>
          <w:trHeight w:val="885"/>
          <w:tblHeader/>
          <w:jc w:val="center"/>
        </w:trPr>
        <w:tc>
          <w:tcPr>
            <w:tcW w:w="2694" w:type="dxa"/>
            <w:shd w:val="clear" w:color="auto" w:fill="auto"/>
            <w:vAlign w:val="center"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OENO-SPECIF 18-646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7</w:t>
            </w:r>
          </w:p>
        </w:tc>
        <w:tc>
          <w:tcPr>
            <w:tcW w:w="6250" w:type="dxa"/>
            <w:shd w:val="clear" w:color="auto" w:fill="auto"/>
            <w:vAlign w:val="center"/>
          </w:tcPr>
          <w:p>
            <w:pPr>
              <w:spacing w:before="0" w:after="0"/>
              <w:rPr>
                <w:rFonts w:ascii="Calibri" w:eastAsia="Times New Roman" w:hAnsi="Calibri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Actualisation du dossier E-COEI-1-POTBIS sur le disulfite de potassium</w:t>
            </w:r>
          </w:p>
        </w:tc>
      </w:tr>
      <w:tr>
        <w:trPr>
          <w:trHeight w:val="885"/>
          <w:tblHeader/>
          <w:jc w:val="center"/>
        </w:trPr>
        <w:tc>
          <w:tcPr>
            <w:tcW w:w="2694" w:type="dxa"/>
            <w:shd w:val="clear" w:color="auto" w:fill="auto"/>
            <w:vAlign w:val="center"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OENO-SPECIF 18-650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7</w:t>
            </w:r>
          </w:p>
        </w:tc>
        <w:tc>
          <w:tcPr>
            <w:tcW w:w="6250" w:type="dxa"/>
            <w:shd w:val="clear" w:color="auto" w:fill="auto"/>
            <w:vAlign w:val="center"/>
          </w:tcPr>
          <w:p>
            <w:pPr>
              <w:spacing w:before="0" w:after="0"/>
              <w:rPr>
                <w:rFonts w:ascii="Calibri" w:eastAsia="Times New Roman" w:hAnsi="Calibri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Révision du dossier F-COEI-1-OEUALB ovalbumine – teneur en matière sèche et pH des ovalbumines</w:t>
            </w:r>
          </w:p>
        </w:tc>
      </w:tr>
      <w:tr>
        <w:trPr>
          <w:trHeight w:val="930"/>
          <w:tblHeader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OENO-SCMA 16-596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7</w:t>
            </w:r>
          </w:p>
        </w:tc>
        <w:tc>
          <w:tcPr>
            <w:tcW w:w="6250" w:type="dxa"/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Validation de l’analyse des phtalates dans les vins (OIV-OENO 477-2013)</w:t>
            </w:r>
          </w:p>
        </w:tc>
      </w:tr>
      <w:tr>
        <w:trPr>
          <w:trHeight w:val="930"/>
          <w:tblHeader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OENO-SCMA 17-619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7</w:t>
            </w:r>
          </w:p>
        </w:tc>
        <w:tc>
          <w:tcPr>
            <w:tcW w:w="6250" w:type="dxa"/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Méthode de dosage du polyaspartate de potassium dans les vins par chromatographie liquide à haute performance couplée à un détecteur fluorimétrique</w:t>
            </w:r>
          </w:p>
        </w:tc>
      </w:tr>
      <w:tr>
        <w:trPr>
          <w:trHeight w:val="1230"/>
          <w:tblHeader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OENO-SCMA 17-621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7</w:t>
            </w:r>
          </w:p>
        </w:tc>
        <w:tc>
          <w:tcPr>
            <w:tcW w:w="6250" w:type="dxa"/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Dosage de l’acide acétique dans les vins par méthode enzymatique automatisée</w:t>
            </w:r>
          </w:p>
        </w:tc>
      </w:tr>
      <w:tr>
        <w:trPr>
          <w:trHeight w:val="990"/>
          <w:tblHeader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lastRenderedPageBreak/>
              <w:t>OENO-SCMA 17-622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7</w:t>
            </w:r>
          </w:p>
        </w:tc>
        <w:tc>
          <w:tcPr>
            <w:tcW w:w="6250" w:type="dxa"/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Dosage de l’acide d-gluconique dans les vins et les moûts par méthode enzymatique</w:t>
            </w:r>
          </w:p>
        </w:tc>
      </w:tr>
      <w:tr>
        <w:trPr>
          <w:trHeight w:val="990"/>
          <w:tblHeader/>
          <w:jc w:val="center"/>
        </w:trPr>
        <w:tc>
          <w:tcPr>
            <w:tcW w:w="2694" w:type="dxa"/>
            <w:shd w:val="clear" w:color="auto" w:fill="auto"/>
            <w:vAlign w:val="center"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OENO-SCMA 18-638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7</w:t>
            </w:r>
          </w:p>
        </w:tc>
        <w:tc>
          <w:tcPr>
            <w:tcW w:w="6250" w:type="dxa"/>
            <w:shd w:val="clear" w:color="auto" w:fill="auto"/>
            <w:vAlign w:val="center"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Cs w:val="20"/>
              </w:rPr>
              <w:t>Actualisation de la limite de teneur en plomb des vins (à partir de l’étape 3)</w:t>
            </w:r>
          </w:p>
        </w:tc>
      </w:tr>
    </w:tbl>
    <w:p>
      <w:pPr>
        <w:spacing w:before="0" w:after="240"/>
        <w:rPr>
          <w:rFonts w:eastAsia="Times New Roman"/>
          <w:noProof/>
          <w:szCs w:val="20"/>
        </w:rPr>
      </w:pPr>
    </w:p>
    <w:p>
      <w:pPr>
        <w:spacing w:before="0" w:after="240"/>
        <w:rPr>
          <w:rFonts w:eastAsia="Times New Roman"/>
          <w:noProof/>
          <w:szCs w:val="20"/>
        </w:rPr>
      </w:pPr>
    </w:p>
    <w:p>
      <w:pPr>
        <w:spacing w:before="0" w:after="240"/>
        <w:rPr>
          <w:rFonts w:eastAsia="Times New Roman"/>
          <w:noProof/>
          <w:szCs w:val="20"/>
        </w:rPr>
      </w:pP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7C6470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2E69A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4EC07B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11CA1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DAE2B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10C0C4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7E220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EC877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5-29 09:52:5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0A9CF182-F357-4B72-932A-371C119F0357"/>
    <w:docVar w:name="LW_COVERPAGE_TYPE" w:val="1"/>
    <w:docVar w:name="LW_CROSSREFERENCE" w:val="&lt;UNUSED&gt;"/>
    <w:docVar w:name="LW_DocType" w:val="ANNEX"/>
    <w:docVar w:name="LW_EMISSION" w:val="4.6.2019"/>
    <w:docVar w:name="LW_EMISSION_ISODATE" w:val="2019-06-04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relative à la position à prendre, au nom de l'Union européenne, au sein de l'Organisation internationale de la vigne et du vin (OIV)_x000b_"/>
    <w:docVar w:name="LW_OBJETACTEPRINCIPAL.CP" w:val="relative à la position à prendre, au nom de l'Union européenne, au sein de l'Organisation internationale de la vigne et du vin (OIV)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9) 24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_x000b_DÉCISION DU CONSEIL"/>
    <w:docVar w:name="LW_TYPEACTEPRINCIPAL.CP" w:val="Proposition de_x000b_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270</Words>
  <Characters>1616</Characters>
  <Application>Microsoft Office Word</Application>
  <DocSecurity>0</DocSecurity>
  <Lines>76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RANALLI Romina (AGRI)</dc:creator>
  <cp:keywords/>
  <dc:description/>
  <cp:lastModifiedBy>WES PDFC Administrator</cp:lastModifiedBy>
  <cp:revision>8</cp:revision>
  <dcterms:created xsi:type="dcterms:W3CDTF">2019-05-21T15:40:00Z</dcterms:created>
  <dcterms:modified xsi:type="dcterms:W3CDTF">2019-05-29T07:52:00Z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