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FD98B7A-5A56-406F-91CE-589B858BF572" style="width:450.8pt;height:348.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nº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pPr>
        <w:pStyle w:val="Tiret0"/>
        <w:tabs>
          <w:tab w:val="clear" w:pos="850"/>
          <w:tab w:val="num" w:pos="927"/>
        </w:tabs>
        <w:rPr>
          <w:noProof/>
        </w:rPr>
      </w:pPr>
      <w:r>
        <w:rPr>
          <w:noProof/>
        </w:rPr>
        <w:t>le budget général de l'Union européenne pour l'exercice 2019, adopté le 12 décembre 2018</w:t>
      </w:r>
      <w:r>
        <w:rPr>
          <w:rStyle w:val="FootnoteReference"/>
          <w:noProof/>
        </w:rPr>
        <w:footnoteReference w:id="3"/>
      </w:r>
      <w:r>
        <w:rPr>
          <w:noProof/>
        </w:rPr>
        <w:t>,</w:t>
      </w:r>
    </w:p>
    <w:p>
      <w:pPr>
        <w:pStyle w:val="Tiret0"/>
        <w:tabs>
          <w:tab w:val="clear" w:pos="850"/>
          <w:tab w:val="num" w:pos="927"/>
        </w:tabs>
        <w:rPr>
          <w:noProof/>
        </w:rPr>
      </w:pPr>
      <w:r>
        <w:rPr>
          <w:noProof/>
        </w:rPr>
        <w:t>le projet de budget rectificatif nº 1/2019</w:t>
      </w:r>
      <w:r>
        <w:rPr>
          <w:rStyle w:val="FootnoteReference"/>
          <w:noProof/>
        </w:rPr>
        <w:footnoteReference w:id="4"/>
      </w:r>
      <w:r>
        <w:rPr>
          <w:noProof/>
        </w:rPr>
        <w:t>, adopté le 15 avril 2019,</w:t>
      </w:r>
    </w:p>
    <w:p>
      <w:pPr>
        <w:pStyle w:val="Tiret0"/>
        <w:tabs>
          <w:tab w:val="clear" w:pos="850"/>
          <w:tab w:val="num" w:pos="927"/>
        </w:tabs>
        <w:rPr>
          <w:noProof/>
        </w:rPr>
      </w:pPr>
      <w:r>
        <w:rPr>
          <w:noProof/>
        </w:rPr>
        <w:t>le projet de budget rectificatif nº 2/2019</w:t>
      </w:r>
      <w:r>
        <w:rPr>
          <w:rStyle w:val="FootnoteReference"/>
          <w:noProof/>
        </w:rPr>
        <w:footnoteReference w:id="5"/>
      </w:r>
      <w:r>
        <w:rPr>
          <w:noProof/>
        </w:rPr>
        <w:t>, adopté le 15 mai 2019,</w:t>
      </w:r>
    </w:p>
    <w:p>
      <w:pPr>
        <w:jc w:val="both"/>
        <w:rPr>
          <w:noProof/>
        </w:rPr>
      </w:pPr>
      <w:r>
        <w:rPr>
          <w:noProof/>
        </w:rPr>
        <w:t>la Commission européenne présente ci-après au Parlement européen et au Conseil le projet de budget rectificatif nº 3 au budget 2019.</w:t>
      </w:r>
    </w:p>
    <w:p>
      <w:pPr>
        <w:rPr>
          <w:b/>
          <w:noProof/>
          <w:u w:val="single"/>
        </w:rPr>
      </w:pPr>
    </w:p>
    <w:p>
      <w:pPr>
        <w:jc w:val="both"/>
        <w:rPr>
          <w:b/>
          <w:noProof/>
          <w:u w:val="single"/>
        </w:rPr>
      </w:pPr>
      <w:r>
        <w:rPr>
          <w:b/>
          <w:noProof/>
          <w:u w:val="single"/>
        </w:rPr>
        <w:t>MODIFICATIONS À L’ÉTAT DES RECETTES ET DES DÉPENSES PAR SECTION</w:t>
      </w:r>
    </w:p>
    <w:p>
      <w:pPr>
        <w:rPr>
          <w:b/>
          <w:noProof/>
          <w:u w:val="single"/>
        </w:rPr>
      </w:pPr>
    </w:p>
    <w:p>
      <w:pPr>
        <w:jc w:val="both"/>
        <w:rPr>
          <w:noProof/>
        </w:rPr>
      </w:pPr>
      <w:r>
        <w:rPr>
          <w:noProof/>
        </w:rPr>
        <w:t>Les modifications apportées à l'état des dépenses de la section III sont disponibles sur EUR-Lex (</w:t>
      </w:r>
      <w:hyperlink r:id="rId19">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OCHeading"/>
        <w:rPr>
          <w:noProof/>
        </w:rPr>
      </w:pPr>
      <w:bookmarkStart w:id="2" w:name="_Toc194220890"/>
      <w:bookmarkStart w:id="3" w:name="_Toc294675429"/>
      <w:bookmarkStart w:id="4" w:name="_Toc378575883"/>
      <w:r>
        <w:rPr>
          <w:noProof/>
        </w:rPr>
        <w:lastRenderedPageBreak/>
        <w:t>TABLE DES MATIÈRES</w:t>
      </w:r>
    </w:p>
    <w:sdt>
      <w:sdtPr>
        <w:rPr>
          <w:b w:val="0"/>
          <w:bCs w:val="0"/>
          <w:caps w:val="0"/>
          <w:smallCaps/>
          <w:noProof/>
          <w:sz w:val="24"/>
          <w:szCs w:val="24"/>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9959090"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_Toc9959090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9959091"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Financement</w:t>
            </w:r>
            <w:r>
              <w:rPr>
                <w:noProof/>
                <w:webHidden/>
              </w:rPr>
              <w:tab/>
            </w:r>
            <w:r>
              <w:rPr>
                <w:noProof/>
                <w:webHidden/>
              </w:rPr>
              <w:fldChar w:fldCharType="begin"/>
            </w:r>
            <w:r>
              <w:rPr>
                <w:noProof/>
                <w:webHidden/>
              </w:rPr>
              <w:instrText xml:space="preserve"> PAGEREF _Toc9959091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9959092"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Crédits demandés dans le budget 2019</w:t>
            </w:r>
            <w:r>
              <w:rPr>
                <w:noProof/>
                <w:webHidden/>
              </w:rPr>
              <w:tab/>
            </w:r>
            <w:r>
              <w:rPr>
                <w:noProof/>
                <w:webHidden/>
              </w:rPr>
              <w:fldChar w:fldCharType="begin"/>
            </w:r>
            <w:r>
              <w:rPr>
                <w:noProof/>
                <w:webHidden/>
              </w:rPr>
              <w:instrText xml:space="preserve"> PAGEREF _Toc9959092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9959093"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_Toc9959093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r>
            <w:rPr>
              <w:noProof/>
            </w:rPr>
            <w:fldChar w:fldCharType="end"/>
          </w:r>
        </w:p>
      </w:sdtContent>
    </w:sdt>
    <w:p>
      <w:pPr>
        <w:rPr>
          <w:b/>
          <w:noProof/>
          <w:u w:val="single"/>
        </w:rPr>
        <w:sectPr>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pPr>
        <w:pStyle w:val="Exposdesmotifstitre"/>
        <w:rPr>
          <w:noProof/>
        </w:rPr>
      </w:pPr>
      <w:r>
        <w:rPr>
          <w:noProof/>
        </w:rPr>
        <w:t>EXPOSÉ DES MOTIFS</w:t>
      </w:r>
    </w:p>
    <w:p>
      <w:pPr>
        <w:pStyle w:val="ManualHeading1"/>
        <w:rPr>
          <w:noProof/>
        </w:rPr>
      </w:pPr>
      <w:bookmarkStart w:id="5" w:name="_Toc385506031"/>
      <w:bookmarkStart w:id="6" w:name="_Toc430865946"/>
      <w:bookmarkStart w:id="7" w:name="_Toc430867524"/>
      <w:bookmarkStart w:id="8" w:name="_Toc514181799"/>
      <w:bookmarkStart w:id="9" w:name="_Toc8050772"/>
      <w:bookmarkStart w:id="10" w:name="_Toc9959090"/>
      <w:bookmarkStart w:id="11" w:name="_Toc351469332"/>
      <w:bookmarkStart w:id="12" w:name="_Toc361649879"/>
      <w:bookmarkEnd w:id="2"/>
      <w:r>
        <w:rPr>
          <w:noProof/>
        </w:rPr>
        <w:t>1.</w:t>
      </w:r>
      <w:r>
        <w:rPr>
          <w:noProof/>
        </w:rPr>
        <w:tab/>
        <w:t>Introduction</w:t>
      </w:r>
      <w:bookmarkEnd w:id="5"/>
      <w:bookmarkEnd w:id="6"/>
      <w:bookmarkEnd w:id="7"/>
      <w:bookmarkEnd w:id="8"/>
      <w:bookmarkEnd w:id="9"/>
      <w:bookmarkEnd w:id="10"/>
    </w:p>
    <w:p>
      <w:pPr>
        <w:spacing w:before="120" w:after="120"/>
        <w:jc w:val="both"/>
        <w:rPr>
          <w:noProof/>
        </w:rPr>
      </w:pPr>
      <w:r>
        <w:rPr>
          <w:noProof/>
        </w:rPr>
        <w:t>Le projet de budget rectificatif (PBR) nº 3 pour l’exercice 2019 accompagne la proposition</w:t>
      </w:r>
      <w:r>
        <w:rPr>
          <w:rStyle w:val="FootnoteReference"/>
          <w:noProof/>
        </w:rPr>
        <w:footnoteReference w:id="6"/>
      </w:r>
      <w:r>
        <w:rPr>
          <w:noProof/>
        </w:rPr>
        <w:t xml:space="preserve"> de mobilisation du Fonds de solidarité de l’Union européenne (FSUE) pour un montant de 293 551 794 EUR afin de venir en aide à la Roumanie, à l’Italie et à l’Autriche à la suite de catastrophes naturelles survenues dans ces États membres au cours de l’année 2018:</w:t>
      </w:r>
    </w:p>
    <w:p>
      <w:pPr>
        <w:pStyle w:val="ListParagraph"/>
        <w:numPr>
          <w:ilvl w:val="0"/>
          <w:numId w:val="44"/>
        </w:numPr>
        <w:spacing w:after="120" w:line="276" w:lineRule="auto"/>
        <w:jc w:val="both"/>
        <w:rPr>
          <w:noProof/>
        </w:rPr>
      </w:pPr>
      <w:r>
        <w:rPr>
          <w:i/>
          <w:noProof/>
        </w:rPr>
        <w:t>Roumanie</w:t>
      </w:r>
      <w:r>
        <w:rPr>
          <w:noProof/>
        </w:rPr>
        <w:t>: des inondations ayant fait suite à des pluies torrentielles dans la région nord-est entre la mi-juin et le début du mois d’août;</w:t>
      </w:r>
    </w:p>
    <w:p>
      <w:pPr>
        <w:pStyle w:val="ListParagraph"/>
        <w:numPr>
          <w:ilvl w:val="0"/>
          <w:numId w:val="44"/>
        </w:numPr>
        <w:spacing w:after="120" w:line="276" w:lineRule="auto"/>
        <w:jc w:val="both"/>
        <w:rPr>
          <w:noProof/>
        </w:rPr>
      </w:pPr>
      <w:r>
        <w:rPr>
          <w:i/>
          <w:noProof/>
        </w:rPr>
        <w:t>Italie</w:t>
      </w:r>
      <w:r>
        <w:rPr>
          <w:noProof/>
        </w:rPr>
        <w:t>: des inondations et glissements de terrain ayant fait suite à des pluies torrentielles, depuis les zones alpines du nord jusqu'à la Sicile;</w:t>
      </w:r>
    </w:p>
    <w:p>
      <w:pPr>
        <w:pStyle w:val="ListParagraph"/>
        <w:numPr>
          <w:ilvl w:val="0"/>
          <w:numId w:val="44"/>
        </w:numPr>
        <w:spacing w:after="120" w:line="276" w:lineRule="auto"/>
        <w:jc w:val="both"/>
        <w:rPr>
          <w:noProof/>
        </w:rPr>
      </w:pPr>
      <w:r>
        <w:rPr>
          <w:i/>
          <w:noProof/>
        </w:rPr>
        <w:t>Autriche</w:t>
      </w:r>
      <w:r>
        <w:rPr>
          <w:noProof/>
        </w:rPr>
        <w:t>: les phénomènes météorologiques survenus en Italie ont aussi touché les régions alpines/méridionales, en particulier la Carinthie et le Tyrol oriental.</w:t>
      </w:r>
    </w:p>
    <w:p>
      <w:pPr>
        <w:spacing w:before="120" w:after="120"/>
        <w:jc w:val="both"/>
        <w:rPr>
          <w:noProof/>
        </w:rPr>
      </w:pPr>
      <w:r>
        <w:rPr>
          <w:noProof/>
        </w:rPr>
        <w:t>Le PBR nº 3/2019 propose d’inscrire les crédits nécessaires au budget général 2019, tant en engagements qu’en paiements.</w:t>
      </w:r>
    </w:p>
    <w:p>
      <w:pPr>
        <w:keepNext/>
        <w:tabs>
          <w:tab w:val="left" w:pos="850"/>
        </w:tabs>
        <w:spacing w:before="240" w:after="120"/>
        <w:ind w:left="851" w:hanging="851"/>
        <w:jc w:val="both"/>
        <w:outlineLvl w:val="0"/>
        <w:rPr>
          <w:b/>
          <w:smallCaps/>
          <w:noProof/>
        </w:rPr>
      </w:pPr>
      <w:bookmarkStart w:id="13" w:name="_Toc514181800"/>
      <w:bookmarkStart w:id="14" w:name="_Toc8050773"/>
      <w:bookmarkStart w:id="15" w:name="_Toc9959091"/>
      <w:bookmarkStart w:id="16" w:name="_Toc462410050"/>
      <w:bookmarkStart w:id="17" w:name="_Toc430865947"/>
      <w:bookmarkStart w:id="18" w:name="_Toc430867525"/>
      <w:r>
        <w:rPr>
          <w:b/>
          <w:smallCaps/>
          <w:noProof/>
        </w:rPr>
        <w:t>2.</w:t>
      </w:r>
      <w:r>
        <w:rPr>
          <w:noProof/>
        </w:rPr>
        <w:tab/>
      </w:r>
      <w:r>
        <w:rPr>
          <w:b/>
          <w:smallCaps/>
          <w:noProof/>
        </w:rPr>
        <w:t>Financement</w:t>
      </w:r>
      <w:bookmarkEnd w:id="13"/>
      <w:bookmarkEnd w:id="14"/>
      <w:bookmarkEnd w:id="15"/>
    </w:p>
    <w:p>
      <w:pPr>
        <w:jc w:val="both"/>
        <w:rPr>
          <w:noProof/>
        </w:rPr>
      </w:pPr>
      <w:bookmarkStart w:id="19" w:name="_Toc460335328"/>
      <w:bookmarkStart w:id="20" w:name="_Toc430865948"/>
      <w:bookmarkStart w:id="21" w:name="_Toc430867526"/>
      <w:bookmarkEnd w:id="16"/>
      <w:r>
        <w:rPr>
          <w:noProof/>
        </w:rPr>
        <w:t>Conformément à l’article 10, paragraphe 1, du règlement CFP, le montant total disponible début 2019 pour l’intervention du FSUE était de 851 082 072 EUR, ce montant correspondant à la dotation pour 2019 de 585 829 691 EUR, majorée de la dotation restante pour 2018 à hauteur de 265 252 381 EUR qui, n’ayant pas été dépensés, ont été reportés à l’année 2019.</w:t>
      </w:r>
    </w:p>
    <w:p>
      <w:pPr>
        <w:spacing w:before="120" w:after="120"/>
        <w:jc w:val="both"/>
        <w:rPr>
          <w:noProof/>
        </w:rPr>
      </w:pPr>
      <w:r>
        <w:rPr>
          <w:noProof/>
        </w:rPr>
        <w:t>Le montant qui peut être mobilisé à ce stade de l’année 2019 est de 704 624 649 EUR. Celui-ci correspond au montant total disponible au début de 2019 pour l’intervention du FSUE (851 082 072 EUR), déduction faite d’une retenue de 146 457 423 EUR afin de respecter l’obligation de mettre de côté 25 % de la dotation annuelle de 2019 jusqu’au 1</w:t>
      </w:r>
      <w:r>
        <w:rPr>
          <w:noProof/>
          <w:vertAlign w:val="superscript"/>
        </w:rPr>
        <w:t>er</w:t>
      </w:r>
      <w:r>
        <w:rPr>
          <w:noProof/>
        </w:rPr>
        <w:t> octobre 2019, comme le dispose l’article 10, paragraphe 1, du règlement CFP.</w:t>
      </w:r>
    </w:p>
    <w:tbl>
      <w:tblPr>
        <w:tblStyle w:val="TableGrid"/>
        <w:tblW w:w="0" w:type="auto"/>
        <w:jc w:val="center"/>
        <w:tblLook w:val="04A0" w:firstRow="1" w:lastRow="0" w:firstColumn="1" w:lastColumn="0" w:noHBand="0" w:noVBand="1"/>
      </w:tblPr>
      <w:tblGrid>
        <w:gridCol w:w="6703"/>
        <w:gridCol w:w="1897"/>
      </w:tblGrid>
      <w:tr>
        <w:trPr>
          <w:trHeight w:val="490"/>
          <w:jc w:val="center"/>
        </w:trPr>
        <w:tc>
          <w:tcPr>
            <w:tcW w:w="6703" w:type="dxa"/>
            <w:shd w:val="clear" w:color="auto" w:fill="D9D9D9" w:themeFill="background1" w:themeFillShade="D9"/>
            <w:vAlign w:val="center"/>
          </w:tcPr>
          <w:p>
            <w:pPr>
              <w:keepNext/>
              <w:jc w:val="center"/>
              <w:rPr>
                <w:b/>
                <w:noProof/>
                <w:sz w:val="16"/>
                <w:szCs w:val="16"/>
              </w:rPr>
            </w:pPr>
            <w:r>
              <w:rPr>
                <w:b/>
                <w:noProof/>
                <w:sz w:val="20"/>
              </w:rPr>
              <w:t>Tableau récapitulatif du financement du FSUE</w:t>
            </w:r>
          </w:p>
        </w:tc>
        <w:tc>
          <w:tcPr>
            <w:tcW w:w="1897" w:type="dxa"/>
            <w:shd w:val="clear" w:color="auto" w:fill="D9D9D9" w:themeFill="background1" w:themeFillShade="D9"/>
            <w:vAlign w:val="center"/>
          </w:tcPr>
          <w:p>
            <w:pPr>
              <w:keepNext/>
              <w:jc w:val="center"/>
              <w:rPr>
                <w:b/>
                <w:noProof/>
                <w:sz w:val="16"/>
                <w:szCs w:val="16"/>
              </w:rPr>
            </w:pPr>
            <w:r>
              <w:rPr>
                <w:b/>
                <w:noProof/>
                <w:sz w:val="16"/>
              </w:rPr>
              <w:t>Montant</w:t>
            </w:r>
          </w:p>
          <w:p>
            <w:pPr>
              <w:keepNext/>
              <w:jc w:val="center"/>
              <w:rPr>
                <w:noProof/>
                <w:sz w:val="16"/>
                <w:szCs w:val="16"/>
              </w:rPr>
            </w:pPr>
            <w:r>
              <w:rPr>
                <w:b/>
                <w:noProof/>
                <w:sz w:val="16"/>
              </w:rPr>
              <w:t>(en EUR)</w:t>
            </w:r>
          </w:p>
        </w:tc>
      </w:tr>
      <w:tr>
        <w:trPr>
          <w:trHeight w:val="258"/>
          <w:jc w:val="center"/>
        </w:trPr>
        <w:tc>
          <w:tcPr>
            <w:tcW w:w="6703" w:type="dxa"/>
          </w:tcPr>
          <w:p>
            <w:pPr>
              <w:keepNext/>
              <w:rPr>
                <w:noProof/>
                <w:sz w:val="16"/>
                <w:szCs w:val="16"/>
              </w:rPr>
            </w:pPr>
            <w:r>
              <w:rPr>
                <w:noProof/>
                <w:sz w:val="16"/>
              </w:rPr>
              <w:t>Dotation de 2018 reportée à 2019</w:t>
            </w:r>
          </w:p>
        </w:tc>
        <w:tc>
          <w:tcPr>
            <w:tcW w:w="1897" w:type="dxa"/>
          </w:tcPr>
          <w:p>
            <w:pPr>
              <w:keepNext/>
              <w:jc w:val="right"/>
              <w:rPr>
                <w:noProof/>
                <w:sz w:val="16"/>
                <w:szCs w:val="16"/>
              </w:rPr>
            </w:pPr>
            <w:r>
              <w:rPr>
                <w:noProof/>
                <w:sz w:val="16"/>
              </w:rPr>
              <w:t>265 252 381</w:t>
            </w:r>
          </w:p>
        </w:tc>
      </w:tr>
      <w:tr>
        <w:trPr>
          <w:trHeight w:val="245"/>
          <w:jc w:val="center"/>
        </w:trPr>
        <w:tc>
          <w:tcPr>
            <w:tcW w:w="6703" w:type="dxa"/>
          </w:tcPr>
          <w:p>
            <w:pPr>
              <w:keepNext/>
              <w:rPr>
                <w:noProof/>
                <w:sz w:val="16"/>
                <w:szCs w:val="16"/>
              </w:rPr>
            </w:pPr>
            <w:r>
              <w:rPr>
                <w:noProof/>
                <w:sz w:val="16"/>
              </w:rPr>
              <w:t>Dotation de 2019</w:t>
            </w:r>
          </w:p>
        </w:tc>
        <w:tc>
          <w:tcPr>
            <w:tcW w:w="1897" w:type="dxa"/>
          </w:tcPr>
          <w:p>
            <w:pPr>
              <w:keepNext/>
              <w:jc w:val="right"/>
              <w:rPr>
                <w:noProof/>
                <w:sz w:val="16"/>
                <w:szCs w:val="16"/>
              </w:rPr>
            </w:pPr>
            <w:r>
              <w:rPr>
                <w:noProof/>
                <w:sz w:val="16"/>
              </w:rPr>
              <w:t>585 829 691</w:t>
            </w:r>
          </w:p>
          <w:p>
            <w:pPr>
              <w:keepNext/>
              <w:jc w:val="right"/>
              <w:rPr>
                <w:noProof/>
                <w:sz w:val="16"/>
                <w:szCs w:val="16"/>
              </w:rPr>
            </w:pPr>
            <w:r>
              <w:rPr>
                <w:noProof/>
                <w:sz w:val="16"/>
              </w:rPr>
              <w:t>---------------</w:t>
            </w:r>
          </w:p>
        </w:tc>
      </w:tr>
      <w:tr>
        <w:trPr>
          <w:trHeight w:val="245"/>
          <w:jc w:val="center"/>
        </w:trPr>
        <w:tc>
          <w:tcPr>
            <w:tcW w:w="6703" w:type="dxa"/>
          </w:tcPr>
          <w:p>
            <w:pPr>
              <w:keepNext/>
              <w:rPr>
                <w:b/>
                <w:noProof/>
                <w:sz w:val="16"/>
                <w:szCs w:val="16"/>
              </w:rPr>
            </w:pPr>
            <w:r>
              <w:rPr>
                <w:b/>
                <w:noProof/>
                <w:sz w:val="16"/>
              </w:rPr>
              <w:t>Total disponible au début de l’année 2019</w:t>
            </w:r>
          </w:p>
        </w:tc>
        <w:tc>
          <w:tcPr>
            <w:tcW w:w="1897" w:type="dxa"/>
          </w:tcPr>
          <w:p>
            <w:pPr>
              <w:keepNext/>
              <w:jc w:val="right"/>
              <w:rPr>
                <w:b/>
                <w:noProof/>
                <w:sz w:val="16"/>
                <w:szCs w:val="16"/>
              </w:rPr>
            </w:pPr>
            <w:r>
              <w:rPr>
                <w:b/>
                <w:noProof/>
                <w:sz w:val="16"/>
              </w:rPr>
              <w:t>851 082 072</w:t>
            </w:r>
          </w:p>
        </w:tc>
      </w:tr>
      <w:tr>
        <w:trPr>
          <w:trHeight w:val="299"/>
          <w:jc w:val="center"/>
        </w:trPr>
        <w:tc>
          <w:tcPr>
            <w:tcW w:w="6703" w:type="dxa"/>
          </w:tcPr>
          <w:p>
            <w:pPr>
              <w:keepNext/>
              <w:rPr>
                <w:noProof/>
                <w:sz w:val="16"/>
                <w:szCs w:val="16"/>
              </w:rPr>
            </w:pPr>
            <w:r>
              <w:rPr>
                <w:noProof/>
                <w:sz w:val="16"/>
              </w:rPr>
              <w:t>Déduction de la retenue de 25 % du montant de la dotation de 2019</w:t>
            </w:r>
          </w:p>
        </w:tc>
        <w:tc>
          <w:tcPr>
            <w:tcW w:w="1897" w:type="dxa"/>
          </w:tcPr>
          <w:p>
            <w:pPr>
              <w:keepNext/>
              <w:jc w:val="right"/>
              <w:rPr>
                <w:noProof/>
                <w:sz w:val="16"/>
                <w:szCs w:val="16"/>
              </w:rPr>
            </w:pPr>
            <w:r>
              <w:rPr>
                <w:noProof/>
                <w:sz w:val="16"/>
              </w:rPr>
              <w:t>-146 457 423</w:t>
            </w:r>
          </w:p>
          <w:p>
            <w:pPr>
              <w:keepNext/>
              <w:jc w:val="right"/>
              <w:rPr>
                <w:noProof/>
                <w:sz w:val="16"/>
                <w:szCs w:val="16"/>
              </w:rPr>
            </w:pPr>
            <w:r>
              <w:rPr>
                <w:noProof/>
                <w:sz w:val="16"/>
              </w:rPr>
              <w:t>----------------</w:t>
            </w:r>
          </w:p>
        </w:tc>
      </w:tr>
      <w:tr>
        <w:trPr>
          <w:trHeight w:val="245"/>
          <w:jc w:val="center"/>
        </w:trPr>
        <w:tc>
          <w:tcPr>
            <w:tcW w:w="6703" w:type="dxa"/>
          </w:tcPr>
          <w:p>
            <w:pPr>
              <w:keepNext/>
              <w:rPr>
                <w:b/>
                <w:noProof/>
                <w:sz w:val="16"/>
                <w:szCs w:val="16"/>
              </w:rPr>
            </w:pPr>
            <w:r>
              <w:rPr>
                <w:b/>
                <w:noProof/>
                <w:sz w:val="16"/>
              </w:rPr>
              <w:t>Montant maximal actuellement disponible (dotations 2018+2019)</w:t>
            </w:r>
          </w:p>
        </w:tc>
        <w:tc>
          <w:tcPr>
            <w:tcW w:w="1897" w:type="dxa"/>
          </w:tcPr>
          <w:p>
            <w:pPr>
              <w:keepNext/>
              <w:jc w:val="right"/>
              <w:rPr>
                <w:b/>
                <w:noProof/>
                <w:sz w:val="16"/>
                <w:szCs w:val="16"/>
              </w:rPr>
            </w:pPr>
            <w:r>
              <w:rPr>
                <w:b/>
                <w:noProof/>
                <w:sz w:val="16"/>
              </w:rPr>
              <w:t>704 624 649</w:t>
            </w:r>
          </w:p>
        </w:tc>
      </w:tr>
      <w:tr>
        <w:trPr>
          <w:trHeight w:val="245"/>
          <w:jc w:val="center"/>
        </w:trPr>
        <w:tc>
          <w:tcPr>
            <w:tcW w:w="6703" w:type="dxa"/>
          </w:tcPr>
          <w:p>
            <w:pPr>
              <w:keepNext/>
              <w:rPr>
                <w:bCs/>
                <w:noProof/>
                <w:sz w:val="16"/>
                <w:szCs w:val="16"/>
              </w:rPr>
            </w:pPr>
            <w:r>
              <w:rPr>
                <w:noProof/>
                <w:sz w:val="16"/>
              </w:rPr>
              <w:t>Montant total de l’aide proposée à mobiliser pour la Roumanie, l'Italie et l'Autriche</w:t>
            </w:r>
          </w:p>
        </w:tc>
        <w:tc>
          <w:tcPr>
            <w:tcW w:w="1897" w:type="dxa"/>
          </w:tcPr>
          <w:p>
            <w:pPr>
              <w:keepNext/>
              <w:jc w:val="right"/>
              <w:rPr>
                <w:bCs/>
                <w:noProof/>
                <w:sz w:val="16"/>
                <w:szCs w:val="16"/>
                <w:u w:val="single"/>
              </w:rPr>
            </w:pPr>
            <w:r>
              <w:rPr>
                <w:noProof/>
                <w:sz w:val="16"/>
                <w:u w:val="single"/>
              </w:rPr>
              <w:t>- 293 551 794</w:t>
            </w:r>
          </w:p>
        </w:tc>
      </w:tr>
      <w:tr>
        <w:trPr>
          <w:trHeight w:val="258"/>
          <w:jc w:val="center"/>
        </w:trPr>
        <w:tc>
          <w:tcPr>
            <w:tcW w:w="6703" w:type="dxa"/>
          </w:tcPr>
          <w:p>
            <w:pPr>
              <w:keepNext/>
              <w:rPr>
                <w:b/>
                <w:noProof/>
                <w:sz w:val="16"/>
                <w:szCs w:val="16"/>
              </w:rPr>
            </w:pPr>
            <w:r>
              <w:rPr>
                <w:b/>
                <w:noProof/>
                <w:sz w:val="16"/>
              </w:rPr>
              <w:t>Disponibilités restantes jusqu’au 1</w:t>
            </w:r>
            <w:r>
              <w:rPr>
                <w:b/>
                <w:noProof/>
                <w:sz w:val="16"/>
                <w:vertAlign w:val="superscript"/>
              </w:rPr>
              <w:t>er</w:t>
            </w:r>
            <w:r>
              <w:rPr>
                <w:b/>
                <w:noProof/>
                <w:sz w:val="16"/>
              </w:rPr>
              <w:t> octobre 2019</w:t>
            </w:r>
          </w:p>
        </w:tc>
        <w:tc>
          <w:tcPr>
            <w:tcW w:w="1897" w:type="dxa"/>
          </w:tcPr>
          <w:p>
            <w:pPr>
              <w:keepNext/>
              <w:jc w:val="right"/>
              <w:rPr>
                <w:b/>
                <w:noProof/>
                <w:sz w:val="16"/>
                <w:szCs w:val="16"/>
              </w:rPr>
            </w:pPr>
            <w:r>
              <w:rPr>
                <w:b/>
                <w:noProof/>
                <w:sz w:val="16"/>
              </w:rPr>
              <w:t>411 072 855</w:t>
            </w:r>
          </w:p>
        </w:tc>
      </w:tr>
    </w:tbl>
    <w:p>
      <w:pPr>
        <w:pStyle w:val="ManualHeading1"/>
        <w:rPr>
          <w:noProof/>
        </w:rPr>
      </w:pPr>
      <w:bookmarkStart w:id="22" w:name="_Toc484781561"/>
      <w:bookmarkStart w:id="23" w:name="_Toc514181801"/>
      <w:bookmarkStart w:id="24" w:name="_Toc8050774"/>
      <w:bookmarkStart w:id="25" w:name="_Toc9959092"/>
      <w:r>
        <w:rPr>
          <w:noProof/>
        </w:rPr>
        <w:t>3.</w:t>
      </w:r>
      <w:r>
        <w:rPr>
          <w:noProof/>
        </w:rPr>
        <w:tab/>
        <w:t xml:space="preserve">Crédits demandés dans le budget </w:t>
      </w:r>
      <w:bookmarkEnd w:id="22"/>
      <w:r>
        <w:rPr>
          <w:noProof/>
        </w:rPr>
        <w:t>201</w:t>
      </w:r>
      <w:bookmarkEnd w:id="23"/>
      <w:r>
        <w:rPr>
          <w:noProof/>
        </w:rPr>
        <w:t>9</w:t>
      </w:r>
      <w:bookmarkEnd w:id="24"/>
      <w:bookmarkEnd w:id="25"/>
    </w:p>
    <w:p>
      <w:pPr>
        <w:spacing w:before="120" w:after="120"/>
        <w:jc w:val="both"/>
        <w:rPr>
          <w:noProof/>
        </w:rPr>
      </w:pPr>
      <w:r>
        <w:rPr>
          <w:noProof/>
        </w:rPr>
        <w:t>Sur la base des demandes d’intervention présentées par la Roumanie, l'Italie et l'Autriche, la contribution financière du FSUE, qui repose sur l’estimation des montants totaux des dommages directs, est fixée à 293 551 794 EUR. La Commission propose de modifier le budget 2019 en renforçant la ligne </w:t>
      </w:r>
      <w:r>
        <w:rPr>
          <w:i/>
          <w:noProof/>
        </w:rPr>
        <w:t>13 06 01 «Assistance aux États membres en cas de catastrophe naturelle majeure ayant de graves répercussions sur les conditions de vie, l’environnement naturel et l’économie»</w:t>
      </w:r>
      <w:r>
        <w:rPr>
          <w:noProof/>
        </w:rPr>
        <w:t xml:space="preserve"> d’un montant de 293 551 794 EUR, à la fois en crédits d’engagement et en crédits de paiement (voir tableau ci-dessous).</w:t>
      </w:r>
    </w:p>
    <w:p>
      <w:pPr>
        <w:spacing w:before="120" w:after="120"/>
        <w:jc w:val="both"/>
        <w:rPr>
          <w:noProo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528"/>
        <w:gridCol w:w="1560"/>
        <w:gridCol w:w="1417"/>
      </w:tblGrid>
      <w:tr>
        <w:tc>
          <w:tcPr>
            <w:tcW w:w="9781" w:type="dxa"/>
            <w:gridSpan w:val="4"/>
            <w:tcBorders>
              <w:top w:val="nil"/>
              <w:left w:val="nil"/>
              <w:bottom w:val="single" w:sz="4" w:space="0" w:color="auto"/>
              <w:right w:val="nil"/>
            </w:tcBorders>
            <w:shd w:val="clear" w:color="auto" w:fill="FFFFFF" w:themeFill="background1"/>
            <w:vAlign w:val="center"/>
          </w:tcPr>
          <w:p>
            <w:pPr>
              <w:widowControl w:val="0"/>
              <w:spacing w:before="15" w:after="15"/>
              <w:jc w:val="right"/>
              <w:rPr>
                <w:b/>
                <w:noProof/>
                <w:sz w:val="22"/>
                <w:szCs w:val="22"/>
              </w:rPr>
            </w:pPr>
            <w:r>
              <w:rPr>
                <w:i/>
                <w:noProof/>
                <w:sz w:val="22"/>
                <w:shd w:val="clear" w:color="auto" w:fill="FFFFFF" w:themeFill="background1"/>
              </w:rPr>
              <w:t>Montants en</w:t>
            </w:r>
            <w:r>
              <w:rPr>
                <w:i/>
                <w:noProof/>
                <w:sz w:val="22"/>
              </w:rPr>
              <w:t>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Ligne budgétaire</w:t>
            </w:r>
          </w:p>
        </w:tc>
        <w:tc>
          <w:tcPr>
            <w:tcW w:w="5528"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Intitulé</w:t>
            </w:r>
          </w:p>
        </w:tc>
        <w:tc>
          <w:tcPr>
            <w:tcW w:w="1560" w:type="dxa"/>
            <w:tcBorders>
              <w:top w:val="single" w:sz="4" w:space="0" w:color="auto"/>
            </w:tcBorders>
            <w:shd w:val="clear" w:color="auto" w:fill="D9D9D9"/>
          </w:tcPr>
          <w:p>
            <w:pPr>
              <w:widowControl w:val="0"/>
              <w:spacing w:before="15" w:after="15"/>
              <w:jc w:val="center"/>
              <w:rPr>
                <w:b/>
                <w:noProof/>
                <w:sz w:val="22"/>
                <w:szCs w:val="22"/>
              </w:rPr>
            </w:pPr>
            <w:r>
              <w:rPr>
                <w:b/>
                <w:noProof/>
                <w:sz w:val="22"/>
              </w:rPr>
              <w:t>Crédits d'engagement</w:t>
            </w:r>
          </w:p>
        </w:tc>
        <w:tc>
          <w:tcPr>
            <w:tcW w:w="1417"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Crédits de paiement</w:t>
            </w:r>
          </w:p>
        </w:tc>
      </w:tr>
      <w:tr>
        <w:tc>
          <w:tcPr>
            <w:tcW w:w="1276" w:type="dxa"/>
          </w:tcPr>
          <w:p>
            <w:pPr>
              <w:widowControl w:val="0"/>
              <w:spacing w:before="15" w:after="15"/>
              <w:ind w:right="-113"/>
              <w:jc w:val="both"/>
              <w:rPr>
                <w:noProof/>
                <w:sz w:val="22"/>
                <w:szCs w:val="22"/>
              </w:rPr>
            </w:pPr>
            <w:r>
              <w:rPr>
                <w:noProof/>
                <w:sz w:val="22"/>
              </w:rPr>
              <w:t>13 06 01</w:t>
            </w:r>
          </w:p>
        </w:tc>
        <w:tc>
          <w:tcPr>
            <w:tcW w:w="5528" w:type="dxa"/>
          </w:tcPr>
          <w:p>
            <w:pPr>
              <w:widowControl w:val="0"/>
              <w:spacing w:before="15" w:after="15"/>
              <w:ind w:right="-113"/>
              <w:jc w:val="both"/>
              <w:rPr>
                <w:noProof/>
                <w:sz w:val="22"/>
                <w:szCs w:val="22"/>
              </w:rPr>
            </w:pPr>
            <w:r>
              <w:rPr>
                <w:noProof/>
                <w:sz w:val="22"/>
                <w:szCs w:val="22"/>
              </w:rPr>
              <w:t>Assistance aux États membres en cas de catastrophe naturelle majeure ayant de graves répercussions sur les conditions de vie, l’environnement naturel et l’économie</w:t>
            </w:r>
          </w:p>
        </w:tc>
        <w:tc>
          <w:tcPr>
            <w:tcW w:w="1560" w:type="dxa"/>
          </w:tcPr>
          <w:p>
            <w:pPr>
              <w:widowControl w:val="0"/>
              <w:spacing w:before="15" w:after="15"/>
              <w:jc w:val="right"/>
              <w:rPr>
                <w:noProof/>
                <w:sz w:val="22"/>
                <w:szCs w:val="22"/>
              </w:rPr>
            </w:pPr>
            <w:r>
              <w:rPr>
                <w:noProof/>
              </w:rPr>
              <w:t>293 551 794</w:t>
            </w:r>
          </w:p>
        </w:tc>
        <w:tc>
          <w:tcPr>
            <w:tcW w:w="1417" w:type="dxa"/>
          </w:tcPr>
          <w:p>
            <w:pPr>
              <w:widowControl w:val="0"/>
              <w:spacing w:before="15" w:after="15"/>
              <w:jc w:val="right"/>
              <w:rPr>
                <w:noProof/>
                <w:sz w:val="22"/>
                <w:szCs w:val="22"/>
              </w:rPr>
            </w:pPr>
            <w:r>
              <w:rPr>
                <w:noProof/>
              </w:rPr>
              <w:t>293 551 794</w:t>
            </w:r>
          </w:p>
        </w:tc>
      </w:tr>
      <w:tr>
        <w:tc>
          <w:tcPr>
            <w:tcW w:w="6804" w:type="dxa"/>
            <w:gridSpan w:val="2"/>
            <w:shd w:val="clear" w:color="auto" w:fill="D9D9D9"/>
          </w:tcPr>
          <w:p>
            <w:pPr>
              <w:widowControl w:val="0"/>
              <w:tabs>
                <w:tab w:val="left" w:pos="975"/>
              </w:tabs>
              <w:spacing w:before="15" w:after="15"/>
              <w:jc w:val="both"/>
              <w:rPr>
                <w:b/>
                <w:noProof/>
                <w:sz w:val="22"/>
                <w:szCs w:val="22"/>
              </w:rPr>
            </w:pPr>
            <w:r>
              <w:rPr>
                <w:b/>
                <w:noProof/>
                <w:sz w:val="22"/>
              </w:rPr>
              <w:t>Total</w:t>
            </w:r>
            <w:r>
              <w:rPr>
                <w:noProof/>
              </w:rPr>
              <w:tab/>
            </w:r>
          </w:p>
        </w:tc>
        <w:tc>
          <w:tcPr>
            <w:tcW w:w="1560" w:type="dxa"/>
            <w:shd w:val="clear" w:color="auto" w:fill="D9D9D9"/>
          </w:tcPr>
          <w:p>
            <w:pPr>
              <w:widowControl w:val="0"/>
              <w:spacing w:before="15" w:after="15"/>
              <w:jc w:val="right"/>
              <w:rPr>
                <w:b/>
                <w:noProof/>
                <w:sz w:val="22"/>
                <w:szCs w:val="22"/>
              </w:rPr>
            </w:pPr>
            <w:r>
              <w:rPr>
                <w:b/>
                <w:noProof/>
              </w:rPr>
              <w:t>293 551 794</w:t>
            </w:r>
          </w:p>
        </w:tc>
        <w:tc>
          <w:tcPr>
            <w:tcW w:w="1417" w:type="dxa"/>
            <w:shd w:val="clear" w:color="auto" w:fill="D9D9D9"/>
          </w:tcPr>
          <w:p>
            <w:pPr>
              <w:widowControl w:val="0"/>
              <w:spacing w:before="15" w:after="15"/>
              <w:jc w:val="right"/>
              <w:rPr>
                <w:b/>
                <w:noProof/>
                <w:sz w:val="22"/>
                <w:szCs w:val="22"/>
              </w:rPr>
            </w:pPr>
            <w:r>
              <w:rPr>
                <w:b/>
                <w:noProof/>
              </w:rPr>
              <w:t>293 551 794</w:t>
            </w:r>
          </w:p>
        </w:tc>
      </w:tr>
    </w:tbl>
    <w:p>
      <w:pPr>
        <w:pStyle w:val="ManualHeading1"/>
        <w:pageBreakBefore/>
        <w:rPr>
          <w:noProof/>
        </w:rPr>
      </w:pPr>
      <w:bookmarkStart w:id="26" w:name="_Toc514181802"/>
      <w:bookmarkStart w:id="27" w:name="_Toc8050775"/>
      <w:bookmarkStart w:id="28" w:name="_Toc9959093"/>
      <w:bookmarkEnd w:id="19"/>
      <w:bookmarkEnd w:id="20"/>
      <w:bookmarkEnd w:id="21"/>
      <w:r>
        <w:rPr>
          <w:noProof/>
        </w:rPr>
        <w:t>4.</w:t>
      </w:r>
      <w:r>
        <w:rPr>
          <w:noProof/>
        </w:rPr>
        <w:tab/>
        <w:t>Tableau récapitulatif par rubrique du CFP</w:t>
      </w:r>
      <w:bookmarkEnd w:id="26"/>
      <w:bookmarkEnd w:id="27"/>
      <w:bookmarkEnd w:id="28"/>
    </w:p>
    <w:tbl>
      <w:tblPr>
        <w:tblW w:w="10800" w:type="dxa"/>
        <w:jc w:val="center"/>
        <w:tblLook w:val="04A0" w:firstRow="1" w:lastRow="0" w:firstColumn="1" w:lastColumn="0" w:noHBand="0" w:noVBand="1"/>
      </w:tblPr>
      <w:tblGrid>
        <w:gridCol w:w="357"/>
        <w:gridCol w:w="2677"/>
        <w:gridCol w:w="1347"/>
        <w:gridCol w:w="1347"/>
        <w:gridCol w:w="1189"/>
        <w:gridCol w:w="1189"/>
        <w:gridCol w:w="1347"/>
        <w:gridCol w:w="1347"/>
      </w:tblGrid>
      <w:tr>
        <w:trPr>
          <w:trHeight w:val="210"/>
          <w:jc w:val="center"/>
        </w:trPr>
        <w:tc>
          <w:tcPr>
            <w:tcW w:w="29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11"/>
          <w:bookmarkEnd w:id="12"/>
          <w:bookmarkEnd w:id="17"/>
          <w:bookmarkEnd w:id="18"/>
          <w:bookmarkEnd w:id="3"/>
          <w:bookmarkEnd w:id="4"/>
          <w:p>
            <w:pPr>
              <w:jc w:val="center"/>
              <w:rPr>
                <w:b/>
                <w:bCs/>
                <w:noProof/>
                <w:color w:val="000000"/>
                <w:sz w:val="14"/>
                <w:szCs w:val="14"/>
              </w:rPr>
            </w:pPr>
            <w:r>
              <w:rPr>
                <w:b/>
                <w:noProof/>
                <w:color w:val="000000"/>
                <w:sz w:val="14"/>
              </w:rPr>
              <w:t>Rubrique</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2019</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rectificatif nº 3/2019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2019</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PBR 1-2/2019)</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PBR 1-3/2019)</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7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67 556 947 173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67 556 947 173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20 521 537 455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20 521 537 455</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47 035 409 718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47 035 409 718</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57 399 857 331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57 399 857 331</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43 116 399 417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43 116 399 417</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Écart d’arrondis exclu du calcul de la 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 du FEAGA</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3 527 434 894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3 527 434 894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9 358 295 603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9 358 295 603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- 807 423 216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9 944 904 743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9 944 904 743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7 749 215 823</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7 749 215 823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147 787 439 744</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147 787 439 744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961 862 659</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961 862 659</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1 576 000 000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768 576 784</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166 709 000 000</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19 883 422 915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483 641 919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19 883 422 915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Autres instruments spéciaux</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577 248 000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411 500 000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293 551 794</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293 551 794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870 799 794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705 051 794</w:t>
            </w:r>
          </w:p>
        </w:tc>
      </w:tr>
      <w:tr>
        <w:trPr>
          <w:trHeight w:val="225"/>
          <w:jc w:val="center"/>
        </w:trPr>
        <w:tc>
          <w:tcPr>
            <w:tcW w:w="29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165 895 645 322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148 198 939 744</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293 551 794</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293 551 794</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166 189 197 116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148 492 491 538</w:t>
            </w:r>
          </w:p>
        </w:tc>
      </w:tr>
    </w:tbl>
    <w:p>
      <w:pPr>
        <w:pStyle w:val="Text1"/>
        <w:ind w:left="0"/>
        <w:rPr>
          <w:noProof/>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6</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 xml:space="preserve"> </w:t>
      </w:r>
      <w:r>
        <w:tab/>
      </w:r>
      <w:r>
        <w:rPr>
          <w:sz w:val="18"/>
        </w:rPr>
        <w:t>JO L 193 du 30.7.2018, p. 1.</w:t>
      </w:r>
    </w:p>
  </w:footnote>
  <w:footnote w:id="3">
    <w:p>
      <w:pPr>
        <w:pStyle w:val="FootnoteText"/>
        <w:rPr>
          <w:lang w:val="pt-PT"/>
        </w:rPr>
      </w:pPr>
      <w:r>
        <w:rPr>
          <w:rStyle w:val="FootnoteReference"/>
        </w:rPr>
        <w:footnoteRef/>
      </w:r>
      <w:r>
        <w:tab/>
      </w:r>
      <w:r>
        <w:rPr>
          <w:sz w:val="18"/>
        </w:rPr>
        <w:t>JO L 67 du 7.3.2019.</w:t>
      </w:r>
    </w:p>
  </w:footnote>
  <w:footnote w:id="4">
    <w:p>
      <w:pPr>
        <w:pStyle w:val="FootnoteText"/>
        <w:rPr>
          <w:lang w:val="pt-PT"/>
        </w:rPr>
      </w:pPr>
      <w:r>
        <w:rPr>
          <w:rStyle w:val="FootnoteReference"/>
        </w:rPr>
        <w:footnoteRef/>
      </w:r>
      <w:r>
        <w:t xml:space="preserve"> </w:t>
      </w:r>
      <w:r>
        <w:tab/>
      </w:r>
      <w:r>
        <w:rPr>
          <w:sz w:val="18"/>
        </w:rPr>
        <w:t>COM(2019) 300 du 15.4.2019.</w:t>
      </w:r>
    </w:p>
  </w:footnote>
  <w:footnote w:id="5">
    <w:p>
      <w:pPr>
        <w:pStyle w:val="FootnoteText"/>
        <w:rPr>
          <w:lang w:val="pt-PT"/>
        </w:rPr>
      </w:pPr>
      <w:r>
        <w:rPr>
          <w:rStyle w:val="FootnoteReference"/>
        </w:rPr>
        <w:footnoteRef/>
      </w:r>
      <w:r>
        <w:t xml:space="preserve"> </w:t>
      </w:r>
      <w:r>
        <w:tab/>
      </w:r>
      <w:r>
        <w:rPr>
          <w:sz w:val="18"/>
        </w:rPr>
        <w:t>COM(2019) 320 du 15.5.2019.</w:t>
      </w:r>
    </w:p>
  </w:footnote>
  <w:footnote w:id="6">
    <w:p>
      <w:pPr>
        <w:pStyle w:val="FootnoteText"/>
        <w:rPr>
          <w:lang w:val="pt-PT"/>
        </w:rPr>
      </w:pPr>
      <w:r>
        <w:rPr>
          <w:rStyle w:val="FootnoteReference"/>
        </w:rPr>
        <w:footnoteRef/>
      </w:r>
      <w:r>
        <w:t xml:space="preserve"> </w:t>
      </w:r>
      <w:r>
        <w:tab/>
        <w:t>COM(2019) 206 du 22.5.2019.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9847826"/>
    <w:multiLevelType w:val="hybridMultilevel"/>
    <w:tmpl w:val="42E8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4B5D68CF"/>
    <w:multiLevelType w:val="hybridMultilevel"/>
    <w:tmpl w:val="4CE08654"/>
    <w:lvl w:ilvl="0" w:tplc="994220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4">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6">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2"/>
  </w:num>
  <w:num w:numId="4">
    <w:abstractNumId w:val="17"/>
  </w:num>
  <w:num w:numId="5">
    <w:abstractNumId w:val="23"/>
  </w:num>
  <w:num w:numId="6">
    <w:abstractNumId w:val="17"/>
  </w:num>
  <w:num w:numId="7">
    <w:abstractNumId w:val="22"/>
  </w:num>
  <w:num w:numId="8">
    <w:abstractNumId w:val="15"/>
  </w:num>
  <w:num w:numId="9">
    <w:abstractNumId w:val="7"/>
  </w:num>
  <w:num w:numId="10">
    <w:abstractNumId w:val="13"/>
  </w:num>
  <w:num w:numId="11">
    <w:abstractNumId w:val="14"/>
  </w:num>
  <w:num w:numId="12">
    <w:abstractNumId w:val="5"/>
  </w:num>
  <w:num w:numId="13">
    <w:abstractNumId w:val="6"/>
  </w:num>
  <w:num w:numId="14">
    <w:abstractNumId w:val="9"/>
  </w:num>
  <w:num w:numId="15">
    <w:abstractNumId w:val="11"/>
  </w:num>
  <w:num w:numId="16">
    <w:abstractNumId w:val="19"/>
  </w:num>
  <w:num w:numId="17">
    <w:abstractNumId w:val="17"/>
  </w:num>
  <w:num w:numId="18">
    <w:abstractNumId w:val="21"/>
  </w:num>
  <w:num w:numId="19">
    <w:abstractNumId w:val="4"/>
  </w:num>
  <w:num w:numId="20">
    <w:abstractNumId w:val="10"/>
  </w:num>
  <w:num w:numId="21">
    <w:abstractNumId w:val="17"/>
  </w:num>
  <w:num w:numId="22">
    <w:abstractNumId w:val="17"/>
  </w:num>
  <w:num w:numId="23">
    <w:abstractNumId w:val="0"/>
  </w:num>
  <w:num w:numId="24">
    <w:abstractNumId w:val="18"/>
  </w:num>
  <w:num w:numId="25">
    <w:abstractNumId w:val="16"/>
  </w:num>
  <w:num w:numId="26">
    <w:abstractNumId w:val="3"/>
  </w:num>
  <w:num w:numId="27">
    <w:abstractNumId w:val="25"/>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6FD98B7A-5A56-406F-91CE-589B858BF572"/>
    <w:docVar w:name="LW_COVERPAGE_TYPE" w:val="1"/>
    <w:docVar w:name="LW_CROSSREFERENCE" w:val="&lt;UNUSED&gt;"/>
    <w:docVar w:name="LW_DocType" w:val="NORMAL"/>
    <w:docVar w:name="LW_EMISSION" w:val="22.5.2019"/>
    <w:docVar w:name="LW_EMISSION_ISODATE" w:val="2019-05-22"/>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ccompagnant la proposition de mobilisation du_x000d__x000b_Fonds de solidarité de l'Union européenne _x000b__x000d__x000b_afin de venir en aide à la Roumanie, à l'Italie et à l'Autriche"/>
    <w:docVar w:name="LW_TITRE.OBJ.CP_PREVIOUS" w:val="&lt;UNUSED&gt;"/>
    <w:docVar w:name="LW_TYPE.DOC.CP" w:val="PROJET DE BUDGET RECTIFICATIF Nº 3_x000b_AU BUDGET GÉNÉRAL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basedOn w:val="DefaultParagraphFont"/>
    <w:uiPriority w:val="99"/>
    <w:semiHidden/>
    <w:unhideWhenUsed/>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basedOn w:val="DefaultParagraphFont"/>
    <w:uiPriority w:val="99"/>
    <w:semiHidden/>
    <w:unhideWhenUsed/>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51643793">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04336155">
      <w:bodyDiv w:val="1"/>
      <w:marLeft w:val="0"/>
      <w:marRight w:val="0"/>
      <w:marTop w:val="0"/>
      <w:marBottom w:val="0"/>
      <w:divBdr>
        <w:top w:val="none" w:sz="0" w:space="0" w:color="auto"/>
        <w:left w:val="none" w:sz="0" w:space="0" w:color="auto"/>
        <w:bottom w:val="none" w:sz="0" w:space="0" w:color="auto"/>
        <w:right w:val="none" w:sz="0" w:space="0" w:color="auto"/>
      </w:divBdr>
    </w:div>
    <w:div w:id="1017465266">
      <w:bodyDiv w:val="1"/>
      <w:marLeft w:val="0"/>
      <w:marRight w:val="0"/>
      <w:marTop w:val="0"/>
      <w:marBottom w:val="0"/>
      <w:divBdr>
        <w:top w:val="none" w:sz="0" w:space="0" w:color="auto"/>
        <w:left w:val="none" w:sz="0" w:space="0" w:color="auto"/>
        <w:bottom w:val="none" w:sz="0" w:space="0" w:color="auto"/>
        <w:right w:val="none" w:sz="0" w:space="0" w:color="auto"/>
      </w:divBdr>
    </w:div>
    <w:div w:id="1051805765">
      <w:bodyDiv w:val="1"/>
      <w:marLeft w:val="0"/>
      <w:marRight w:val="0"/>
      <w:marTop w:val="0"/>
      <w:marBottom w:val="0"/>
      <w:divBdr>
        <w:top w:val="none" w:sz="0" w:space="0" w:color="auto"/>
        <w:left w:val="none" w:sz="0" w:space="0" w:color="auto"/>
        <w:bottom w:val="none" w:sz="0" w:space="0" w:color="auto"/>
        <w:right w:val="none" w:sz="0" w:space="0" w:color="auto"/>
      </w:divBdr>
      <w:divsChild>
        <w:div w:id="1326399010">
          <w:marLeft w:val="0"/>
          <w:marRight w:val="0"/>
          <w:marTop w:val="0"/>
          <w:marBottom w:val="0"/>
          <w:divBdr>
            <w:top w:val="none" w:sz="0" w:space="0" w:color="auto"/>
            <w:left w:val="none" w:sz="0" w:space="0" w:color="auto"/>
            <w:bottom w:val="none" w:sz="0" w:space="0" w:color="auto"/>
            <w:right w:val="none" w:sz="0" w:space="0" w:color="auto"/>
          </w:divBdr>
          <w:divsChild>
            <w:div w:id="10768024">
              <w:marLeft w:val="0"/>
              <w:marRight w:val="0"/>
              <w:marTop w:val="0"/>
              <w:marBottom w:val="0"/>
              <w:divBdr>
                <w:top w:val="none" w:sz="0" w:space="0" w:color="auto"/>
                <w:left w:val="none" w:sz="0" w:space="0" w:color="auto"/>
                <w:bottom w:val="none" w:sz="0" w:space="0" w:color="auto"/>
                <w:right w:val="none" w:sz="0" w:space="0" w:color="auto"/>
              </w:divBdr>
              <w:divsChild>
                <w:div w:id="1110509085">
                  <w:marLeft w:val="-225"/>
                  <w:marRight w:val="-225"/>
                  <w:marTop w:val="0"/>
                  <w:marBottom w:val="0"/>
                  <w:divBdr>
                    <w:top w:val="none" w:sz="0" w:space="0" w:color="auto"/>
                    <w:left w:val="none" w:sz="0" w:space="0" w:color="auto"/>
                    <w:bottom w:val="none" w:sz="0" w:space="0" w:color="auto"/>
                    <w:right w:val="none" w:sz="0" w:space="0" w:color="auto"/>
                  </w:divBdr>
                  <w:divsChild>
                    <w:div w:id="2092005566">
                      <w:marLeft w:val="0"/>
                      <w:marRight w:val="0"/>
                      <w:marTop w:val="0"/>
                      <w:marBottom w:val="0"/>
                      <w:divBdr>
                        <w:top w:val="none" w:sz="0" w:space="0" w:color="auto"/>
                        <w:left w:val="none" w:sz="0" w:space="0" w:color="auto"/>
                        <w:bottom w:val="none" w:sz="0" w:space="0" w:color="auto"/>
                        <w:right w:val="none" w:sz="0" w:space="0" w:color="auto"/>
                      </w:divBdr>
                      <w:divsChild>
                        <w:div w:id="1084764764">
                          <w:marLeft w:val="0"/>
                          <w:marRight w:val="0"/>
                          <w:marTop w:val="0"/>
                          <w:marBottom w:val="0"/>
                          <w:divBdr>
                            <w:top w:val="none" w:sz="0" w:space="0" w:color="auto"/>
                            <w:left w:val="none" w:sz="0" w:space="0" w:color="auto"/>
                            <w:bottom w:val="none" w:sz="0" w:space="0" w:color="auto"/>
                            <w:right w:val="none" w:sz="0" w:space="0" w:color="auto"/>
                          </w:divBdr>
                          <w:divsChild>
                            <w:div w:id="1888908354">
                              <w:marLeft w:val="0"/>
                              <w:marRight w:val="0"/>
                              <w:marTop w:val="0"/>
                              <w:marBottom w:val="0"/>
                              <w:divBdr>
                                <w:top w:val="none" w:sz="0" w:space="0" w:color="auto"/>
                                <w:left w:val="none" w:sz="0" w:space="0" w:color="auto"/>
                                <w:bottom w:val="none" w:sz="0" w:space="0" w:color="auto"/>
                                <w:right w:val="none" w:sz="0" w:space="0" w:color="auto"/>
                              </w:divBdr>
                              <w:divsChild>
                                <w:div w:id="982350976">
                                  <w:marLeft w:val="0"/>
                                  <w:marRight w:val="0"/>
                                  <w:marTop w:val="0"/>
                                  <w:marBottom w:val="133"/>
                                  <w:divBdr>
                                    <w:top w:val="none" w:sz="0" w:space="0" w:color="auto"/>
                                    <w:left w:val="none" w:sz="0" w:space="0" w:color="auto"/>
                                    <w:bottom w:val="none" w:sz="0" w:space="0" w:color="auto"/>
                                    <w:right w:val="none" w:sz="0" w:space="0" w:color="auto"/>
                                  </w:divBdr>
                                  <w:divsChild>
                                    <w:div w:id="49118662">
                                      <w:marLeft w:val="0"/>
                                      <w:marRight w:val="0"/>
                                      <w:marTop w:val="0"/>
                                      <w:marBottom w:val="0"/>
                                      <w:divBdr>
                                        <w:top w:val="none" w:sz="0" w:space="0" w:color="auto"/>
                                        <w:left w:val="none" w:sz="0" w:space="0" w:color="auto"/>
                                        <w:bottom w:val="none" w:sz="0" w:space="0" w:color="auto"/>
                                        <w:right w:val="none" w:sz="0" w:space="0" w:color="auto"/>
                                      </w:divBdr>
                                      <w:divsChild>
                                        <w:div w:id="83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2372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08601875">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 w:id="201059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eur-lex.europa.eu/budget/www/index-fr.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d9606faa-45a1-44ba-9f56-4f4a8f4034dc">EN</EC_Collab_DocumentLanguage>
    <EC_Collab_Reference xmlns="d9606faa-45a1-44ba-9f56-4f4a8f4034dc" xsi:nil="true"/>
    <EC_Collab_Status xmlns="d9606faa-45a1-44ba-9f56-4f4a8f4034dc">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85EF0364217924BAD471D1695637112" ma:contentTypeVersion="1" ma:contentTypeDescription="Create a new document in this library." ma:contentTypeScope="" ma:versionID="205d5bdeabaca534a5226ddab7fc3cab">
  <xsd:schema xmlns:xsd="http://www.w3.org/2001/XMLSchema" xmlns:xs="http://www.w3.org/2001/XMLSchema" xmlns:p="http://schemas.microsoft.com/office/2006/metadata/properties" xmlns:ns3="d9606faa-45a1-44ba-9f56-4f4a8f4034dc" targetNamespace="http://schemas.microsoft.com/office/2006/metadata/properties" ma:root="true" ma:fieldsID="2dd27c47d5134ace2527d0f4f98d29d2" ns3:_="">
    <xsd:import namespace="d9606faa-45a1-44ba-9f56-4f4a8f4034d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6faa-45a1-44ba-9f56-4f4a8f4034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BA85-4E09-4A59-BEF7-0E1E6301ED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606faa-45a1-44ba-9f56-4f4a8f4034d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60D5B-412D-4C96-96FC-1DDF56CE96D9}">
  <ds:schemaRefs>
    <ds:schemaRef ds:uri="http://schemas.microsoft.com/sharepoint/v3/contenttype/forms"/>
  </ds:schemaRefs>
</ds:datastoreItem>
</file>

<file path=customXml/itemProps3.xml><?xml version="1.0" encoding="utf-8"?>
<ds:datastoreItem xmlns:ds="http://schemas.openxmlformats.org/officeDocument/2006/customXml" ds:itemID="{8C111116-EBCB-4080-853B-DEAA17D1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6faa-45a1-44ba-9f56-4f4a8f40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71BBB-8429-409F-BBE6-A430A3EC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1516</Words>
  <Characters>6826</Characters>
  <Application>Microsoft Office Word</Application>
  <DocSecurity>0</DocSecurity>
  <Lines>525</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8034</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2019-04-26T13:48:00Z</cp:lastPrinted>
  <dcterms:created xsi:type="dcterms:W3CDTF">2019-05-16T15:50:00Z</dcterms:created>
  <dcterms:modified xsi:type="dcterms:W3CDTF">2019-06-04T14:39:00Z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0x010100258AA79CEB83498886A3A0868112325000885EF0364217924BAD471D1695637112</vt:lpwstr>
  </property>
</Properties>
</file>